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方正小标宋_GBK" w:hAnsi="方正小标宋_GBK" w:eastAsia="方正小标宋_GBK"/>
          <w:b w:val="0"/>
          <w:bCs w:val="0"/>
          <w:sz w:val="30"/>
        </w:rPr>
      </w:pPr>
      <w:r>
        <w:rPr>
          <w:rFonts w:hint="eastAsia" w:ascii="方正小标宋_GBK" w:hAnsi="方正小标宋_GBK" w:eastAsia="方正小标宋_GBK"/>
          <w:b w:val="0"/>
          <w:bCs w:val="0"/>
          <w:sz w:val="30"/>
        </w:rPr>
        <w:t>财政预决算领域基层政务公开标准目录</w:t>
      </w:r>
    </w:p>
    <w:tbl>
      <w:tblPr>
        <w:tblStyle w:val="4"/>
        <w:tblW w:w="15480" w:type="dxa"/>
        <w:tblInd w:w="-75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720"/>
        <w:gridCol w:w="3240"/>
        <w:gridCol w:w="1800"/>
        <w:gridCol w:w="1620"/>
        <w:gridCol w:w="900"/>
        <w:gridCol w:w="1800"/>
        <w:gridCol w:w="720"/>
        <w:gridCol w:w="709"/>
        <w:gridCol w:w="551"/>
        <w:gridCol w:w="720"/>
        <w:gridCol w:w="720"/>
        <w:gridCol w:w="7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>
              <w:rPr>
                <w:rFonts w:ascii="黑体" w:hAnsi="宋体" w:eastAsia="黑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公开事项</w:t>
            </w:r>
          </w:p>
        </w:tc>
        <w:tc>
          <w:tcPr>
            <w:tcW w:w="32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公开内容（要素）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公开依据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公开时限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公开主体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kern w:val="0"/>
                <w:sz w:val="22"/>
              </w:rPr>
              <w:t>公开渠道和载体</w:t>
            </w:r>
          </w:p>
        </w:tc>
        <w:tc>
          <w:tcPr>
            <w:tcW w:w="1429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公开对象</w:t>
            </w:r>
          </w:p>
        </w:tc>
        <w:tc>
          <w:tcPr>
            <w:tcW w:w="1271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公开方式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公开层级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一级事项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二级事项</w:t>
            </w:r>
          </w:p>
        </w:tc>
        <w:tc>
          <w:tcPr>
            <w:tcW w:w="324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全社会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特定群众</w:t>
            </w:r>
          </w:p>
        </w:tc>
        <w:tc>
          <w:tcPr>
            <w:tcW w:w="551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主动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依申请公开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县级</w:t>
            </w: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黑体" w:hAnsi="宋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2"/>
              </w:rPr>
              <w:t>乡、村级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政府预算</w:t>
            </w: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一般公共预算：①一般公共预算收入表。②一般公共预算支出表。③一般公共预算本级支出表。④一般公共预算本级基本支出表。⑤一般公共预算税收返还和转移支付表。⑥政府一般债务限额和余额情况表。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《预算法》、《政府信息公开条例》、《财政部关于印发&lt;地方预决算公开操作规程的通知&gt;》、《财政部关于印发&lt;地方政府债务信息公开办法（试行）&gt;的通知》等法律法规和文件规定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本级人民代表大会或其常务委员会批准后20日内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地方各级财政部门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■财政部门网站公开平台</w:t>
            </w:r>
          </w:p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■政府公报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政府性基金预算：①政府性基金收入表。②政府性基金支出表。③本级政府性基金支出表。④政府性基金转移支付表。⑤政府专项债务限额和余额情况表。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政府预算</w:t>
            </w: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国有资本经营预算：①国有资本经营预算收入表。②国有资本经营预算支出表。③本级国有资本经营预算支出表。④对下安排转移支付的应当公开国有资本经营预算转移支付表。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《预算法》、《政府信息公开条例》、《财政部关于印发&lt;地方预决算公开操作规程的通知&gt;》、《财政部关于印发&lt;地方政府债务信息公开办法（试行）&gt;的通知》等法律法规和文件规定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本级人民代表大会或其常务委员会批准后20日内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地方各级财政部门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■财政部门网站公开平台</w:t>
            </w:r>
          </w:p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■政府公报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社会保险基金预算：①社会保险基金收入表。②社会保险基金支出表。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一般公共预算、政府性基金预算、国有资本经营预算和社会保险基金预算报表中涉及本级支出的，应当公开到功能分类项级科目。本级一般公共预算基本支出应当公开到经济性质分类款级科目，专项转移支付应当分地区、分项目公开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对财政转移支付安排、举借政府债务等重要事项进行解释、说明，并公开重大政策和重点项目等绩效目标。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本级汇总的一般公共预算“三公”经费，包括预算总额，以及“因公出国（境）费”“公务用车购置及运行费”（区分“公务用车购置费”“公务用车运行费”两项）、“公务接待费”分项数额，并对增减变化情况进行说明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top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政府预算</w:t>
            </w: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政府债务限额、余额、使用安排及还本付息等信息，包括：①随同预算公开上一年度本地区、本级及所属地区地方政府债务限额及余额（或余额预计执行数），以及本地区和本级上一年度地方政府债券（含再融资债券）发行及还本付息额（或预计执行数）、本年度地方政府债券还本付息预算数等；②随同调整预算公开当年本地区及本级地方政府债务限额、本级新增地方政府债券资金使用安排等。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《预算法》、《政府信息公开条例》、《财政部关于印发&lt;地方预决算公开操作规程的通知&gt;》、《财政部关于印发&lt;地方政府债务信息公开办法（试行）&gt;的通知》等法律法规和文件规定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本级人民代表大会或其常务委员会批准后20日内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地方各级财政部门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■财政部门网站公开平台</w:t>
            </w:r>
          </w:p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■政府公报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没有数据的表格应当列出空表并说明。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政府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决算</w:t>
            </w: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一般公共预算：①一般公共预算收入表。②一般公共预算支出表。③一般公共预算本级支出表。④一般公共预算本级基本支出表。⑤一般公共预算税收返还和转移支付表。⑥政府一般债务限额和余额情况表。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《预算法》、《政府信息公开条例》、《财政部关于印发&lt;地方预决算公开操作规程的通知&gt;》、《财政部关于印发&lt;地方政府债务信息公开办法（试行）&gt;的通知》等法律法规和文件规定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本级人民代表大会或其常务委员会批准后20日内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地方各级财政部门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■财政部门网站公开平台</w:t>
            </w:r>
          </w:p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■政府公报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政府性基金预算：①政府性基金收入表。②政府性基金支出表。③本级政府性基金支出表。④政府性基金转移支付表。⑤政府专项债务限额和余额情况表。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国有资本经营预算：①国有资本经营预算收入表。②国有资本经营预算支出表。③本级国有资本经营预算支出表。④对下安排转移支付的应当公开国有资本经营预算转移支付表。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社会保险基金预算：①社会保险基金收入表。②社会保险基金支出表。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一般公共预算、政府性基金预算、国有资本经营预算和社会保险基金预算报表中涉及本级支出的，应当公开到功能分类项级科目。本级一般公共预算基本支出应当公开到经济性质分类款级科目，专项转移支付应当分地区、分项目公开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政府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决算</w:t>
            </w: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对财政转移支付安排、举借政府债务、预算绩效工作开展情况等重要事项进行解释、说明，并公开重大政策和重点项目绩效执行结果。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同上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本级人民代表大会或其常务委员会批准后20日内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地方各级财政部门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■财政部门网站公开平台</w:t>
            </w:r>
          </w:p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■政府公报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55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本级汇总的一般公共预算“三公”经费，包括预算总额，以及“因公出国（境）费”“公务用车购置及运行费”（区分“公务用车购置费”“公务用车运行费”两项）“公务接待费”分项数额，并对增减变化情况（与预算对比）进行说明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地方政府债务限额、余额、使用安排及还本付息等信息，包括：上年末本地区、本级及所属地区地方政府债务限额、余额决算数，地方政府债券发行、还本付息决算数，以及债券资金使用安排等。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没有数据的表格应当列出空表并说明。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6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预算</w:t>
            </w: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收支总体情况表：①部门收支总体情况表。②部门收入总体情况表。③部门支出总体情况表。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《预算法》、《政府信息公开条例》、《财政部关于印发&lt;地方预决算公开操作规程的通知&gt;》等法律法规和文件规定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地方各级预算部门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■部门网站</w:t>
            </w:r>
          </w:p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■政府公报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财政拨款收支情况表：①财政拨款收支总体情况表。②一般公共预算支出情况表。③一般公共预算基本支出情况表。④一般公共预算“三公”经费支出情况表。⑤政府性基金预算支出情况表。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一般公共预算支出情况表公开到功能分类项级科目。一般公共预算基本支出表公开到经济分类款级科目。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进行说明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部门职责、机构设置情况、预算收支增减变化、机关运行经费安排以及政府采购（主要包括部门政府采购预算总金额和货物、工程、服务采购的预算金额）等情况的说明，并对专业性较强的名词进行解释。结合工作进展情况，逐步公开国有资产占用、重点项目预算的绩效目标等情况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没有数据的表格应当列出空表并说明。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决算</w:t>
            </w: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收支总体情况表：①部门收支总体情况表。②部门收入总体情况表。③部门支出总体情况表。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《预算法》、《政府信息公开条例》、《财政部关于印发&lt;地方预决算公开操作规程的通知&gt;》等法律法规和文件规定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地方各级预算部门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■部门网站</w:t>
            </w:r>
          </w:p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■政府公报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财政拨款收支情况表：①财政拨款收支总体情况表。②一般公共预算支出情况表。③一般公共预算基本支出情况表。④一般公共预算“三公”经费支出情况表。⑤政府性基金预算支出情况表。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一般公共预算支出情况表公开到功能分类项级科目。一般公共预算基本支出表公开到经济分类款级科目。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一般公共预算“三公”经费支出表按“因公出国（境）费”“公务用车购置及运行费”“公务接待费”公开，其中，“公务用车购置及运行费”应当细化到“公务用车购置费”“公务用车运行费”两个项目，并对增减变化情况（与预算对比）进行说明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8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财政预决算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部门</w:t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br w:type="textWrapping"/>
            </w: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决算</w:t>
            </w: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部门职责、机构设置情况、决算收支增减变化、机关运行经费安排以及政府采购（主要包括部门政府采购支出总金额，货物、工程、服务的采购金额，授予中小企业的合同金额及占政府采购支出总金额的比重）等情况的说明，并对专业性较强的名词进行解释。结合工作进展情况，逐步公开国有资产占用、绩效评价结果等情况。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《预算法》、《政府信息公开条例》、《财政部关于印发&lt;地方预决算公开操作规程的通知&gt;》等法律法规和文件规定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本级政府财政部门批复后20日内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地方各级预算部门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■部门网站</w:t>
            </w:r>
          </w:p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■政府网站</w:t>
            </w:r>
          </w:p>
          <w:p>
            <w:pPr>
              <w:widowControl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■政府公报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√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3240" w:type="dxa"/>
            <w:vAlign w:val="center"/>
          </w:tcPr>
          <w:p>
            <w:pPr>
              <w:widowControl/>
              <w:textAlignment w:val="center"/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宋体" w:eastAsia="仿宋_GB2312"/>
                <w:color w:val="000000"/>
                <w:sz w:val="18"/>
                <w:szCs w:val="18"/>
              </w:rPr>
              <w:t>没有数据的表格应当列出空表并说明。</w:t>
            </w: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551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/>
                <w:sz w:val="18"/>
                <w:szCs w:val="18"/>
              </w:rPr>
            </w:pPr>
          </w:p>
        </w:tc>
      </w:tr>
    </w:tbl>
    <w:p>
      <w:pPr>
        <w:jc w:val="center"/>
        <w:rPr>
          <w:rFonts w:ascii="Times New Roman" w:hAnsi="Times New Roman" w:eastAsia="方正小标宋_GBK"/>
          <w:color w:val="FF0000"/>
          <w:sz w:val="28"/>
          <w:szCs w:val="28"/>
        </w:rPr>
      </w:pPr>
    </w:p>
    <w:p>
      <w:pPr/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decorative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decorative"/>
    <w:pitch w:val="default"/>
    <w:sig w:usb0="E0002EFF" w:usb1="C000785B" w:usb2="00000009" w:usb3="00000000" w:csb0="400001FF" w:csb1="FFFF0000"/>
  </w:font>
  <w:font w:name="Courier New">
    <w:panose1 w:val="02070309020205020404"/>
    <w:charset w:val="01"/>
    <w:family w:val="swiss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roman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decorative"/>
    <w:pitch w:val="default"/>
    <w:sig w:usb0="E0002EFF" w:usb1="C000785B" w:usb2="00000009" w:usb3="00000000" w:csb0="400001FF" w:csb1="FFFF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Wingdings">
    <w:panose1 w:val="05000000000000000000"/>
    <w:charset w:val="02"/>
    <w:family w:val="modern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010EEA"/>
    <w:rsid w:val="51010EE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2022-12-10T01:51:00Z</dcterms:created>
  <dc:creator>Administrator</dc:creator>
  <cp:lastModifiedBy>Administrator</cp:lastModifiedBy>
  <dcterms:modified xsi:type="dcterms:W3CDTF">2022-12-10T01:51:43Z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