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t>安全生产领域基层政务公开标准目录</w:t>
      </w:r>
    </w:p>
    <w:tbl>
      <w:tblPr>
        <w:tblStyle w:val="4"/>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520"/>
        <w:gridCol w:w="1800"/>
        <w:gridCol w:w="900"/>
        <w:gridCol w:w="1496"/>
        <w:gridCol w:w="664"/>
        <w:gridCol w:w="720"/>
        <w:gridCol w:w="720"/>
        <w:gridCol w:w="72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40" w:type="dxa"/>
            <w:vMerge w:val="restart"/>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52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384"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44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080" w:type="dxa"/>
            <w:gridSpan w:val="2"/>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540" w:type="dxa"/>
            <w:vMerge w:val="continue"/>
            <w:vAlign w:val="center"/>
          </w:tcPr>
          <w:p>
            <w:pPr>
              <w:widowControl/>
              <w:jc w:val="center"/>
              <w:rPr>
                <w:rFonts w:hint="eastAsia" w:ascii="仿宋_GB2312" w:hAnsi="Times New Roman" w:eastAsia="仿宋_GB2312"/>
                <w:color w:val="000000"/>
                <w:kern w:val="0"/>
                <w:sz w:val="18"/>
                <w:szCs w:val="18"/>
              </w:rPr>
            </w:pPr>
          </w:p>
        </w:tc>
        <w:tc>
          <w:tcPr>
            <w:tcW w:w="90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520" w:type="dxa"/>
            <w:vMerge w:val="continue"/>
            <w:vAlign w:val="center"/>
          </w:tcPr>
          <w:p>
            <w:pPr>
              <w:widowControl/>
              <w:jc w:val="left"/>
              <w:rPr>
                <w:rFonts w:hint="eastAsia" w:ascii="黑体" w:hAnsi="宋体" w:eastAsia="黑体" w:cs="宋体"/>
                <w:color w:val="000000"/>
                <w:kern w:val="0"/>
                <w:sz w:val="22"/>
              </w:rPr>
            </w:pPr>
          </w:p>
        </w:tc>
        <w:tc>
          <w:tcPr>
            <w:tcW w:w="2520" w:type="dxa"/>
            <w:vMerge w:val="continue"/>
            <w:vAlign w:val="center"/>
          </w:tcPr>
          <w:p>
            <w:pPr>
              <w:widowControl/>
              <w:jc w:val="left"/>
              <w:rPr>
                <w:rFonts w:hint="eastAsia" w:ascii="黑体" w:hAnsi="宋体" w:eastAsia="黑体" w:cs="宋体"/>
                <w:color w:val="000000"/>
                <w:kern w:val="0"/>
                <w:sz w:val="22"/>
              </w:rPr>
            </w:pPr>
          </w:p>
        </w:tc>
        <w:tc>
          <w:tcPr>
            <w:tcW w:w="1800" w:type="dxa"/>
            <w:vMerge w:val="continue"/>
            <w:vAlign w:val="center"/>
          </w:tcPr>
          <w:p>
            <w:pPr>
              <w:widowControl/>
              <w:jc w:val="left"/>
              <w:rPr>
                <w:rFonts w:hint="eastAsia" w:ascii="黑体" w:hAnsi="宋体" w:eastAsia="黑体" w:cs="宋体"/>
                <w:color w:val="000000"/>
                <w:kern w:val="0"/>
                <w:sz w:val="22"/>
              </w:rPr>
            </w:pPr>
          </w:p>
        </w:tc>
        <w:tc>
          <w:tcPr>
            <w:tcW w:w="900" w:type="dxa"/>
            <w:vMerge w:val="continue"/>
            <w:vAlign w:val="center"/>
          </w:tcPr>
          <w:p>
            <w:pPr>
              <w:widowControl/>
              <w:jc w:val="center"/>
              <w:rPr>
                <w:rFonts w:hint="eastAsia" w:ascii="黑体" w:hAnsi="宋体" w:eastAsia="黑体" w:cs="宋体"/>
                <w:color w:val="000000"/>
                <w:kern w:val="0"/>
                <w:sz w:val="22"/>
              </w:rPr>
            </w:pPr>
          </w:p>
        </w:tc>
        <w:tc>
          <w:tcPr>
            <w:tcW w:w="1496" w:type="dxa"/>
            <w:vMerge w:val="continue"/>
            <w:vAlign w:val="center"/>
          </w:tcPr>
          <w:p>
            <w:pPr>
              <w:widowControl/>
              <w:jc w:val="left"/>
              <w:rPr>
                <w:rFonts w:hint="eastAsia" w:ascii="黑体" w:hAnsi="宋体" w:eastAsia="黑体" w:cs="宋体"/>
                <w:kern w:val="0"/>
                <w:sz w:val="22"/>
              </w:rPr>
            </w:pPr>
          </w:p>
        </w:tc>
        <w:tc>
          <w:tcPr>
            <w:tcW w:w="664"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法律法规</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与安全生产有关的法律、法规</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restart"/>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部门和地方规章</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与安全生产有关的部门和地方规章</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3</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其他政策文件</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其他可以公开的与安全生产有关的政策文件，包括改革方案、发展规划、专项规划、工作计划等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4</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标准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安全生产领域有关的国家标准、行业标准、地方标准等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Merge w:val="continue"/>
            <w:vAlign w:val="center"/>
          </w:tcPr>
          <w:p>
            <w:pPr>
              <w:spacing w:line="240" w:lineRule="exact"/>
              <w:jc w:val="left"/>
              <w:rPr>
                <w:rFonts w:hint="eastAsia" w:ascii="仿宋_GB2312" w:eastAsia="仿宋_GB2312"/>
                <w:sz w:val="18"/>
                <w:szCs w:val="18"/>
              </w:rPr>
            </w:pP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5</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涉及管理相对人切身利益、需社会广泛知晓的重要改革方案等重大决策，决策前向社会公开决策草案、决策依据</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■两微一端   ■公开查阅点 </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6</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重大政策解读及回应</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有关重大政策的解读与回应，安全生产相关热点问题的解读与回应</w:t>
            </w:r>
          </w:p>
        </w:tc>
        <w:tc>
          <w:tcPr>
            <w:tcW w:w="2520" w:type="dxa"/>
            <w:vAlign w:val="top"/>
          </w:tcPr>
          <w:p>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重大决策作出后及时公开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jc w:val="left"/>
              <w:rPr>
                <w:rFonts w:hint="eastAsia"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 ■政务服务中</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7</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重要会议</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通过会议讨论作出重要改革方案等重大决策时，经党组研究认为有必要公开讨论决策过程的会议</w:t>
            </w:r>
          </w:p>
        </w:tc>
        <w:tc>
          <w:tcPr>
            <w:tcW w:w="2520" w:type="dxa"/>
            <w:vAlign w:val="top"/>
          </w:tcPr>
          <w:p>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提前一周发通知邀请</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■便民服务站</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8</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2520" w:type="dxa"/>
            <w:vAlign w:val="top"/>
          </w:tcPr>
          <w:p>
            <w:pPr/>
            <w:r>
              <w:rPr>
                <w:rFonts w:hint="eastAsia" w:ascii="仿宋_GB2312" w:eastAsia="仿宋_GB2312"/>
                <w:bCs/>
                <w:color w:val="000000"/>
                <w:sz w:val="18"/>
                <w:szCs w:val="18"/>
              </w:rPr>
              <w:t>《政府信息公开条例》、《关于全面推进政务公开工作的意见》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■公开查阅点 </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行政许可</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办理行政许可和其他对外管理服务事项的依据、条件、程序</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行政处罚</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办理行政处罚的依据、条件、程序以及本级行政机关认为具有一定社会影响的行政处罚决定</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行政强制</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办理行政强制的依据、条件、程序</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《政府信息公开条例》、《突发事件应对法》、《突发事件应急预案管理办法》、《中共中央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■广播电视   ■公开查阅点</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2"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应急管理</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xml:space="preserve">承担处置主责、非敏感的应急信息，包括事故灾害类预警信息、事故信息、事故后采取的应急处置措施和应对结果等  </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《政府信息公开条例》、《突发事件应对法》、《关于全面加强政务公开工作的意见》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r>
              <w:rPr>
                <w:rFonts w:hint="eastAsia" w:ascii="仿宋_GB2312" w:eastAsia="仿宋_GB2312"/>
                <w:sz w:val="18"/>
                <w:szCs w:val="18"/>
              </w:rPr>
              <w:br w:type="textWrapping"/>
            </w:r>
            <w:r>
              <w:rPr>
                <w:rFonts w:hint="eastAsia" w:ascii="仿宋_GB2312" w:eastAsia="仿宋_GB2312"/>
                <w:sz w:val="18"/>
                <w:szCs w:val="18"/>
              </w:rPr>
              <w:t>■便民服务站</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2"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黑名单管理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列入或撤销纳入安全生产黑名单管理的企业信息，具体企业名称、证照编号、经营地址、负责人姓名等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《政府信息公开条例》、《社会信用体系建设规划纲要（2014-2020年）》</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r>
              <w:rPr>
                <w:rFonts w:hint="eastAsia" w:ascii="仿宋_GB2312" w:eastAsia="仿宋_GB2312"/>
                <w:sz w:val="18"/>
                <w:szCs w:val="18"/>
              </w:rPr>
              <w:br w:type="textWrapping"/>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事故通报</w:t>
            </w:r>
          </w:p>
        </w:tc>
        <w:tc>
          <w:tcPr>
            <w:tcW w:w="2520" w:type="dxa"/>
            <w:vAlign w:val="center"/>
          </w:tcPr>
          <w:p>
            <w:pPr>
              <w:jc w:val="left"/>
              <w:rPr>
                <w:rFonts w:hint="eastAsia" w:ascii="仿宋_GB2312" w:hAnsi="宋体" w:eastAsia="仿宋_GB2312" w:cs="宋体"/>
                <w:bCs/>
                <w:sz w:val="18"/>
                <w:szCs w:val="18"/>
              </w:rPr>
            </w:pPr>
            <w:r>
              <w:rPr>
                <w:rFonts w:hint="eastAsia" w:ascii="仿宋_GB2312" w:eastAsia="仿宋_GB2312"/>
                <w:bCs/>
                <w:sz w:val="18"/>
                <w:szCs w:val="1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动态信息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业务工作动态、安全生产执法检查动态</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■其他</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8"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气象及灾害预警信息            不同时段、不同领域安全生产提示信息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p>
          <w:p>
            <w:pPr>
              <w:spacing w:line="240" w:lineRule="exact"/>
              <w:jc w:val="left"/>
              <w:rPr>
                <w:rFonts w:hint="eastAsia" w:ascii="仿宋_GB2312" w:eastAsia="仿宋_GB2312"/>
                <w:sz w:val="18"/>
                <w:szCs w:val="18"/>
              </w:rPr>
            </w:pPr>
            <w:r>
              <w:rPr>
                <w:rFonts w:hint="eastAsia" w:ascii="仿宋_GB2312" w:eastAsia="仿宋_GB2312"/>
                <w:sz w:val="18"/>
                <w:szCs w:val="18"/>
              </w:rPr>
              <w:t>■便民服务站 ■入户/现场</w:t>
            </w:r>
            <w:r>
              <w:rPr>
                <w:rFonts w:hint="eastAsia" w:ascii="仿宋_GB2312" w:eastAsia="仿宋_GB2312"/>
                <w:sz w:val="18"/>
                <w:szCs w:val="18"/>
              </w:rPr>
              <w:br w:type="textWrapping"/>
            </w:r>
            <w:r>
              <w:rPr>
                <w:rFonts w:hint="eastAsia" w:ascii="仿宋_GB2312" w:eastAsia="仿宋_GB2312"/>
                <w:sz w:val="18"/>
                <w:szCs w:val="18"/>
              </w:rPr>
              <w:t>■社区/企事业单位、村公示栏（电子屏）</w:t>
            </w:r>
            <w:r>
              <w:rPr>
                <w:rFonts w:hint="eastAsia" w:ascii="仿宋_GB2312" w:eastAsia="仿宋_GB2312"/>
                <w:sz w:val="18"/>
                <w:szCs w:val="18"/>
              </w:rPr>
              <w:br w:type="textWrapping"/>
            </w:r>
            <w:r>
              <w:rPr>
                <w:rFonts w:hint="eastAsia" w:ascii="仿宋_GB2312" w:eastAsia="仿宋_GB2312"/>
                <w:sz w:val="18"/>
                <w:szCs w:val="18"/>
              </w:rPr>
              <w:t>■精准推送   ■其他</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9"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政务公开目录</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政务公开事项的索引、名称、内容概述、生成日期等</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政务公开标准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政府信息公开指南等流程性信息</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20</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权力清单及责任清单</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信息形成或者变更20个工作日内，如有更新，及时公开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21</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主要业务办事指南</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主要业务工作的办事依据、程序、时限，办事时间、地点、部门、联系方式及相关办理结果</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信息形成或者变更之日起20个工作日内</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22</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年度报告</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政府信息公开年度报告及相关统计报表</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每年1月31日前</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23</w:t>
            </w:r>
          </w:p>
        </w:tc>
        <w:tc>
          <w:tcPr>
            <w:tcW w:w="90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财政资金信息</w:t>
            </w:r>
          </w:p>
        </w:tc>
        <w:tc>
          <w:tcPr>
            <w:tcW w:w="2520" w:type="dxa"/>
            <w:vAlign w:val="center"/>
          </w:tcPr>
          <w:p>
            <w:pPr>
              <w:rPr>
                <w:rFonts w:hint="eastAsia" w:ascii="仿宋_GB2312" w:eastAsia="仿宋_GB2312"/>
                <w:bCs/>
                <w:sz w:val="18"/>
                <w:szCs w:val="18"/>
              </w:rPr>
            </w:pPr>
            <w:r>
              <w:rPr>
                <w:rFonts w:hint="eastAsia" w:ascii="仿宋_GB2312" w:eastAsia="仿宋_GB2312"/>
                <w:bCs/>
                <w:sz w:val="18"/>
                <w:szCs w:val="18"/>
              </w:rPr>
              <w:t>预算、决算</w:t>
            </w:r>
          </w:p>
          <w:p>
            <w:pPr>
              <w:rPr>
                <w:rFonts w:hint="eastAsia" w:ascii="仿宋_GB2312" w:eastAsia="仿宋_GB2312"/>
                <w:bCs/>
                <w:sz w:val="18"/>
                <w:szCs w:val="18"/>
              </w:rPr>
            </w:pPr>
            <w:r>
              <w:rPr>
                <w:rFonts w:hint="eastAsia" w:ascii="仿宋_GB2312" w:eastAsia="仿宋_GB2312"/>
                <w:bCs/>
                <w:sz w:val="18"/>
                <w:szCs w:val="18"/>
              </w:rPr>
              <w:t xml:space="preserve"> “三公”经费</w:t>
            </w:r>
          </w:p>
          <w:p>
            <w:pPr>
              <w:rPr>
                <w:rFonts w:hint="eastAsia"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《政府信息公开条例》、《国务院关于深化预算管理制度改革的决定》、《国务院办公厅关于进一步推进预算公开工作意见的通知》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按中央要求时限公开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24</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政府采购信息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本单位采购实施情况相关信息</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《政府信息公开条例》、《国务院关于深化预算管理制度改革的决定》、中办、国办印发《关于进一步推进预算公开工作的意见》的通知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25</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办事纪律和监督管理</w:t>
            </w:r>
          </w:p>
        </w:tc>
        <w:tc>
          <w:tcPr>
            <w:tcW w:w="25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本单位的办事纪律,受理投诉、举报、信访的途径等内容</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26</w:t>
            </w:r>
          </w:p>
        </w:tc>
        <w:tc>
          <w:tcPr>
            <w:tcW w:w="900"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重大工程项目信息</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项目名称、执行措施、责任分工、取得成效、后续举措等</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《政府信息公开条例》、《国务院办公厅关于推进重大建设项目批准和实施领域政府信息公开的意见》</w:t>
            </w:r>
          </w:p>
        </w:tc>
        <w:tc>
          <w:tcPr>
            <w:tcW w:w="180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rPr>
                <w:rFonts w:hint="eastAsia" w:ascii="仿宋_GB2312" w:eastAsia="仿宋_GB2312"/>
                <w:sz w:val="18"/>
                <w:szCs w:val="18"/>
              </w:rPr>
            </w:pPr>
            <w:r>
              <w:rPr>
                <w:rFonts w:hint="eastAsia" w:ascii="仿宋_GB2312" w:eastAsia="仿宋_GB2312"/>
                <w:sz w:val="18"/>
                <w:szCs w:val="18"/>
              </w:rPr>
              <w:t>■政府网站</w:t>
            </w:r>
            <w:r>
              <w:rPr>
                <w:rFonts w:hint="eastAsia" w:ascii="仿宋_GB2312" w:eastAsia="仿宋_GB2312"/>
                <w:sz w:val="18"/>
                <w:szCs w:val="18"/>
              </w:rPr>
              <w:br w:type="textWrapping"/>
            </w:r>
            <w:r>
              <w:rPr>
                <w:rFonts w:hint="eastAsia" w:ascii="仿宋_GB2312" w:eastAsia="仿宋_GB2312"/>
                <w:sz w:val="18"/>
                <w:szCs w:val="18"/>
              </w:rPr>
              <w:t>■公开查阅点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27</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检查和巡查发现安全监管监察问题</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检查和巡查发现的、并要求向社会公开的问题及整改落实情况</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7" w:hRule="atLeast"/>
        </w:trPr>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28</w:t>
            </w:r>
          </w:p>
        </w:tc>
        <w:tc>
          <w:tcPr>
            <w:tcW w:w="900" w:type="dxa"/>
            <w:vMerge w:val="continue"/>
            <w:vAlign w:val="center"/>
          </w:tcPr>
          <w:p>
            <w:pPr>
              <w:rPr>
                <w:rFonts w:hint="eastAsia" w:ascii="仿宋_GB2312" w:hAnsi="宋体" w:eastAsia="仿宋_GB2312" w:cs="宋体"/>
                <w:color w:val="000000"/>
                <w:sz w:val="18"/>
                <w:szCs w:val="18"/>
              </w:rPr>
            </w:pPr>
          </w:p>
        </w:tc>
        <w:tc>
          <w:tcPr>
            <w:tcW w:w="108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建议提案办理</w:t>
            </w:r>
          </w:p>
        </w:tc>
        <w:tc>
          <w:tcPr>
            <w:tcW w:w="2520" w:type="dxa"/>
            <w:vAlign w:val="center"/>
          </w:tcPr>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办理制度与推进情况            </w:t>
            </w:r>
          </w:p>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人大代表建议办理              </w:t>
            </w:r>
          </w:p>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政协委员提案办理</w:t>
            </w:r>
          </w:p>
        </w:tc>
        <w:tc>
          <w:tcPr>
            <w:tcW w:w="25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《政府信息公开条例》、《国务院办公厅关于做好全国人大代表建议和全国政协委员提案办理结果公开工作的通知》</w:t>
            </w:r>
          </w:p>
        </w:tc>
        <w:tc>
          <w:tcPr>
            <w:tcW w:w="18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按照中央有关要求公开</w:t>
            </w:r>
          </w:p>
        </w:tc>
        <w:tc>
          <w:tcPr>
            <w:tcW w:w="90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应急管理部门</w:t>
            </w:r>
          </w:p>
        </w:tc>
        <w:tc>
          <w:tcPr>
            <w:tcW w:w="1496" w:type="dxa"/>
            <w:vAlign w:val="center"/>
          </w:tcPr>
          <w:p>
            <w:pPr>
              <w:spacing w:line="240" w:lineRule="exact"/>
              <w:jc w:val="left"/>
              <w:rPr>
                <w:rFonts w:hint="eastAsia" w:ascii="仿宋_GB2312" w:hAnsi="宋体" w:eastAsia="仿宋_GB2312" w:cs="宋体"/>
                <w:bCs/>
                <w:sz w:val="18"/>
                <w:szCs w:val="18"/>
              </w:rPr>
            </w:pPr>
            <w:r>
              <w:rPr>
                <w:rFonts w:hint="eastAsia" w:ascii="仿宋_GB2312" w:eastAsia="仿宋_GB2312"/>
                <w:sz w:val="18"/>
                <w:szCs w:val="18"/>
              </w:rPr>
              <w:t>■政府网站   ■公开查阅点 ■政务服务中心</w:t>
            </w:r>
            <w:r>
              <w:rPr>
                <w:rFonts w:hint="eastAsia" w:ascii="仿宋_GB2312" w:eastAsia="仿宋_GB2312"/>
                <w:sz w:val="18"/>
                <w:szCs w:val="18"/>
              </w:rPr>
              <w:br w:type="textWrapping"/>
            </w:r>
            <w:r>
              <w:rPr>
                <w:rFonts w:hint="eastAsia" w:ascii="仿宋_GB2312" w:eastAsia="仿宋_GB2312"/>
                <w:sz w:val="18"/>
                <w:szCs w:val="18"/>
              </w:rPr>
              <w:t>■便民服务站</w:t>
            </w:r>
          </w:p>
        </w:tc>
        <w:tc>
          <w:tcPr>
            <w:tcW w:w="664"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bl>
    <w:p>
      <w:pPr/>
      <w:r>
        <w:br w:type="page"/>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750BB5"/>
    <w:rsid w:val="6C750B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2022-12-10T01:58:00Z</dcterms:created>
  <dc:creator>Administrator</dc:creator>
  <cp:lastModifiedBy>Administrator</cp:lastModifiedBy>
  <dcterms:modified xsi:type="dcterms:W3CDTF">2022-12-10T01:58:23Z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