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r>
        <w:rPr>
          <w:rFonts w:hint="eastAsia" w:ascii="方正小标宋_GBK" w:hAnsi="方正小标宋_GBK" w:eastAsia="方正小标宋_GBK"/>
          <w:b w:val="0"/>
          <w:bCs w:val="0"/>
          <w:sz w:val="30"/>
        </w:rPr>
        <w:t>卫生健康领域基层政务公开标准目录</w:t>
      </w:r>
    </w:p>
    <w:tbl>
      <w:tblPr>
        <w:tblStyle w:val="4"/>
        <w:tblW w:w="15588" w:type="dxa"/>
        <w:tblInd w:w="-8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88"/>
        <w:gridCol w:w="4140"/>
        <w:gridCol w:w="1800"/>
        <w:gridCol w:w="1440"/>
        <w:gridCol w:w="720"/>
        <w:gridCol w:w="1080"/>
        <w:gridCol w:w="720"/>
        <w:gridCol w:w="720"/>
        <w:gridCol w:w="596"/>
        <w:gridCol w:w="720"/>
        <w:gridCol w:w="540"/>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1908"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41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80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4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72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08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316"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204"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ascii="Times New Roman" w:hAnsi="Times New Roman"/>
                <w:color w:val="000000"/>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18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4140" w:type="dxa"/>
            <w:vMerge w:val="continue"/>
            <w:vAlign w:val="center"/>
          </w:tcPr>
          <w:p>
            <w:pPr>
              <w:widowControl/>
              <w:jc w:val="left"/>
              <w:rPr>
                <w:rFonts w:ascii="黑体" w:hAnsi="宋体" w:eastAsia="黑体" w:cs="宋体"/>
                <w:color w:val="000000"/>
                <w:kern w:val="0"/>
                <w:sz w:val="22"/>
              </w:rPr>
            </w:pPr>
          </w:p>
        </w:tc>
        <w:tc>
          <w:tcPr>
            <w:tcW w:w="1800" w:type="dxa"/>
            <w:vMerge w:val="continue"/>
            <w:vAlign w:val="center"/>
          </w:tcPr>
          <w:p>
            <w:pPr>
              <w:widowControl/>
              <w:jc w:val="left"/>
              <w:rPr>
                <w:rFonts w:ascii="黑体" w:hAnsi="宋体" w:eastAsia="黑体" w:cs="宋体"/>
                <w:color w:val="000000"/>
                <w:kern w:val="0"/>
                <w:sz w:val="22"/>
              </w:rPr>
            </w:pPr>
          </w:p>
        </w:tc>
        <w:tc>
          <w:tcPr>
            <w:tcW w:w="1440" w:type="dxa"/>
            <w:vMerge w:val="continue"/>
            <w:vAlign w:val="center"/>
          </w:tcPr>
          <w:p>
            <w:pPr>
              <w:widowControl/>
              <w:jc w:val="left"/>
              <w:rPr>
                <w:rFonts w:ascii="黑体" w:hAnsi="宋体" w:eastAsia="黑体" w:cs="宋体"/>
                <w:color w:val="000000"/>
                <w:kern w:val="0"/>
                <w:sz w:val="22"/>
              </w:rPr>
            </w:pPr>
          </w:p>
        </w:tc>
        <w:tc>
          <w:tcPr>
            <w:tcW w:w="720" w:type="dxa"/>
            <w:vMerge w:val="continue"/>
            <w:vAlign w:val="center"/>
          </w:tcPr>
          <w:p>
            <w:pPr>
              <w:widowControl/>
              <w:jc w:val="left"/>
              <w:rPr>
                <w:rFonts w:ascii="黑体" w:hAnsi="宋体" w:eastAsia="黑体" w:cs="宋体"/>
                <w:color w:val="000000"/>
                <w:kern w:val="0"/>
                <w:sz w:val="22"/>
              </w:rPr>
            </w:pPr>
          </w:p>
        </w:tc>
        <w:tc>
          <w:tcPr>
            <w:tcW w:w="1080" w:type="dxa"/>
            <w:vMerge w:val="continue"/>
            <w:vAlign w:val="center"/>
          </w:tcPr>
          <w:p>
            <w:pPr>
              <w:widowControl/>
              <w:jc w:val="left"/>
              <w:rPr>
                <w:rFonts w:ascii="黑体" w:hAnsi="宋体" w:eastAsia="黑体" w:cs="宋体"/>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96"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664"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1</w:t>
            </w:r>
          </w:p>
        </w:tc>
        <w:tc>
          <w:tcPr>
            <w:tcW w:w="720" w:type="dxa"/>
            <w:vMerge w:val="restart"/>
            <w:vAlign w:val="center"/>
          </w:tcPr>
          <w:p>
            <w:pPr>
              <w:jc w:val="center"/>
              <w:rPr>
                <w:rFonts w:hint="eastAsia" w:ascii="仿宋_GB2312" w:hAnsi="宋体" w:eastAsia="仿宋_GB2312" w:cs="宋体"/>
                <w:bCs/>
                <w:color w:val="000000"/>
                <w:sz w:val="18"/>
                <w:szCs w:val="18"/>
              </w:rPr>
            </w:pPr>
            <w:r>
              <w:rPr>
                <w:rFonts w:hint="eastAsia" w:ascii="仿宋_GB2312" w:hAnsi="宋体" w:eastAsia="仿宋_GB2312"/>
                <w:bCs/>
                <w:color w:val="000000"/>
                <w:sz w:val="18"/>
                <w:szCs w:val="18"/>
              </w:rPr>
              <w:t>行政许可类事项</w:t>
            </w:r>
          </w:p>
        </w:tc>
        <w:tc>
          <w:tcPr>
            <w:tcW w:w="1188"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母婴保健技术服务机构执业许可（包括计划生育技术服务机构执业许可）（权限内）</w:t>
            </w:r>
          </w:p>
        </w:tc>
        <w:tc>
          <w:tcPr>
            <w:tcW w:w="41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1.法律法规和政策文件</w:t>
            </w:r>
            <w:r>
              <w:rPr>
                <w:rFonts w:hint="eastAsia" w:ascii="仿宋_GB2312" w:hAnsi="宋体" w:eastAsia="仿宋_GB2312" w:cs="宋体"/>
                <w:color w:val="000000"/>
                <w:sz w:val="18"/>
                <w:szCs w:val="18"/>
              </w:rPr>
              <w:t>；</w:t>
            </w:r>
          </w:p>
          <w:p>
            <w:pPr>
              <w:rPr>
                <w:rFonts w:ascii="仿宋_GB2312" w:hAnsi="宋体" w:eastAsia="仿宋_GB2312" w:cs="宋体"/>
                <w:color w:val="000000"/>
                <w:sz w:val="18"/>
                <w:szCs w:val="18"/>
              </w:rPr>
            </w:pPr>
            <w:r>
              <w:rPr>
                <w:rFonts w:hint="eastAsia" w:ascii="仿宋_GB2312" w:hAnsi="宋体" w:eastAsia="仿宋_GB2312" w:cs="宋体"/>
                <w:color w:val="000000"/>
                <w:sz w:val="18"/>
                <w:szCs w:val="18"/>
              </w:rPr>
              <w:t>2.</w:t>
            </w:r>
            <w:r>
              <w:rPr>
                <w:rFonts w:hint="eastAsia" w:ascii="仿宋_GB2312" w:hAnsi="宋体" w:eastAsia="仿宋_GB2312"/>
                <w:color w:val="00000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行政许可法》、《母婴保健法》、《计划生育技术服务管理条例》、《母婴保健法实施办法》、《国务院关于第六批取消和调整行政审批项目的决定》、《国家卫生健康委关于修改&lt;职业健康检查管理办法&gt;等4部门规章的决定》</w:t>
            </w:r>
          </w:p>
        </w:tc>
        <w:tc>
          <w:tcPr>
            <w:tcW w:w="14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720" w:type="dxa"/>
            <w:vMerge w:val="continue"/>
            <w:vAlign w:val="center"/>
          </w:tcPr>
          <w:p>
            <w:pPr>
              <w:rPr>
                <w:rFonts w:hint="eastAsia" w:ascii="仿宋_GB2312" w:hAnsi="宋体" w:eastAsia="仿宋_GB2312" w:cs="宋体"/>
                <w:bCs/>
                <w:color w:val="000000"/>
                <w:sz w:val="18"/>
                <w:szCs w:val="18"/>
              </w:rPr>
            </w:pPr>
          </w:p>
        </w:tc>
        <w:tc>
          <w:tcPr>
            <w:tcW w:w="1188" w:type="dxa"/>
            <w:vMerge w:val="continue"/>
            <w:vAlign w:val="center"/>
          </w:tcPr>
          <w:p>
            <w:pPr>
              <w:rPr>
                <w:rFonts w:hint="eastAsia" w:ascii="仿宋_GB2312" w:hAnsi="宋体" w:eastAsia="仿宋_GB2312" w:cs="宋体"/>
                <w:color w:val="000000"/>
                <w:sz w:val="18"/>
                <w:szCs w:val="18"/>
              </w:rPr>
            </w:pPr>
          </w:p>
        </w:tc>
        <w:tc>
          <w:tcPr>
            <w:tcW w:w="41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结果信息——母婴保健技术服务执业许可证信息</w:t>
            </w:r>
          </w:p>
        </w:tc>
        <w:tc>
          <w:tcPr>
            <w:tcW w:w="1800" w:type="dxa"/>
            <w:vMerge w:val="continue"/>
            <w:vAlign w:val="center"/>
          </w:tcPr>
          <w:p>
            <w:pPr>
              <w:rPr>
                <w:rFonts w:hint="eastAsia" w:ascii="仿宋_GB2312" w:hAnsi="宋体" w:eastAsia="仿宋_GB2312" w:cs="宋体"/>
                <w:color w:val="000000"/>
                <w:sz w:val="18"/>
                <w:szCs w:val="18"/>
              </w:rPr>
            </w:pPr>
          </w:p>
        </w:tc>
        <w:tc>
          <w:tcPr>
            <w:tcW w:w="14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09" w:hRule="atLeast"/>
        </w:trPr>
        <w:tc>
          <w:tcPr>
            <w:tcW w:w="54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母婴保健服务人员资格认定（包括计划生育技术服务人员合格证）（权限内）</w:t>
            </w: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p>
            <w:pPr>
              <w:rPr>
                <w:rFonts w:ascii="仿宋_GB2312" w:hAnsi="宋体" w:eastAsia="仿宋_GB2312"/>
                <w:color w:val="000000"/>
                <w:sz w:val="18"/>
                <w:szCs w:val="18"/>
              </w:rPr>
            </w:pPr>
          </w:p>
        </w:tc>
        <w:tc>
          <w:tcPr>
            <w:tcW w:w="18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行政许可法》、《母婴保健法》、《计划生育技术服务管理条例》、《母婴保健法实施办法》、《国家卫生健康委关于修改&lt;职业健康检查管理办法&gt;等4部门规章的决定》、《计划生育技术服务管理条例实施细则》</w:t>
            </w: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1188" w:type="dxa"/>
            <w:vMerge w:val="continue"/>
            <w:vAlign w:val="center"/>
          </w:tcPr>
          <w:p>
            <w:pPr>
              <w:rPr>
                <w:rFonts w:ascii="仿宋_GB2312" w:hAnsi="宋体" w:eastAsia="仿宋_GB2312"/>
                <w:color w:val="000000"/>
                <w:sz w:val="18"/>
                <w:szCs w:val="18"/>
              </w:rPr>
            </w:pP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结果信息，包括姓名、性别、类别、执业地点、证书编码、主要执业机构、发证（批准）机关等相关信息</w:t>
            </w:r>
          </w:p>
        </w:tc>
        <w:tc>
          <w:tcPr>
            <w:tcW w:w="1800" w:type="dxa"/>
            <w:vMerge w:val="continue"/>
            <w:vAlign w:val="center"/>
          </w:tcPr>
          <w:p>
            <w:pPr>
              <w:rPr>
                <w:rFonts w:ascii="仿宋_GB2312" w:hAnsi="宋体" w:eastAsia="仿宋_GB2312"/>
                <w:color w:val="000000"/>
                <w:sz w:val="18"/>
                <w:szCs w:val="18"/>
              </w:rPr>
            </w:pP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3</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医疗机构设置审批（含港澳台，外商独资除外）（权限内）</w:t>
            </w: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《行政许可法》、《中医药法》、《医疗机构管理条例》、《国务院关于取消和下放50项行政审批项目等事项的决定》、《医疗机构管理条例实施细则》、《医疗美容服务管理办法》</w:t>
            </w: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1188" w:type="dxa"/>
            <w:vMerge w:val="continue"/>
            <w:vAlign w:val="center"/>
          </w:tcPr>
          <w:p>
            <w:pPr>
              <w:rPr>
                <w:rFonts w:ascii="仿宋_GB2312" w:hAnsi="宋体" w:eastAsia="仿宋_GB2312"/>
                <w:color w:val="000000"/>
                <w:sz w:val="18"/>
                <w:szCs w:val="18"/>
              </w:rPr>
            </w:pP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结果信息——设置审批结果信息</w:t>
            </w:r>
          </w:p>
        </w:tc>
        <w:tc>
          <w:tcPr>
            <w:tcW w:w="1800" w:type="dxa"/>
            <w:vMerge w:val="continue"/>
            <w:vAlign w:val="center"/>
          </w:tcPr>
          <w:p>
            <w:pPr>
              <w:rPr>
                <w:rFonts w:ascii="仿宋_GB2312" w:hAnsi="宋体" w:eastAsia="仿宋_GB2312"/>
                <w:color w:val="000000"/>
                <w:sz w:val="18"/>
                <w:szCs w:val="18"/>
              </w:rPr>
            </w:pP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4</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医疗机构执业登记（人体器官移植除外）（权限内）</w:t>
            </w: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《行政许可法》、《医疗机构管理条例》、《医疗机构管理条例实施细则》、《医疗美容服务管理办法》</w:t>
            </w: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1188" w:type="dxa"/>
            <w:vMerge w:val="continue"/>
            <w:vAlign w:val="center"/>
          </w:tcPr>
          <w:p>
            <w:pPr>
              <w:rPr>
                <w:rFonts w:ascii="仿宋_GB2312" w:hAnsi="宋体" w:eastAsia="仿宋_GB2312"/>
                <w:color w:val="000000"/>
                <w:sz w:val="18"/>
                <w:szCs w:val="18"/>
              </w:rPr>
            </w:pP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结果信息——医疗机构名称、地址、诊疗科目、法定代表人、主要负责人、登记号、医疗机构执业许可证有效期限、审批机关</w:t>
            </w:r>
          </w:p>
        </w:tc>
        <w:tc>
          <w:tcPr>
            <w:tcW w:w="1800" w:type="dxa"/>
            <w:vMerge w:val="continue"/>
            <w:vAlign w:val="center"/>
          </w:tcPr>
          <w:p>
            <w:pPr>
              <w:rPr>
                <w:rFonts w:ascii="仿宋_GB2312" w:hAnsi="宋体" w:eastAsia="仿宋_GB2312"/>
                <w:color w:val="000000"/>
                <w:sz w:val="18"/>
                <w:szCs w:val="18"/>
              </w:rPr>
            </w:pP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5</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01 行政许可类事项</w:t>
            </w:r>
          </w:p>
        </w:tc>
        <w:tc>
          <w:tcPr>
            <w:tcW w:w="1188"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医师执业注册（权限内）</w:t>
            </w: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《行政许可法》、《执业医师法》、《医师执业注册管理办法》</w:t>
            </w: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1188" w:type="dxa"/>
            <w:vMerge w:val="continue"/>
            <w:vAlign w:val="center"/>
          </w:tcPr>
          <w:p>
            <w:pPr>
              <w:rPr>
                <w:rFonts w:ascii="仿宋_GB2312" w:hAnsi="宋体" w:eastAsia="仿宋_GB2312"/>
                <w:color w:val="000000"/>
                <w:sz w:val="18"/>
                <w:szCs w:val="18"/>
              </w:rPr>
            </w:pP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结果信息，包括姓名、性别、类别、执业地点、证书编码、主要执业机构、发证（批准）机关等相关信息</w:t>
            </w:r>
          </w:p>
        </w:tc>
        <w:tc>
          <w:tcPr>
            <w:tcW w:w="1800" w:type="dxa"/>
            <w:vMerge w:val="continue"/>
            <w:vAlign w:val="center"/>
          </w:tcPr>
          <w:p>
            <w:pPr>
              <w:jc w:val="center"/>
              <w:rPr>
                <w:rFonts w:ascii="仿宋_GB2312" w:hAnsi="宋体" w:eastAsia="仿宋_GB2312"/>
                <w:color w:val="000000"/>
                <w:sz w:val="18"/>
                <w:szCs w:val="18"/>
              </w:rPr>
            </w:pP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6</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护士执业注册（权限内）</w:t>
            </w:r>
          </w:p>
        </w:tc>
        <w:tc>
          <w:tcPr>
            <w:tcW w:w="414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jc w:val="left"/>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《行政许可法》、《护士条例》、《国务院关于取消和下放一批行政许可事项的决定》、《国家卫生健康委关于做好下放护士执业注册审批有关工作的通知》、《护士执业注册管理办法》</w:t>
            </w:r>
          </w:p>
        </w:tc>
        <w:tc>
          <w:tcPr>
            <w:tcW w:w="144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ascii="宋体" w:hAnsi="宋体" w:cs="宋体"/>
                <w:color w:val="000000"/>
                <w:kern w:val="0"/>
                <w:sz w:val="18"/>
                <w:szCs w:val="18"/>
              </w:rPr>
            </w:pPr>
          </w:p>
        </w:tc>
        <w:tc>
          <w:tcPr>
            <w:tcW w:w="720" w:type="dxa"/>
            <w:vMerge w:val="continue"/>
            <w:vAlign w:val="center"/>
          </w:tcPr>
          <w:p>
            <w:pPr>
              <w:widowControl/>
              <w:jc w:val="left"/>
              <w:rPr>
                <w:rFonts w:ascii="宋体" w:hAnsi="宋体" w:cs="宋体"/>
                <w:bCs/>
                <w:color w:val="000000"/>
                <w:kern w:val="0"/>
                <w:sz w:val="15"/>
                <w:szCs w:val="15"/>
              </w:rPr>
            </w:pPr>
          </w:p>
        </w:tc>
        <w:tc>
          <w:tcPr>
            <w:tcW w:w="1188" w:type="dxa"/>
            <w:vMerge w:val="continue"/>
            <w:vAlign w:val="center"/>
          </w:tcPr>
          <w:p>
            <w:pPr>
              <w:widowControl/>
              <w:jc w:val="left"/>
              <w:rPr>
                <w:rFonts w:ascii="宋体" w:hAnsi="宋体" w:cs="宋体"/>
                <w:color w:val="000000"/>
                <w:kern w:val="0"/>
                <w:sz w:val="15"/>
                <w:szCs w:val="15"/>
              </w:rPr>
            </w:pPr>
          </w:p>
        </w:tc>
        <w:tc>
          <w:tcPr>
            <w:tcW w:w="414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结果信息，包括姓名、性别、类别、执业地点、证书编码、主要执业机构、发证（批准）机关等相关信息</w:t>
            </w:r>
          </w:p>
        </w:tc>
        <w:tc>
          <w:tcPr>
            <w:tcW w:w="1800" w:type="dxa"/>
            <w:vMerge w:val="continue"/>
            <w:vAlign w:val="center"/>
          </w:tcPr>
          <w:p>
            <w:pPr>
              <w:widowControl/>
              <w:jc w:val="left"/>
              <w:rPr>
                <w:rFonts w:ascii="仿宋_GB2312" w:hAnsi="宋体" w:eastAsia="仿宋_GB2312"/>
                <w:color w:val="000000"/>
                <w:sz w:val="18"/>
                <w:szCs w:val="18"/>
              </w:rPr>
            </w:pPr>
          </w:p>
        </w:tc>
        <w:tc>
          <w:tcPr>
            <w:tcW w:w="144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7</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饮用水供水单位卫生许可（权限内）</w:t>
            </w:r>
          </w:p>
        </w:tc>
        <w:tc>
          <w:tcPr>
            <w:tcW w:w="414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jc w:val="left"/>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《行政许可法》、《传染病防治法》、《传染病防治法实施办法》、《国务院对确需保留的行政审批项目设定行政许可的决定》、《生活饮用水卫生监督管理办法》</w:t>
            </w:r>
          </w:p>
        </w:tc>
        <w:tc>
          <w:tcPr>
            <w:tcW w:w="144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ascii="仿宋_GB2312" w:hAnsi="宋体" w:eastAsia="仿宋_GB2312"/>
                <w:color w:val="000000"/>
                <w:sz w:val="18"/>
                <w:szCs w:val="18"/>
              </w:rPr>
            </w:pPr>
          </w:p>
        </w:tc>
        <w:tc>
          <w:tcPr>
            <w:tcW w:w="720" w:type="dxa"/>
            <w:vMerge w:val="continue"/>
            <w:vAlign w:val="center"/>
          </w:tcPr>
          <w:p>
            <w:pPr>
              <w:widowControl/>
              <w:jc w:val="left"/>
              <w:rPr>
                <w:rFonts w:ascii="仿宋_GB2312" w:hAnsi="宋体" w:eastAsia="仿宋_GB2312"/>
                <w:color w:val="000000"/>
                <w:sz w:val="18"/>
                <w:szCs w:val="18"/>
              </w:rPr>
            </w:pPr>
          </w:p>
        </w:tc>
        <w:tc>
          <w:tcPr>
            <w:tcW w:w="1188" w:type="dxa"/>
            <w:vMerge w:val="continue"/>
            <w:vAlign w:val="center"/>
          </w:tcPr>
          <w:p>
            <w:pPr>
              <w:widowControl/>
              <w:jc w:val="left"/>
              <w:rPr>
                <w:rFonts w:ascii="仿宋_GB2312" w:hAnsi="宋体" w:eastAsia="仿宋_GB2312"/>
                <w:color w:val="000000"/>
                <w:sz w:val="18"/>
                <w:szCs w:val="18"/>
              </w:rPr>
            </w:pPr>
          </w:p>
        </w:tc>
        <w:tc>
          <w:tcPr>
            <w:tcW w:w="414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结果信息——卫生许可证信息</w:t>
            </w:r>
          </w:p>
        </w:tc>
        <w:tc>
          <w:tcPr>
            <w:tcW w:w="1800" w:type="dxa"/>
            <w:vMerge w:val="continue"/>
            <w:vAlign w:val="center"/>
          </w:tcPr>
          <w:p>
            <w:pPr>
              <w:widowControl/>
              <w:jc w:val="left"/>
              <w:rPr>
                <w:rFonts w:ascii="仿宋_GB2312" w:hAnsi="宋体" w:eastAsia="仿宋_GB2312"/>
                <w:color w:val="000000"/>
                <w:sz w:val="18"/>
                <w:szCs w:val="18"/>
              </w:rPr>
            </w:pPr>
          </w:p>
        </w:tc>
        <w:tc>
          <w:tcPr>
            <w:tcW w:w="144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8</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公共场所卫生许可</w:t>
            </w:r>
          </w:p>
        </w:tc>
        <w:tc>
          <w:tcPr>
            <w:tcW w:w="41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《行政许可法》、《公共场所卫生管理条例》、《国务院关于整合调整餐饮服务场所的公共场所卫生许可证和食品经营许可的决定》、《公共场所卫生管理条例实施细则》</w:t>
            </w: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rPr>
                <w:rFonts w:ascii="仿宋_GB2312" w:hAnsi="宋体" w:eastAsia="仿宋_GB2312"/>
                <w:color w:val="000000"/>
                <w:sz w:val="18"/>
                <w:szCs w:val="18"/>
              </w:rPr>
            </w:pPr>
          </w:p>
        </w:tc>
        <w:tc>
          <w:tcPr>
            <w:tcW w:w="720" w:type="dxa"/>
            <w:vMerge w:val="continue"/>
            <w:vAlign w:val="center"/>
          </w:tcPr>
          <w:p>
            <w:pPr>
              <w:widowControl/>
              <w:rPr>
                <w:rFonts w:ascii="仿宋_GB2312" w:hAnsi="宋体" w:eastAsia="仿宋_GB2312"/>
                <w:color w:val="000000"/>
                <w:sz w:val="18"/>
                <w:szCs w:val="18"/>
              </w:rPr>
            </w:pPr>
          </w:p>
        </w:tc>
        <w:tc>
          <w:tcPr>
            <w:tcW w:w="1188" w:type="dxa"/>
            <w:vMerge w:val="continue"/>
            <w:vAlign w:val="center"/>
          </w:tcPr>
          <w:p>
            <w:pPr>
              <w:widowControl/>
              <w:rPr>
                <w:rFonts w:ascii="仿宋_GB2312" w:hAnsi="宋体" w:eastAsia="仿宋_GB2312"/>
                <w:color w:val="000000"/>
                <w:sz w:val="18"/>
                <w:szCs w:val="18"/>
              </w:rPr>
            </w:pPr>
          </w:p>
        </w:tc>
        <w:tc>
          <w:tcPr>
            <w:tcW w:w="41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结果信息——卫生许可证信息</w:t>
            </w:r>
          </w:p>
        </w:tc>
        <w:tc>
          <w:tcPr>
            <w:tcW w:w="1800" w:type="dxa"/>
            <w:vMerge w:val="continue"/>
            <w:vAlign w:val="center"/>
          </w:tcPr>
          <w:p>
            <w:pPr>
              <w:widowControl/>
              <w:rPr>
                <w:rFonts w:ascii="仿宋_GB2312" w:hAnsi="宋体" w:eastAsia="仿宋_GB2312"/>
                <w:color w:val="000000"/>
                <w:sz w:val="18"/>
                <w:szCs w:val="18"/>
              </w:rPr>
            </w:pP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Merge w:val="continue"/>
            <w:vAlign w:val="center"/>
          </w:tcPr>
          <w:p>
            <w:pPr>
              <w:widowControl/>
              <w:rPr>
                <w:rFonts w:hint="eastAsia" w:ascii="仿宋_GB2312" w:hAnsi="宋体" w:eastAsia="仿宋_GB2312"/>
                <w:color w:val="000000"/>
                <w:sz w:val="18"/>
                <w:szCs w:val="18"/>
              </w:rPr>
            </w:pPr>
          </w:p>
        </w:tc>
        <w:tc>
          <w:tcPr>
            <w:tcW w:w="1080" w:type="dxa"/>
            <w:vMerge w:val="continue"/>
            <w:vAlign w:val="center"/>
          </w:tcPr>
          <w:p>
            <w:pPr>
              <w:widowControl/>
              <w:rPr>
                <w:rFonts w:hint="eastAsia" w:ascii="仿宋_GB2312" w:hAnsi="宋体" w:eastAsia="仿宋_GB2312"/>
                <w:color w:val="000000"/>
                <w:sz w:val="18"/>
                <w:szCs w:val="18"/>
              </w:rPr>
            </w:pPr>
          </w:p>
        </w:tc>
        <w:tc>
          <w:tcPr>
            <w:tcW w:w="720" w:type="dxa"/>
            <w:vAlign w:val="center"/>
          </w:tcPr>
          <w:p>
            <w:pPr>
              <w:widowControl/>
              <w:rPr>
                <w:rFonts w:hint="eastAsia" w:ascii="仿宋_GB2312" w:hAnsi="宋体" w:eastAsia="仿宋_GB2312"/>
                <w:color w:val="000000"/>
                <w:sz w:val="18"/>
                <w:szCs w:val="18"/>
              </w:rPr>
            </w:pPr>
          </w:p>
        </w:tc>
        <w:tc>
          <w:tcPr>
            <w:tcW w:w="720" w:type="dxa"/>
            <w:vAlign w:val="center"/>
          </w:tcPr>
          <w:p>
            <w:pPr>
              <w:widowControl/>
              <w:rPr>
                <w:rFonts w:hint="eastAsia" w:ascii="仿宋_GB2312" w:hAnsi="宋体" w:eastAsia="仿宋_GB2312"/>
                <w:color w:val="000000"/>
                <w:sz w:val="18"/>
                <w:szCs w:val="18"/>
              </w:rPr>
            </w:pPr>
          </w:p>
        </w:tc>
        <w:tc>
          <w:tcPr>
            <w:tcW w:w="596" w:type="dxa"/>
            <w:vAlign w:val="center"/>
          </w:tcPr>
          <w:p>
            <w:pPr>
              <w:widowControl/>
              <w:rPr>
                <w:rFonts w:hint="eastAsia" w:ascii="仿宋_GB2312" w:hAnsi="宋体" w:eastAsia="仿宋_GB2312"/>
                <w:color w:val="000000"/>
                <w:sz w:val="18"/>
                <w:szCs w:val="18"/>
              </w:rPr>
            </w:pPr>
          </w:p>
        </w:tc>
        <w:tc>
          <w:tcPr>
            <w:tcW w:w="720" w:type="dxa"/>
            <w:vAlign w:val="center"/>
          </w:tcPr>
          <w:p>
            <w:pPr>
              <w:widowControl/>
              <w:rPr>
                <w:rFonts w:hint="eastAsia" w:ascii="仿宋_GB2312" w:hAnsi="宋体" w:eastAsia="仿宋_GB2312"/>
                <w:color w:val="000000"/>
                <w:sz w:val="18"/>
                <w:szCs w:val="18"/>
              </w:rPr>
            </w:pPr>
          </w:p>
        </w:tc>
        <w:tc>
          <w:tcPr>
            <w:tcW w:w="540" w:type="dxa"/>
            <w:vAlign w:val="center"/>
          </w:tcPr>
          <w:p>
            <w:pPr>
              <w:widowControl/>
              <w:rPr>
                <w:rFonts w:hint="eastAsia" w:ascii="仿宋_GB2312" w:hAnsi="宋体" w:eastAsia="仿宋_GB2312"/>
                <w:color w:val="000000"/>
                <w:sz w:val="18"/>
                <w:szCs w:val="18"/>
              </w:rPr>
            </w:pPr>
          </w:p>
        </w:tc>
        <w:tc>
          <w:tcPr>
            <w:tcW w:w="664" w:type="dxa"/>
            <w:vAlign w:val="center"/>
          </w:tcPr>
          <w:p>
            <w:pPr>
              <w:widowControl/>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9</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公共场所卫生许可</w:t>
            </w:r>
          </w:p>
        </w:tc>
        <w:tc>
          <w:tcPr>
            <w:tcW w:w="41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《行政许可法》、《公共场所卫生管理条例》、《国务院关于整合调整餐饮服务场所的公共场所卫生许可证和食品经营许可的决定》、《公共场所卫生管理条例实施细则》</w:t>
            </w: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rPr>
                <w:rFonts w:ascii="仿宋_GB2312" w:hAnsi="宋体" w:eastAsia="仿宋_GB2312"/>
                <w:color w:val="000000"/>
                <w:sz w:val="18"/>
                <w:szCs w:val="18"/>
              </w:rPr>
            </w:pPr>
          </w:p>
        </w:tc>
        <w:tc>
          <w:tcPr>
            <w:tcW w:w="720" w:type="dxa"/>
            <w:vMerge w:val="continue"/>
            <w:vAlign w:val="center"/>
          </w:tcPr>
          <w:p>
            <w:pPr>
              <w:widowControl/>
              <w:rPr>
                <w:rFonts w:ascii="仿宋_GB2312" w:hAnsi="宋体" w:eastAsia="仿宋_GB2312"/>
                <w:color w:val="000000"/>
                <w:sz w:val="18"/>
                <w:szCs w:val="18"/>
              </w:rPr>
            </w:pPr>
          </w:p>
        </w:tc>
        <w:tc>
          <w:tcPr>
            <w:tcW w:w="1188" w:type="dxa"/>
            <w:vMerge w:val="continue"/>
            <w:vAlign w:val="center"/>
          </w:tcPr>
          <w:p>
            <w:pPr>
              <w:widowControl/>
              <w:rPr>
                <w:rFonts w:ascii="仿宋_GB2312" w:hAnsi="宋体" w:eastAsia="仿宋_GB2312"/>
                <w:color w:val="000000"/>
                <w:sz w:val="18"/>
                <w:szCs w:val="18"/>
              </w:rPr>
            </w:pPr>
          </w:p>
        </w:tc>
        <w:tc>
          <w:tcPr>
            <w:tcW w:w="41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结果信息——放射诊疗许可证信息</w:t>
            </w:r>
          </w:p>
        </w:tc>
        <w:tc>
          <w:tcPr>
            <w:tcW w:w="1800" w:type="dxa"/>
            <w:vMerge w:val="continue"/>
            <w:vAlign w:val="center"/>
          </w:tcPr>
          <w:p>
            <w:pPr>
              <w:widowControl/>
              <w:rPr>
                <w:rFonts w:ascii="仿宋_GB2312" w:hAnsi="宋体" w:eastAsia="仿宋_GB2312"/>
                <w:color w:val="000000"/>
                <w:sz w:val="18"/>
                <w:szCs w:val="18"/>
              </w:rPr>
            </w:pP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Merge w:val="continue"/>
            <w:vAlign w:val="center"/>
          </w:tcPr>
          <w:p>
            <w:pPr>
              <w:widowControl/>
              <w:rPr>
                <w:rFonts w:hint="eastAsia" w:ascii="仿宋_GB2312" w:hAnsi="宋体" w:eastAsia="仿宋_GB2312"/>
                <w:color w:val="000000"/>
                <w:sz w:val="18"/>
                <w:szCs w:val="18"/>
              </w:rPr>
            </w:pPr>
          </w:p>
        </w:tc>
        <w:tc>
          <w:tcPr>
            <w:tcW w:w="1080" w:type="dxa"/>
            <w:vMerge w:val="continue"/>
            <w:vAlign w:val="center"/>
          </w:tcPr>
          <w:p>
            <w:pPr>
              <w:widowControl/>
              <w:rPr>
                <w:rFonts w:hint="eastAsia"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10</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乡村医生执业注册（包括乡村医生执业再注册）</w:t>
            </w:r>
          </w:p>
        </w:tc>
        <w:tc>
          <w:tcPr>
            <w:tcW w:w="41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《行政许可法》、《公共场所卫生管理条例》、《国务院关于整合调整餐饮服务场所的公共场所卫生许可证和食品经营许可的决定》、《公共场所卫生管理条例实施细则》</w:t>
            </w: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rPr>
                <w:rFonts w:ascii="仿宋_GB2312" w:hAnsi="宋体" w:eastAsia="仿宋_GB2312"/>
                <w:color w:val="000000"/>
                <w:sz w:val="18"/>
                <w:szCs w:val="18"/>
              </w:rPr>
            </w:pPr>
          </w:p>
        </w:tc>
        <w:tc>
          <w:tcPr>
            <w:tcW w:w="720" w:type="dxa"/>
            <w:vMerge w:val="continue"/>
            <w:vAlign w:val="center"/>
          </w:tcPr>
          <w:p>
            <w:pPr>
              <w:widowControl/>
              <w:rPr>
                <w:rFonts w:ascii="仿宋_GB2312" w:hAnsi="宋体" w:eastAsia="仿宋_GB2312"/>
                <w:color w:val="000000"/>
                <w:sz w:val="18"/>
                <w:szCs w:val="18"/>
              </w:rPr>
            </w:pPr>
          </w:p>
        </w:tc>
        <w:tc>
          <w:tcPr>
            <w:tcW w:w="1188" w:type="dxa"/>
            <w:vMerge w:val="continue"/>
            <w:vAlign w:val="center"/>
          </w:tcPr>
          <w:p>
            <w:pPr>
              <w:widowControl/>
              <w:rPr>
                <w:rFonts w:ascii="仿宋_GB2312" w:hAnsi="宋体" w:eastAsia="仿宋_GB2312"/>
                <w:color w:val="000000"/>
                <w:sz w:val="18"/>
                <w:szCs w:val="18"/>
              </w:rPr>
            </w:pPr>
          </w:p>
        </w:tc>
        <w:tc>
          <w:tcPr>
            <w:tcW w:w="41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结果信息，包括姓名、性别、类别、执业地点、证书编码、主要执业机构、发证（批准）机关等相关信息</w:t>
            </w:r>
          </w:p>
        </w:tc>
        <w:tc>
          <w:tcPr>
            <w:tcW w:w="1800" w:type="dxa"/>
            <w:vMerge w:val="continue"/>
            <w:vAlign w:val="center"/>
          </w:tcPr>
          <w:p>
            <w:pPr>
              <w:widowControl/>
              <w:rPr>
                <w:rFonts w:ascii="仿宋_GB2312" w:hAnsi="宋体" w:eastAsia="仿宋_GB2312"/>
                <w:color w:val="000000"/>
                <w:sz w:val="18"/>
                <w:szCs w:val="18"/>
              </w:rPr>
            </w:pP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Merge w:val="continue"/>
            <w:vAlign w:val="center"/>
          </w:tcPr>
          <w:p>
            <w:pPr>
              <w:widowControl/>
              <w:rPr>
                <w:rFonts w:hint="eastAsia" w:ascii="仿宋_GB2312" w:hAnsi="宋体" w:eastAsia="仿宋_GB2312"/>
                <w:color w:val="000000"/>
                <w:sz w:val="18"/>
                <w:szCs w:val="18"/>
              </w:rPr>
            </w:pPr>
          </w:p>
        </w:tc>
        <w:tc>
          <w:tcPr>
            <w:tcW w:w="1080" w:type="dxa"/>
            <w:vMerge w:val="continue"/>
            <w:vAlign w:val="center"/>
          </w:tcPr>
          <w:p>
            <w:pPr>
              <w:widowControl/>
              <w:rPr>
                <w:rFonts w:hint="eastAsia"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11</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行政处罚类事项</w:t>
            </w:r>
          </w:p>
        </w:tc>
        <w:tc>
          <w:tcPr>
            <w:tcW w:w="1188"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对不符合规定条件的医疗机构擅自从事精神障碍诊断、治疗的处罚</w:t>
            </w:r>
          </w:p>
        </w:tc>
        <w:tc>
          <w:tcPr>
            <w:tcW w:w="41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法律法规和政策文件；</w:t>
            </w:r>
          </w:p>
          <w:p>
            <w:pPr>
              <w:rPr>
                <w:rFonts w:ascii="仿宋_GB2312" w:hAnsi="宋体" w:eastAsia="仿宋_GB2312"/>
                <w:color w:val="000000"/>
                <w:sz w:val="18"/>
                <w:szCs w:val="18"/>
              </w:rPr>
            </w:pPr>
            <w:r>
              <w:rPr>
                <w:rFonts w:hint="eastAsia" w:ascii="仿宋_GB2312" w:hAnsi="宋体" w:eastAsia="仿宋_GB2312"/>
                <w:color w:val="000000"/>
                <w:sz w:val="18"/>
                <w:szCs w:val="18"/>
              </w:rPr>
              <w:t>投诉举报电话以及网上投诉渠道</w:t>
            </w:r>
          </w:p>
        </w:tc>
        <w:tc>
          <w:tcPr>
            <w:tcW w:w="1800"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《行政处罚法》、《精神卫生法》、《卫生行政处罚程序》</w:t>
            </w:r>
          </w:p>
        </w:tc>
        <w:tc>
          <w:tcPr>
            <w:tcW w:w="144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rPr>
                <w:rFonts w:ascii="仿宋_GB2312" w:hAnsi="宋体" w:eastAsia="仿宋_GB2312"/>
                <w:color w:val="000000"/>
                <w:sz w:val="18"/>
                <w:szCs w:val="18"/>
              </w:rPr>
            </w:pPr>
          </w:p>
        </w:tc>
        <w:tc>
          <w:tcPr>
            <w:tcW w:w="720" w:type="dxa"/>
            <w:vMerge w:val="continue"/>
            <w:vAlign w:val="center"/>
          </w:tcPr>
          <w:p>
            <w:pPr>
              <w:widowControl/>
              <w:rPr>
                <w:rFonts w:ascii="仿宋_GB2312" w:hAnsi="宋体" w:eastAsia="仿宋_GB2312"/>
                <w:color w:val="000000"/>
                <w:sz w:val="18"/>
                <w:szCs w:val="18"/>
              </w:rPr>
            </w:pPr>
          </w:p>
        </w:tc>
        <w:tc>
          <w:tcPr>
            <w:tcW w:w="1188" w:type="dxa"/>
            <w:vMerge w:val="continue"/>
            <w:vAlign w:val="center"/>
          </w:tcPr>
          <w:p>
            <w:pPr>
              <w:widowControl/>
              <w:rPr>
                <w:rFonts w:ascii="仿宋_GB2312" w:hAnsi="宋体" w:eastAsia="仿宋_GB2312"/>
                <w:color w:val="000000"/>
                <w:sz w:val="18"/>
                <w:szCs w:val="18"/>
              </w:rPr>
            </w:pPr>
          </w:p>
        </w:tc>
        <w:tc>
          <w:tcPr>
            <w:tcW w:w="41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受理和立案信息，包括：案件受理记录、立案报告；</w:t>
            </w:r>
          </w:p>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告知信息，包括：行政处罚事先告知书、听证告知书</w:t>
            </w:r>
          </w:p>
        </w:tc>
        <w:tc>
          <w:tcPr>
            <w:tcW w:w="1800" w:type="dxa"/>
            <w:vMerge w:val="continue"/>
            <w:vAlign w:val="center"/>
          </w:tcPr>
          <w:p>
            <w:pPr>
              <w:widowControl/>
              <w:rPr>
                <w:rFonts w:ascii="仿宋_GB2312" w:hAnsi="宋体" w:eastAsia="仿宋_GB2312"/>
                <w:color w:val="000000"/>
                <w:sz w:val="18"/>
                <w:szCs w:val="18"/>
              </w:rPr>
            </w:pPr>
          </w:p>
        </w:tc>
        <w:tc>
          <w:tcPr>
            <w:tcW w:w="1440" w:type="dxa"/>
            <w:vMerge w:val="continue"/>
            <w:vAlign w:val="center"/>
          </w:tcPr>
          <w:p>
            <w:pPr>
              <w:widowControl/>
              <w:rPr>
                <w:rFonts w:hint="eastAsia" w:ascii="仿宋_GB2312" w:hAnsi="宋体" w:eastAsia="仿宋_GB2312"/>
                <w:color w:val="000000"/>
                <w:sz w:val="18"/>
                <w:szCs w:val="18"/>
              </w:rPr>
            </w:pPr>
          </w:p>
        </w:tc>
        <w:tc>
          <w:tcPr>
            <w:tcW w:w="720" w:type="dxa"/>
            <w:vMerge w:val="continue"/>
            <w:vAlign w:val="center"/>
          </w:tcPr>
          <w:p>
            <w:pPr>
              <w:widowControl/>
              <w:rPr>
                <w:rFonts w:hint="eastAsia" w:ascii="仿宋_GB2312" w:hAnsi="宋体" w:eastAsia="仿宋_GB2312"/>
                <w:color w:val="000000"/>
                <w:sz w:val="18"/>
                <w:szCs w:val="18"/>
              </w:rPr>
            </w:pPr>
          </w:p>
        </w:tc>
        <w:tc>
          <w:tcPr>
            <w:tcW w:w="108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 xml:space="preserve">■精准推送        </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行政相对人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rPr>
                <w:rFonts w:ascii="仿宋_GB2312" w:hAnsi="宋体" w:eastAsia="仿宋_GB2312"/>
                <w:color w:val="000000"/>
                <w:sz w:val="18"/>
                <w:szCs w:val="18"/>
              </w:rPr>
            </w:pPr>
          </w:p>
        </w:tc>
        <w:tc>
          <w:tcPr>
            <w:tcW w:w="720" w:type="dxa"/>
            <w:vMerge w:val="continue"/>
            <w:vAlign w:val="center"/>
          </w:tcPr>
          <w:p>
            <w:pPr>
              <w:widowControl/>
              <w:rPr>
                <w:rFonts w:ascii="仿宋_GB2312" w:hAnsi="宋体" w:eastAsia="仿宋_GB2312"/>
                <w:color w:val="000000"/>
                <w:sz w:val="18"/>
                <w:szCs w:val="18"/>
              </w:rPr>
            </w:pPr>
          </w:p>
        </w:tc>
        <w:tc>
          <w:tcPr>
            <w:tcW w:w="1188" w:type="dxa"/>
            <w:vMerge w:val="continue"/>
            <w:vAlign w:val="center"/>
          </w:tcPr>
          <w:p>
            <w:pPr>
              <w:widowControl/>
              <w:rPr>
                <w:rFonts w:ascii="仿宋_GB2312" w:hAnsi="宋体" w:eastAsia="仿宋_GB2312"/>
                <w:color w:val="000000"/>
                <w:sz w:val="18"/>
                <w:szCs w:val="18"/>
              </w:rPr>
            </w:pPr>
          </w:p>
        </w:tc>
        <w:tc>
          <w:tcPr>
            <w:tcW w:w="41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行政处罚决定信息，包括：处罚决定书文号、处罚名称、处罚类别、处罚事由、相对人名称、处罚依据、处罚单位、处罚决定日期</w:t>
            </w:r>
          </w:p>
        </w:tc>
        <w:tc>
          <w:tcPr>
            <w:tcW w:w="1800" w:type="dxa"/>
            <w:vMerge w:val="continue"/>
            <w:vAlign w:val="center"/>
          </w:tcPr>
          <w:p>
            <w:pPr>
              <w:widowControl/>
              <w:rPr>
                <w:rFonts w:ascii="仿宋_GB2312" w:hAnsi="宋体" w:eastAsia="仿宋_GB2312"/>
                <w:color w:val="000000"/>
                <w:sz w:val="18"/>
                <w:szCs w:val="18"/>
              </w:rPr>
            </w:pP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Merge w:val="continue"/>
            <w:vAlign w:val="center"/>
          </w:tcPr>
          <w:p>
            <w:pPr>
              <w:widowControl/>
              <w:rPr>
                <w:rFonts w:hint="eastAsia" w:ascii="仿宋_GB2312" w:hAnsi="宋体" w:eastAsia="仿宋_GB2312"/>
                <w:color w:val="000000"/>
                <w:sz w:val="18"/>
                <w:szCs w:val="18"/>
              </w:rPr>
            </w:pPr>
          </w:p>
        </w:tc>
        <w:tc>
          <w:tcPr>
            <w:tcW w:w="108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12</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行政处罚类事项</w:t>
            </w:r>
          </w:p>
        </w:tc>
        <w:tc>
          <w:tcPr>
            <w:tcW w:w="1188"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对医疗机构及其工作人员拒绝对送诊的疑似精神障碍患者作出诊断及对依照《精神卫生法》第三十条第二款规定实施住院治疗的患者未及时进行检查评估或者未根据评估结果作出处理的处罚</w:t>
            </w:r>
          </w:p>
        </w:tc>
        <w:tc>
          <w:tcPr>
            <w:tcW w:w="41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法律法规和政策文件；</w:t>
            </w:r>
          </w:p>
          <w:p>
            <w:pPr>
              <w:rPr>
                <w:rFonts w:ascii="仿宋_GB2312" w:hAnsi="宋体" w:eastAsia="仿宋_GB2312"/>
                <w:color w:val="000000"/>
                <w:sz w:val="18"/>
                <w:szCs w:val="18"/>
              </w:rPr>
            </w:pPr>
            <w:r>
              <w:rPr>
                <w:rFonts w:hint="eastAsia" w:ascii="仿宋_GB2312" w:hAnsi="宋体" w:eastAsia="仿宋_GB2312"/>
                <w:color w:val="000000"/>
                <w:sz w:val="18"/>
                <w:szCs w:val="18"/>
              </w:rPr>
              <w:t>投诉举报电话以及网上投诉渠道</w:t>
            </w:r>
          </w:p>
        </w:tc>
        <w:tc>
          <w:tcPr>
            <w:tcW w:w="1800"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《行政处罚法》、《精神卫生法》、《卫生行政处罚程序》</w:t>
            </w:r>
          </w:p>
        </w:tc>
        <w:tc>
          <w:tcPr>
            <w:tcW w:w="144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rPr>
                <w:rFonts w:ascii="仿宋_GB2312" w:hAnsi="宋体" w:eastAsia="仿宋_GB2312"/>
                <w:color w:val="000000"/>
                <w:sz w:val="18"/>
                <w:szCs w:val="18"/>
              </w:rPr>
            </w:pPr>
          </w:p>
        </w:tc>
        <w:tc>
          <w:tcPr>
            <w:tcW w:w="720" w:type="dxa"/>
            <w:vMerge w:val="continue"/>
            <w:vAlign w:val="center"/>
          </w:tcPr>
          <w:p>
            <w:pPr>
              <w:widowControl/>
              <w:rPr>
                <w:rFonts w:ascii="仿宋_GB2312" w:hAnsi="宋体" w:eastAsia="仿宋_GB2312"/>
                <w:color w:val="000000"/>
                <w:sz w:val="18"/>
                <w:szCs w:val="18"/>
              </w:rPr>
            </w:pPr>
          </w:p>
        </w:tc>
        <w:tc>
          <w:tcPr>
            <w:tcW w:w="1188" w:type="dxa"/>
            <w:vMerge w:val="continue"/>
            <w:vAlign w:val="center"/>
          </w:tcPr>
          <w:p>
            <w:pPr>
              <w:widowControl/>
              <w:rPr>
                <w:rFonts w:ascii="仿宋_GB2312" w:hAnsi="宋体" w:eastAsia="仿宋_GB2312"/>
                <w:color w:val="000000"/>
                <w:sz w:val="18"/>
                <w:szCs w:val="18"/>
              </w:rPr>
            </w:pPr>
          </w:p>
        </w:tc>
        <w:tc>
          <w:tcPr>
            <w:tcW w:w="41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受理和立案信息，包括：案件受理记录、立案报告；</w:t>
            </w:r>
          </w:p>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告知信息，包括：行政处罚事先告知书、听证告知书</w:t>
            </w:r>
          </w:p>
        </w:tc>
        <w:tc>
          <w:tcPr>
            <w:tcW w:w="1800" w:type="dxa"/>
            <w:vMerge w:val="continue"/>
            <w:vAlign w:val="center"/>
          </w:tcPr>
          <w:p>
            <w:pPr>
              <w:widowControl/>
              <w:rPr>
                <w:rFonts w:ascii="仿宋_GB2312" w:hAnsi="宋体" w:eastAsia="仿宋_GB2312"/>
                <w:color w:val="000000"/>
                <w:sz w:val="18"/>
                <w:szCs w:val="18"/>
              </w:rPr>
            </w:pPr>
          </w:p>
        </w:tc>
        <w:tc>
          <w:tcPr>
            <w:tcW w:w="1440" w:type="dxa"/>
            <w:vMerge w:val="continue"/>
            <w:vAlign w:val="center"/>
          </w:tcPr>
          <w:p>
            <w:pPr>
              <w:widowControl/>
              <w:rPr>
                <w:rFonts w:hint="eastAsia" w:ascii="仿宋_GB2312" w:hAnsi="宋体" w:eastAsia="仿宋_GB2312"/>
                <w:color w:val="000000"/>
                <w:sz w:val="18"/>
                <w:szCs w:val="18"/>
              </w:rPr>
            </w:pPr>
          </w:p>
        </w:tc>
        <w:tc>
          <w:tcPr>
            <w:tcW w:w="720" w:type="dxa"/>
            <w:vMerge w:val="continue"/>
            <w:vAlign w:val="center"/>
          </w:tcPr>
          <w:p>
            <w:pPr>
              <w:widowControl/>
              <w:rPr>
                <w:rFonts w:hint="eastAsia" w:ascii="仿宋_GB2312" w:hAnsi="宋体" w:eastAsia="仿宋_GB2312"/>
                <w:color w:val="000000"/>
                <w:sz w:val="18"/>
                <w:szCs w:val="18"/>
              </w:rPr>
            </w:pPr>
          </w:p>
        </w:tc>
        <w:tc>
          <w:tcPr>
            <w:tcW w:w="108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 xml:space="preserve">■精准推送        </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行政相对人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rPr>
                <w:rFonts w:ascii="仿宋_GB2312" w:hAnsi="宋体" w:eastAsia="仿宋_GB2312"/>
                <w:color w:val="000000"/>
                <w:sz w:val="18"/>
                <w:szCs w:val="18"/>
              </w:rPr>
            </w:pPr>
          </w:p>
        </w:tc>
        <w:tc>
          <w:tcPr>
            <w:tcW w:w="720" w:type="dxa"/>
            <w:vMerge w:val="continue"/>
            <w:vAlign w:val="center"/>
          </w:tcPr>
          <w:p>
            <w:pPr>
              <w:widowControl/>
              <w:rPr>
                <w:rFonts w:ascii="仿宋_GB2312" w:hAnsi="宋体" w:eastAsia="仿宋_GB2312"/>
                <w:color w:val="000000"/>
                <w:sz w:val="18"/>
                <w:szCs w:val="18"/>
              </w:rPr>
            </w:pPr>
          </w:p>
        </w:tc>
        <w:tc>
          <w:tcPr>
            <w:tcW w:w="1188" w:type="dxa"/>
            <w:vMerge w:val="continue"/>
            <w:vAlign w:val="center"/>
          </w:tcPr>
          <w:p>
            <w:pPr>
              <w:widowControl/>
              <w:rPr>
                <w:rFonts w:ascii="仿宋_GB2312" w:hAnsi="宋体" w:eastAsia="仿宋_GB2312"/>
                <w:color w:val="000000"/>
                <w:sz w:val="18"/>
                <w:szCs w:val="18"/>
              </w:rPr>
            </w:pPr>
          </w:p>
        </w:tc>
        <w:tc>
          <w:tcPr>
            <w:tcW w:w="41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行政处罚决定信息，包括：处罚决定书文号、处罚名称、处罚类别、处罚事由、相对人名称、处罚依据、处罚单位、处罚决定日期</w:t>
            </w:r>
          </w:p>
        </w:tc>
        <w:tc>
          <w:tcPr>
            <w:tcW w:w="1800" w:type="dxa"/>
            <w:vMerge w:val="continue"/>
            <w:vAlign w:val="center"/>
          </w:tcPr>
          <w:p>
            <w:pPr>
              <w:widowControl/>
              <w:rPr>
                <w:rFonts w:ascii="仿宋_GB2312" w:hAnsi="宋体" w:eastAsia="仿宋_GB2312"/>
                <w:color w:val="000000"/>
                <w:sz w:val="18"/>
                <w:szCs w:val="18"/>
              </w:rPr>
            </w:pP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Merge w:val="continue"/>
            <w:vAlign w:val="center"/>
          </w:tcPr>
          <w:p>
            <w:pPr>
              <w:widowControl/>
              <w:rPr>
                <w:rFonts w:hint="eastAsia" w:ascii="仿宋_GB2312" w:hAnsi="宋体" w:eastAsia="仿宋_GB2312"/>
                <w:color w:val="000000"/>
                <w:sz w:val="18"/>
                <w:szCs w:val="18"/>
              </w:rPr>
            </w:pPr>
          </w:p>
        </w:tc>
        <w:tc>
          <w:tcPr>
            <w:tcW w:w="108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bl>
    <w:p>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32414F"/>
    <w:rsid w:val="6732414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2022-12-10T01:57:00Z</dcterms:created>
  <dc:creator>Administrator</dc:creator>
  <cp:lastModifiedBy>Administrator</cp:lastModifiedBy>
  <dcterms:modified xsi:type="dcterms:W3CDTF">2022-12-10T01:58:02Z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