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val="0"/>
        <w:autoSpaceDN w:val="0"/>
        <w:bidi w:val="0"/>
        <w:adjustRightInd/>
        <w:snapToGrid w:val="0"/>
        <w:spacing w:line="240" w:lineRule="auto"/>
        <w:jc w:val="distribute"/>
        <w:textAlignment w:val="auto"/>
        <w:rPr>
          <w:rFonts w:hint="default" w:ascii="Times New Roman" w:hAnsi="Times New Roman" w:eastAsia="仿宋_GB2312" w:cs="Times New Roman"/>
          <w:sz w:val="32"/>
          <w:szCs w:val="32"/>
        </w:rPr>
      </w:pPr>
      <w:r>
        <w:rPr>
          <w:rFonts w:hint="default" w:ascii="Times New Roman" w:hAnsi="Times New Roman" w:eastAsia="方正小标宋_GBK" w:cs="Times New Roman"/>
          <w:color w:val="FF0000"/>
          <w:w w:val="44"/>
          <w:sz w:val="160"/>
          <w:szCs w:val="160"/>
        </w:rPr>
        <w:t>泗阳县人民政府办公室文件</w:t>
      </w:r>
    </w:p>
    <w:p>
      <w:pPr>
        <w:keepNext w:val="0"/>
        <w:keepLines w:val="0"/>
        <w:pageBreakBefore w:val="0"/>
        <w:widowControl w:val="0"/>
        <w:kinsoku/>
        <w:wordWrap/>
        <w:overflowPunct w:val="0"/>
        <w:topLinePunct/>
        <w:autoSpaceDE w:val="0"/>
        <w:autoSpaceDN w:val="0"/>
        <w:bidi w:val="0"/>
        <w:adjustRightInd/>
        <w:snapToGrid w:val="0"/>
        <w:spacing w:line="60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w:t>
      </w:r>
      <w:r>
        <w:rPr>
          <w:rFonts w:hint="default" w:ascii="Times New Roman" w:hAnsi="Times New Roman" w:eastAsia="仿宋_GB2312" w:cs="Times New Roman"/>
          <w:color w:val="000000"/>
          <w:sz w:val="32"/>
          <w:szCs w:val="32"/>
          <w:shd w:val="clear" w:color="auto" w:fill="FFFFFF"/>
        </w:rPr>
        <w:t>政办发〔20</w:t>
      </w:r>
      <w:r>
        <w:rPr>
          <w:rFonts w:hint="default" w:ascii="Times New Roman" w:hAnsi="Times New Roman" w:eastAsia="仿宋_GB2312" w:cs="Times New Roman"/>
          <w:color w:val="000000"/>
          <w:sz w:val="32"/>
          <w:szCs w:val="32"/>
          <w:shd w:val="clear" w:color="auto" w:fill="FFFFFF"/>
          <w:lang w:val="en-US" w:eastAsia="zh-CN"/>
        </w:rPr>
        <w:t>23</w:t>
      </w:r>
      <w:r>
        <w:rPr>
          <w:rFonts w:hint="default" w:ascii="Times New Roman" w:hAnsi="Times New Roman" w:eastAsia="仿宋_GB2312" w:cs="Times New Roman"/>
          <w:color w:val="000000"/>
          <w:sz w:val="32"/>
          <w:szCs w:val="32"/>
          <w:shd w:val="clear" w:color="auto" w:fill="FFFFFF"/>
        </w:rPr>
        <w:t>〕</w:t>
      </w:r>
      <w:r>
        <w:rPr>
          <w:rFonts w:hint="default" w:ascii="Times New Roman" w:hAnsi="Times New Roman" w:eastAsia="仿宋_GB2312" w:cs="Times New Roman"/>
          <w:color w:val="000000"/>
          <w:sz w:val="32"/>
          <w:szCs w:val="32"/>
          <w:shd w:val="clear" w:color="auto" w:fill="FFFFFF"/>
          <w:lang w:val="en-US" w:eastAsia="zh-CN"/>
        </w:rPr>
        <w:t>48</w:t>
      </w:r>
      <w:r>
        <w:rPr>
          <w:rFonts w:hint="default" w:ascii="Times New Roman" w:hAnsi="Times New Roman" w:eastAsia="仿宋_GB2312" w:cs="Times New Roman"/>
          <w:color w:val="000000"/>
          <w:sz w:val="32"/>
          <w:szCs w:val="32"/>
          <w:shd w:val="clear" w:color="auto" w:fill="FFFFFF"/>
        </w:rPr>
        <w:t>号</w:t>
      </w:r>
    </w:p>
    <w:p>
      <w:pPr>
        <w:spacing w:after="120" w:afterLines="50" w:line="360" w:lineRule="exact"/>
        <w:rPr>
          <w:rFonts w:hint="default" w:ascii="Times New Roman" w:hAnsi="Times New Roman" w:eastAsia="方正小标宋简体" w:cs="Times New Roman"/>
          <w:sz w:val="44"/>
          <w:szCs w:val="44"/>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column">
                  <wp:posOffset>-69215</wp:posOffset>
                </wp:positionH>
                <wp:positionV relativeFrom="paragraph">
                  <wp:posOffset>249555</wp:posOffset>
                </wp:positionV>
                <wp:extent cx="5687695" cy="0"/>
                <wp:effectExtent l="0" t="6350" r="12065" b="24130"/>
                <wp:wrapNone/>
                <wp:docPr id="3" name="直线 23"/>
                <wp:cNvGraphicFramePr/>
                <a:graphic xmlns:a="http://schemas.openxmlformats.org/drawingml/2006/main">
                  <a:graphicData uri="http://schemas.microsoft.com/office/word/2010/wordprocessingShape">
                    <wps:wsp>
                      <wps:cNvCnPr/>
                      <wps:spPr>
                        <a:xfrm>
                          <a:off x="0" y="0"/>
                          <a:ext cx="5687695" cy="0"/>
                        </a:xfrm>
                        <a:prstGeom prst="line">
                          <a:avLst/>
                        </a:prstGeom>
                        <a:ln w="38100" cap="flat" cmpd="sng">
                          <a:solidFill>
                            <a:srgbClr val="FF0000"/>
                          </a:solidFill>
                          <a:prstDash val="solid"/>
                          <a:headEnd type="none" w="med" len="med"/>
                          <a:tailEnd type="none" w="med" len="med"/>
                        </a:ln>
                        <a:effectLst/>
                      </wps:spPr>
                      <wps:bodyPr upright="1"/>
                    </wps:wsp>
                  </a:graphicData>
                </a:graphic>
              </wp:anchor>
            </w:drawing>
          </mc:Choice>
          <mc:Fallback>
            <w:pict>
              <v:line id="直线 23" o:spid="_x0000_s1026" o:spt="20" style="position:absolute;left:0pt;margin-left:-5.45pt;margin-top:19.65pt;height:0pt;width:447.85pt;z-index:251660288;mso-width-relative:page;mso-height-relative:page;" filled="f" stroked="t" coordsize="21600,21600" o:gfxdata="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cbaPv2gAAAAkBAAAPAAAAAAAAAAEAIAAAACIAAABkcnMvZG93bnJldi54bWxQSwEC&#10;FAAUAAAACACHTuJA0QC/rfIBAADrAwAADgAAAAAAAAABACAAAAApAQAAZHJzL2Uyb0RvYy54bWxQ&#10;SwUGAAAAAAYABgBZAQAAjQUAAAAA&#10;">
                <v:fill on="f" focussize="0,0"/>
                <v:stroke weight="3pt" color="#FF0000" joinstyle="round"/>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212725</wp:posOffset>
                </wp:positionV>
                <wp:extent cx="5600700" cy="635"/>
                <wp:effectExtent l="0" t="0" r="0" b="0"/>
                <wp:wrapNone/>
                <wp:docPr id="4" name="直线 9"/>
                <wp:cNvGraphicFramePr/>
                <a:graphic xmlns:a="http://schemas.openxmlformats.org/drawingml/2006/main">
                  <a:graphicData uri="http://schemas.microsoft.com/office/word/2010/wordprocessingShape">
                    <wps:wsp>
                      <wps:cNvCnPr/>
                      <wps:spPr>
                        <a:xfrm>
                          <a:off x="0" y="0"/>
                          <a:ext cx="5600700" cy="635"/>
                        </a:xfrm>
                        <a:prstGeom prst="line">
                          <a:avLst/>
                        </a:prstGeom>
                        <a:ln w="38100">
                          <a:noFill/>
                        </a:ln>
                        <a:effectLst/>
                      </wps:spPr>
                      <wps:bodyPr upright="1"/>
                    </wps:wsp>
                  </a:graphicData>
                </a:graphic>
              </wp:anchor>
            </w:drawing>
          </mc:Choice>
          <mc:Fallback>
            <w:pict>
              <v:line id="直线 9" o:spid="_x0000_s1026" o:spt="20" style="position:absolute;left:0pt;margin-left:0pt;margin-top:16.75pt;height:0.05pt;width:441pt;z-index:251659264;mso-width-relative:page;mso-height-relative:page;" filled="f" stroked="f" coordsize="21600,21600" o:gfxdata="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3/AYCNUAAAAGAQAADwAAAAAA&#10;AAABACAAAAAiAAAAZHJzL2Rvd25yZXYueG1sUEsBAhQAFAAAAAgAh07iQCSNUdCkAQAAQAMAAA4A&#10;AAAAAAAAAQAgAAAAJAEAAGRycy9lMm9Eb2MueG1sUEsFBgAAAAAGAAYAWQEAADoFAAAAAA==&#10;">
                <v:fill on="f" focussize="0,0"/>
                <v:stroke on="f" weight="3pt"/>
                <v:imagedata o:title=""/>
                <o:lock v:ext="edit" aspectratio="f"/>
              </v:line>
            </w:pict>
          </mc:Fallback>
        </mc:AlternateContent>
      </w:r>
    </w:p>
    <w:p>
      <w:pPr>
        <w:keepNext w:val="0"/>
        <w:keepLines w:val="0"/>
        <w:pageBreakBefore w:val="0"/>
        <w:widowControl w:val="0"/>
        <w:kinsoku/>
        <w:wordWrap/>
        <w:overflowPunct w:val="0"/>
        <w:topLinePunct/>
        <w:autoSpaceDE w:val="0"/>
        <w:autoSpaceDN w:val="0"/>
        <w:bidi w:val="0"/>
        <w:adjustRightInd/>
        <w:snapToGrid w:val="0"/>
        <w:spacing w:line="560" w:lineRule="exact"/>
        <w:ind w:left="0" w:leftChars="0" w:right="0" w:rightChars="0"/>
        <w:jc w:val="center"/>
        <w:textAlignment w:val="auto"/>
        <w:rPr>
          <w:rFonts w:hint="default" w:ascii="Times New Roman" w:hAnsi="Times New Roman" w:eastAsia="仿宋_GB2312" w:cs="Times New Roman"/>
          <w:color w:val="000000"/>
          <w:spacing w:val="0"/>
          <w:sz w:val="32"/>
          <w:szCs w:val="32"/>
        </w:rPr>
      </w:pPr>
    </w:p>
    <w:p>
      <w:pPr>
        <w:keepNext w:val="0"/>
        <w:keepLines w:val="0"/>
        <w:pageBreakBefore w:val="0"/>
        <w:widowControl w:val="0"/>
        <w:kinsoku/>
        <w:wordWrap/>
        <w:overflowPunct w:val="0"/>
        <w:topLinePunct/>
        <w:autoSpaceDE w:val="0"/>
        <w:autoSpaceDN w:val="0"/>
        <w:bidi w:val="0"/>
        <w:adjustRightInd/>
        <w:snapToGrid w:val="0"/>
        <w:spacing w:line="640" w:lineRule="exact"/>
        <w:ind w:left="0" w:leftChars="0" w:right="0" w:rightChars="0"/>
        <w:jc w:val="center"/>
        <w:textAlignment w:val="auto"/>
        <w:rPr>
          <w:rFonts w:hint="default" w:ascii="Times New Roman" w:hAnsi="Times New Roman" w:eastAsia="方正小标宋_GBK" w:cs="Times New Roman"/>
          <w:b w:val="0"/>
          <w:bCs w:val="0"/>
          <w:color w:val="000000"/>
          <w:sz w:val="44"/>
          <w:szCs w:val="44"/>
          <w:lang w:val="en-US" w:eastAsia="zh-CN"/>
        </w:rPr>
      </w:pPr>
      <w:r>
        <w:rPr>
          <w:rFonts w:hint="default" w:ascii="Times New Roman" w:hAnsi="Times New Roman" w:eastAsia="方正小标宋_GBK" w:cs="Times New Roman"/>
          <w:b w:val="0"/>
          <w:bCs w:val="0"/>
          <w:color w:val="000000"/>
          <w:spacing w:val="0"/>
          <w:kern w:val="21"/>
          <w:sz w:val="44"/>
          <w:szCs w:val="44"/>
          <w:lang w:eastAsia="zh-CN"/>
        </w:rPr>
        <w:t>关于印发</w:t>
      </w:r>
      <w:r>
        <w:rPr>
          <w:rFonts w:hint="default" w:ascii="Times New Roman" w:hAnsi="Times New Roman" w:eastAsia="方正小标宋_GBK" w:cs="Times New Roman"/>
          <w:b w:val="0"/>
          <w:bCs w:val="0"/>
          <w:color w:val="000000"/>
          <w:sz w:val="44"/>
          <w:szCs w:val="44"/>
          <w:lang w:val="en-US" w:eastAsia="zh-CN"/>
        </w:rPr>
        <w:t>泗阳县残疾预防行动计划</w:t>
      </w:r>
    </w:p>
    <w:p>
      <w:pPr>
        <w:keepNext w:val="0"/>
        <w:keepLines w:val="0"/>
        <w:pageBreakBefore w:val="0"/>
        <w:widowControl w:val="0"/>
        <w:kinsoku/>
        <w:wordWrap/>
        <w:overflowPunct w:val="0"/>
        <w:topLinePunct/>
        <w:autoSpaceDE w:val="0"/>
        <w:autoSpaceDN w:val="0"/>
        <w:bidi w:val="0"/>
        <w:adjustRightInd/>
        <w:snapToGrid w:val="0"/>
        <w:spacing w:line="640" w:lineRule="exact"/>
        <w:ind w:left="0" w:leftChars="0" w:right="0" w:rightChars="0"/>
        <w:jc w:val="center"/>
        <w:textAlignment w:val="auto"/>
        <w:rPr>
          <w:rFonts w:hint="default" w:ascii="Times New Roman" w:hAnsi="Times New Roman" w:eastAsia="方正小标宋_GBK" w:cs="Times New Roman"/>
          <w:b w:val="0"/>
          <w:bCs w:val="0"/>
          <w:color w:val="000000"/>
          <w:sz w:val="44"/>
          <w:szCs w:val="44"/>
          <w:lang w:val="en-US" w:eastAsia="zh-CN"/>
        </w:rPr>
      </w:pPr>
      <w:r>
        <w:rPr>
          <w:rFonts w:hint="default" w:ascii="Times New Roman" w:hAnsi="Times New Roman" w:eastAsia="方正小标宋_GBK" w:cs="Times New Roman"/>
          <w:b w:val="0"/>
          <w:bCs w:val="0"/>
          <w:color w:val="000000"/>
          <w:sz w:val="44"/>
          <w:szCs w:val="44"/>
          <w:lang w:val="en-US" w:eastAsia="zh-CN"/>
        </w:rPr>
        <w:t>（2023-2025年）的通知</w:t>
      </w:r>
    </w:p>
    <w:p>
      <w:pPr>
        <w:pStyle w:val="2"/>
        <w:keepNext w:val="0"/>
        <w:keepLines w:val="0"/>
        <w:pageBreakBefore w:val="0"/>
        <w:wordWrap/>
        <w:bidi w:val="0"/>
        <w:spacing w:line="560" w:lineRule="exact"/>
        <w:ind w:left="0" w:leftChars="0" w:right="0" w:rightChars="0" w:firstLine="0" w:firstLineChars="0"/>
        <w:rPr>
          <w:rFonts w:hint="default" w:ascii="Times New Roman" w:hAnsi="Times New Roman" w:eastAsia="方正小标宋_GBK" w:cs="Times New Roman"/>
          <w:b w:val="0"/>
          <w:bCs w:val="0"/>
          <w:color w:val="000000"/>
          <w:sz w:val="44"/>
          <w:szCs w:val="44"/>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jc w:val="both"/>
        <w:textAlignment w:val="auto"/>
        <w:rPr>
          <w:rFonts w:hint="default" w:ascii="Times New Roman" w:hAnsi="Times New Roman" w:eastAsia="仿宋_GB2312" w:cs="Times New Roman"/>
          <w:b w:val="0"/>
          <w:bCs w:val="0"/>
          <w:snapToGrid/>
          <w:color w:val="auto"/>
          <w:kern w:val="2"/>
          <w:sz w:val="32"/>
          <w:szCs w:val="32"/>
          <w:lang w:val="en-US" w:eastAsia="zh-CN" w:bidi="ar-SA"/>
        </w:rPr>
      </w:pPr>
      <w:r>
        <w:rPr>
          <w:rFonts w:hint="default" w:ascii="Times New Roman" w:hAnsi="Times New Roman" w:eastAsia="仿宋_GB2312" w:cs="Times New Roman"/>
          <w:b w:val="0"/>
          <w:bCs w:val="0"/>
          <w:snapToGrid/>
          <w:color w:val="auto"/>
          <w:kern w:val="2"/>
          <w:sz w:val="32"/>
          <w:szCs w:val="32"/>
          <w:lang w:val="en-US" w:eastAsia="zh-CN" w:bidi="ar-SA"/>
        </w:rPr>
        <w:t>各乡镇人民政府，各街道办事处，各园区(场)管委会，县各委办局，县各直属单位：</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napToGrid/>
          <w:color w:val="auto"/>
          <w:kern w:val="2"/>
          <w:sz w:val="32"/>
          <w:szCs w:val="32"/>
          <w:lang w:val="en-US" w:eastAsia="zh-CN" w:bidi="ar-SA"/>
        </w:rPr>
      </w:pPr>
      <w:r>
        <w:rPr>
          <w:rFonts w:hint="default" w:ascii="Times New Roman" w:hAnsi="Times New Roman" w:eastAsia="仿宋_GB2312" w:cs="Times New Roman"/>
          <w:b w:val="0"/>
          <w:bCs w:val="0"/>
          <w:snapToGrid/>
          <w:color w:val="auto"/>
          <w:kern w:val="2"/>
          <w:sz w:val="32"/>
          <w:szCs w:val="32"/>
          <w:lang w:val="en-US" w:eastAsia="zh-CN" w:bidi="ar-SA"/>
        </w:rPr>
        <w:t>现将《泗阳县残疾预防行动计划（2023-2025年）》印发给你们，请认真贯彻执行。</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center"/>
        <w:textAlignment w:val="auto"/>
        <w:rPr>
          <w:rFonts w:hint="default" w:ascii="Times New Roman" w:hAnsi="Times New Roman" w:eastAsia="仿宋_GB2312" w:cs="Times New Roman"/>
          <w:b w:val="0"/>
          <w:bCs w:val="0"/>
          <w:color w:val="000000"/>
          <w:kern w:val="21"/>
          <w:sz w:val="32"/>
          <w:szCs w:val="32"/>
          <w:lang w:val="en-US" w:eastAsia="zh-CN"/>
        </w:rPr>
      </w:pPr>
      <w:r>
        <w:rPr>
          <w:rFonts w:hint="default" w:ascii="Times New Roman" w:hAnsi="Times New Roman" w:eastAsia="仿宋_GB2312" w:cs="Times New Roman"/>
          <w:b w:val="0"/>
          <w:bCs w:val="0"/>
          <w:color w:val="000000"/>
          <w:kern w:val="21"/>
          <w:sz w:val="32"/>
          <w:szCs w:val="32"/>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center"/>
        <w:textAlignment w:val="auto"/>
        <w:rPr>
          <w:rFonts w:hint="default" w:ascii="Times New Roman" w:hAnsi="Times New Roman" w:eastAsia="仿宋_GB2312" w:cs="Times New Roman"/>
          <w:b w:val="0"/>
          <w:bCs w:val="0"/>
          <w:color w:val="000000"/>
          <w:kern w:val="21"/>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center"/>
        <w:textAlignment w:val="auto"/>
        <w:rPr>
          <w:rFonts w:hint="default" w:ascii="Times New Roman" w:hAnsi="Times New Roman" w:eastAsia="仿宋_GB2312" w:cs="Times New Roman"/>
          <w:b w:val="0"/>
          <w:bCs w:val="0"/>
          <w:color w:val="000000"/>
          <w:kern w:val="21"/>
          <w:sz w:val="32"/>
          <w:szCs w:val="32"/>
          <w:lang w:val="en-US" w:eastAsia="zh-CN"/>
        </w:rPr>
      </w:pPr>
      <w:r>
        <w:rPr>
          <w:rFonts w:hint="default" w:ascii="Times New Roman" w:hAnsi="Times New Roman" w:eastAsia="仿宋_GB2312" w:cs="Times New Roman"/>
          <w:b w:val="0"/>
          <w:bCs w:val="0"/>
          <w:color w:val="000000"/>
          <w:kern w:val="21"/>
          <w:sz w:val="32"/>
          <w:szCs w:val="32"/>
          <w:lang w:val="en-US" w:eastAsia="zh-CN"/>
        </w:rPr>
        <w:t xml:space="preserve">                         泗阳县人民政府办公室</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center"/>
        <w:textAlignment w:val="auto"/>
        <w:rPr>
          <w:rFonts w:hint="default" w:ascii="Times New Roman" w:hAnsi="Times New Roman" w:eastAsia="仿宋_GB2312" w:cs="Times New Roman"/>
          <w:b w:val="0"/>
          <w:bCs w:val="0"/>
          <w:color w:val="000000"/>
          <w:kern w:val="21"/>
          <w:sz w:val="32"/>
          <w:szCs w:val="32"/>
          <w:lang w:val="en-US" w:eastAsia="zh-CN"/>
        </w:rPr>
      </w:pPr>
      <w:r>
        <w:rPr>
          <w:rFonts w:hint="default" w:ascii="Times New Roman" w:hAnsi="Times New Roman" w:eastAsia="仿宋_GB2312" w:cs="Times New Roman"/>
          <w:b w:val="0"/>
          <w:bCs w:val="0"/>
          <w:color w:val="000000"/>
          <w:kern w:val="21"/>
          <w:sz w:val="32"/>
          <w:szCs w:val="32"/>
          <w:lang w:val="en-US" w:eastAsia="zh-CN"/>
        </w:rPr>
        <w:t>　　　　　　　　　　    　2023年7月</w:t>
      </w:r>
      <w:r>
        <w:rPr>
          <w:rFonts w:hint="default" w:ascii="Times New Roman" w:hAnsi="Times New Roman" w:eastAsia="仿宋_GB2312" w:cs="Times New Roman"/>
          <w:color w:val="000000"/>
          <w:sz w:val="32"/>
          <w:szCs w:val="32"/>
          <w:shd w:val="clear" w:color="auto" w:fill="FFFFFF"/>
          <w:lang w:val="en-US" w:eastAsia="zh-CN"/>
        </w:rPr>
        <w:t>4</w:t>
      </w:r>
      <w:r>
        <w:rPr>
          <w:rFonts w:hint="default" w:ascii="Times New Roman" w:hAnsi="Times New Roman" w:eastAsia="仿宋_GB2312" w:cs="Times New Roman"/>
          <w:b w:val="0"/>
          <w:bCs w:val="0"/>
          <w:color w:val="000000"/>
          <w:kern w:val="21"/>
          <w:sz w:val="32"/>
          <w:szCs w:val="32"/>
          <w:lang w:val="en-US" w:eastAsia="zh-CN"/>
        </w:rPr>
        <w:t>日</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default" w:ascii="Times New Roman" w:hAnsi="Times New Roman" w:eastAsia="仿宋_GB2312" w:cs="Times New Roman"/>
          <w:b w:val="0"/>
          <w:bCs w:val="0"/>
          <w:color w:val="000000"/>
          <w:kern w:val="21"/>
          <w:sz w:val="32"/>
          <w:szCs w:val="32"/>
        </w:rPr>
      </w:pPr>
    </w:p>
    <w:p>
      <w:pPr>
        <w:rPr>
          <w:rFonts w:hint="default" w:ascii="Times New Roman" w:hAnsi="Times New Roman" w:cs="Times New Roman"/>
        </w:rPr>
      </w:pPr>
    </w:p>
    <w:p>
      <w:pPr>
        <w:pStyle w:val="2"/>
        <w:rPr>
          <w:rFonts w:hint="default" w:ascii="Times New Roman" w:hAnsi="Times New Roman" w:cs="Times New Roman"/>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default" w:ascii="Times New Roman" w:hAnsi="Times New Roman" w:eastAsia="仿宋_GB2312" w:cs="Times New Roman"/>
          <w:b w:val="0"/>
          <w:bCs w:val="0"/>
          <w:kern w:val="2"/>
          <w:sz w:val="32"/>
          <w:szCs w:val="24"/>
          <w:lang w:val="en-US" w:eastAsia="zh-CN" w:bidi="ar-SA"/>
        </w:rPr>
      </w:pPr>
      <w:r>
        <w:rPr>
          <w:rFonts w:hint="default" w:ascii="Times New Roman" w:hAnsi="Times New Roman" w:eastAsia="仿宋_GB2312" w:cs="Times New Roman"/>
          <w:b w:val="0"/>
          <w:bCs w:val="0"/>
          <w:kern w:val="2"/>
          <w:sz w:val="32"/>
          <w:szCs w:val="24"/>
          <w:lang w:val="en-US" w:eastAsia="zh-CN" w:bidi="ar-SA"/>
        </w:rPr>
        <w:t>（此件公开发布）</w:t>
      </w:r>
    </w:p>
    <w:p>
      <w:pPr>
        <w:keepNext w:val="0"/>
        <w:keepLines w:val="0"/>
        <w:pageBreakBefore w:val="0"/>
        <w:kinsoku/>
        <w:wordWrap/>
        <w:overflowPunct/>
        <w:topLinePunct w:val="0"/>
        <w:autoSpaceDE/>
        <w:autoSpaceDN/>
        <w:bidi w:val="0"/>
        <w:adjustRightInd w:val="0"/>
        <w:snapToGrid w:val="0"/>
        <w:spacing w:line="550" w:lineRule="exact"/>
        <w:ind w:left="0" w:leftChars="0"/>
        <w:jc w:val="center"/>
        <w:textAlignment w:val="auto"/>
        <w:rPr>
          <w:rFonts w:hint="default" w:ascii="Times New Roman" w:hAnsi="Times New Roman" w:eastAsia="方正小标宋_GBK" w:cs="Times New Roman"/>
          <w:b w:val="0"/>
          <w:bCs w:val="0"/>
          <w:color w:val="000000"/>
          <w:sz w:val="44"/>
          <w:szCs w:val="44"/>
          <w:lang w:val="en-US" w:eastAsia="zh-CN"/>
        </w:rPr>
      </w:pPr>
      <w:r>
        <w:rPr>
          <w:rFonts w:hint="default" w:ascii="Times New Roman" w:hAnsi="Times New Roman" w:eastAsia="方正小标宋_GBK" w:cs="Times New Roman"/>
          <w:b w:val="0"/>
          <w:bCs w:val="0"/>
          <w:color w:val="000000"/>
          <w:sz w:val="44"/>
          <w:szCs w:val="44"/>
          <w:lang w:val="en-US" w:eastAsia="zh-CN"/>
        </w:rPr>
        <w:t>泗阳县残疾预防行动计划（2023-2025年）</w:t>
      </w:r>
    </w:p>
    <w:p>
      <w:pPr>
        <w:pStyle w:val="13"/>
        <w:keepNext w:val="0"/>
        <w:keepLines w:val="0"/>
        <w:pageBreakBefore w:val="0"/>
        <w:wordWrap/>
        <w:bidi w:val="0"/>
        <w:spacing w:after="0" w:line="550" w:lineRule="exact"/>
        <w:ind w:left="0" w:leftChars="0" w:firstLine="640" w:firstLineChars="200"/>
        <w:jc w:val="both"/>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b w:val="0"/>
          <w:bCs w:val="0"/>
          <w:snapToGrid/>
          <w:color w:val="auto"/>
          <w:kern w:val="2"/>
          <w:sz w:val="32"/>
          <w:szCs w:val="32"/>
          <w:lang w:val="en-US" w:eastAsia="zh-CN" w:bidi="ar-SA"/>
        </w:rPr>
      </w:pPr>
      <w:r>
        <w:rPr>
          <w:rFonts w:hint="default" w:ascii="Times New Roman" w:hAnsi="Times New Roman" w:eastAsia="仿宋_GB2312" w:cs="Times New Roman"/>
          <w:b w:val="0"/>
          <w:bCs w:val="0"/>
          <w:snapToGrid/>
          <w:color w:val="auto"/>
          <w:kern w:val="2"/>
          <w:sz w:val="32"/>
          <w:szCs w:val="32"/>
          <w:lang w:val="en-US" w:eastAsia="zh-CN" w:bidi="ar-SA"/>
        </w:rPr>
        <w:t>为进一步加强残疾预防，有效减少和控制残疾发生、发展，深入推进健康泗阳建设和新时代残疾人工作，</w:t>
      </w:r>
      <w:r>
        <w:rPr>
          <w:rFonts w:hint="default" w:ascii="Times New Roman" w:hAnsi="Times New Roman" w:eastAsia="仿宋_GB2312" w:cs="Times New Roman"/>
          <w:b w:val="0"/>
          <w:bCs w:val="0"/>
          <w:color w:val="auto"/>
          <w:sz w:val="32"/>
          <w:szCs w:val="32"/>
          <w:lang w:val="en-US" w:eastAsia="zh-CN"/>
        </w:rPr>
        <w:t>根据</w:t>
      </w:r>
      <w:r>
        <w:rPr>
          <w:rFonts w:hint="default" w:ascii="Times New Roman" w:hAnsi="Times New Roman" w:eastAsia="仿宋_GB2312" w:cs="Times New Roman"/>
          <w:b w:val="0"/>
          <w:bCs w:val="0"/>
          <w:snapToGrid/>
          <w:color w:val="auto"/>
          <w:kern w:val="2"/>
          <w:sz w:val="32"/>
          <w:szCs w:val="32"/>
          <w:lang w:val="en-US" w:eastAsia="zh-CN" w:bidi="ar-SA"/>
        </w:rPr>
        <w:t>《江苏省残疾预防行动计划（2021-2025年）》（苏政办发〔2022〕31号）、</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val="en-US" w:eastAsia="zh-CN"/>
        </w:rPr>
        <w:t>宿迁市</w:t>
      </w:r>
      <w:r>
        <w:rPr>
          <w:rFonts w:hint="default" w:ascii="Times New Roman" w:hAnsi="Times New Roman" w:eastAsia="仿宋_GB2312" w:cs="Times New Roman"/>
          <w:b w:val="0"/>
          <w:bCs w:val="0"/>
          <w:color w:val="auto"/>
          <w:sz w:val="32"/>
          <w:szCs w:val="32"/>
        </w:rPr>
        <w:t>残疾预防行动计划</w:t>
      </w:r>
      <w:r>
        <w:rPr>
          <w:rFonts w:hint="default" w:ascii="Times New Roman" w:hAnsi="Times New Roman" w:eastAsia="仿宋_GB2312" w:cs="Times New Roman"/>
          <w:b w:val="0"/>
          <w:bCs w:val="0"/>
          <w:color w:val="auto"/>
          <w:sz w:val="32"/>
          <w:szCs w:val="32"/>
          <w:lang w:val="en-US" w:eastAsia="zh-CN"/>
        </w:rPr>
        <w:t>（2022-2025年）</w:t>
      </w:r>
      <w:r>
        <w:rPr>
          <w:rFonts w:hint="default" w:ascii="Times New Roman" w:hAnsi="Times New Roman" w:eastAsia="仿宋_GB2312" w:cs="Times New Roman"/>
          <w:b w:val="0"/>
          <w:bCs w:val="0"/>
          <w:color w:val="auto"/>
          <w:sz w:val="32"/>
          <w:szCs w:val="32"/>
        </w:rPr>
        <w:t>》</w:t>
      </w:r>
      <w:r>
        <w:rPr>
          <w:rFonts w:hint="default" w:ascii="Times New Roman" w:hAnsi="Times New Roman" w:eastAsia="仿宋_GB2312" w:cs="Times New Roman"/>
          <w:b w:val="0"/>
          <w:bCs w:val="0"/>
          <w:color w:val="auto"/>
          <w:sz w:val="32"/>
          <w:szCs w:val="32"/>
          <w:lang w:eastAsia="zh-CN"/>
        </w:rPr>
        <w:t>（宿政办发〔2022〕59号）等文件精神</w:t>
      </w:r>
      <w:r>
        <w:rPr>
          <w:rFonts w:hint="default" w:ascii="Times New Roman" w:hAnsi="Times New Roman" w:eastAsia="仿宋_GB2312" w:cs="Times New Roman"/>
          <w:b w:val="0"/>
          <w:bCs w:val="0"/>
          <w:snapToGrid/>
          <w:color w:val="auto"/>
          <w:kern w:val="2"/>
          <w:sz w:val="32"/>
          <w:szCs w:val="32"/>
          <w:lang w:val="en-US" w:eastAsia="zh-CN" w:bidi="ar-SA"/>
        </w:rPr>
        <w:t>，补短板、强弱项、促提升</w:t>
      </w:r>
      <w:r>
        <w:rPr>
          <w:rFonts w:hint="eastAsia" w:ascii="Times New Roman" w:hAnsi="Times New Roman" w:eastAsia="仿宋_GB2312" w:cs="Times New Roman"/>
          <w:b w:val="0"/>
          <w:bCs w:val="0"/>
          <w:snapToGrid/>
          <w:color w:val="auto"/>
          <w:kern w:val="2"/>
          <w:sz w:val="32"/>
          <w:szCs w:val="32"/>
          <w:lang w:val="en-US" w:eastAsia="zh-CN" w:bidi="ar-SA"/>
        </w:rPr>
        <w:t>，</w:t>
      </w:r>
      <w:bookmarkStart w:id="0" w:name="_GoBack"/>
      <w:bookmarkEnd w:id="0"/>
      <w:r>
        <w:rPr>
          <w:rFonts w:hint="default" w:ascii="Times New Roman" w:hAnsi="Times New Roman" w:eastAsia="仿宋_GB2312" w:cs="Times New Roman"/>
          <w:b w:val="0"/>
          <w:bCs w:val="0"/>
          <w:snapToGrid/>
          <w:color w:val="auto"/>
          <w:kern w:val="2"/>
          <w:sz w:val="32"/>
          <w:szCs w:val="32"/>
          <w:lang w:val="en-US" w:eastAsia="zh-CN" w:bidi="ar-SA"/>
        </w:rPr>
        <w:t>结合我县工作实际，特制定本行动计划。</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黑体" w:cs="Times New Roman"/>
          <w:snapToGrid/>
          <w:color w:val="auto"/>
          <w:kern w:val="0"/>
          <w:sz w:val="32"/>
          <w:szCs w:val="24"/>
          <w:lang w:val="en-US" w:eastAsia="zh-CN"/>
        </w:rPr>
      </w:pPr>
      <w:r>
        <w:rPr>
          <w:rFonts w:hint="default" w:ascii="Times New Roman" w:hAnsi="Times New Roman" w:eastAsia="黑体" w:cs="Times New Roman"/>
          <w:snapToGrid/>
          <w:color w:val="auto"/>
          <w:kern w:val="0"/>
          <w:sz w:val="32"/>
          <w:szCs w:val="24"/>
          <w:lang w:val="en-US" w:eastAsia="zh-CN"/>
        </w:rPr>
        <w:t>一、总体要求</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楷体_GB2312" w:cs="Times New Roman"/>
          <w:snapToGrid/>
          <w:color w:val="auto"/>
          <w:kern w:val="0"/>
          <w:sz w:val="32"/>
          <w:szCs w:val="24"/>
          <w:lang w:val="en-US" w:eastAsia="zh-CN"/>
        </w:rPr>
        <w:t>（一）指导思想</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val="0"/>
          <w:bCs w:val="0"/>
          <w:snapToGrid/>
          <w:color w:val="auto"/>
          <w:kern w:val="2"/>
          <w:sz w:val="32"/>
          <w:szCs w:val="32"/>
          <w:lang w:val="en-US" w:eastAsia="zh-CN" w:bidi="ar-SA"/>
        </w:rPr>
        <w:t>以习近平新时代中国特色社会主义思想为指导，全面贯彻党的二十大和二十届一中、二中全会精神，认真落实党中央、国务院决策部署和省、市、县相关要求，</w:t>
      </w:r>
      <w:r>
        <w:rPr>
          <w:rFonts w:hint="default" w:ascii="Times New Roman" w:hAnsi="Times New Roman" w:eastAsia="仿宋_GB2312" w:cs="Times New Roman"/>
          <w:b w:val="0"/>
          <w:bCs w:val="0"/>
          <w:snapToGrid/>
          <w:color w:val="auto"/>
          <w:kern w:val="2"/>
          <w:sz w:val="32"/>
          <w:szCs w:val="32"/>
          <w:u w:val="none"/>
          <w:lang w:val="en-US" w:eastAsia="zh-CN" w:bidi="ar-SA"/>
        </w:rPr>
        <w:t>立足建成“千里运河最美县”目标任务，坚持以人民为中心的发展思想，贯彻预防为主</w:t>
      </w:r>
      <w:r>
        <w:rPr>
          <w:rFonts w:hint="default" w:ascii="Times New Roman" w:hAnsi="Times New Roman" w:eastAsia="仿宋_GB2312" w:cs="Times New Roman"/>
          <w:b w:val="0"/>
          <w:bCs w:val="0"/>
          <w:color w:val="auto"/>
          <w:sz w:val="32"/>
          <w:szCs w:val="32"/>
          <w:u w:val="none"/>
          <w:lang w:val="en-US" w:eastAsia="zh-CN"/>
        </w:rPr>
        <w:t>、预防与康复相结合的方针，</w:t>
      </w:r>
      <w:r>
        <w:rPr>
          <w:rFonts w:hint="default" w:ascii="Times New Roman" w:hAnsi="Times New Roman" w:eastAsia="仿宋_GB2312" w:cs="Times New Roman"/>
          <w:b w:val="0"/>
          <w:bCs w:val="0"/>
          <w:snapToGrid/>
          <w:color w:val="auto"/>
          <w:kern w:val="2"/>
          <w:sz w:val="32"/>
          <w:szCs w:val="32"/>
          <w:u w:val="none"/>
          <w:lang w:val="en-US" w:eastAsia="zh-CN" w:bidi="ar-SA"/>
        </w:rPr>
        <w:t>全民动员、科学施策、依法推进，着力构建综合性、社会化的防控网络，全面保障人民群众生命安全和身体健康。</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楷体_GB2312" w:cs="Times New Roman"/>
          <w:snapToGrid/>
          <w:color w:val="auto"/>
          <w:kern w:val="0"/>
          <w:sz w:val="32"/>
          <w:szCs w:val="24"/>
          <w:lang w:val="en-US" w:eastAsia="zh-CN"/>
        </w:rPr>
        <w:t>（二）基本原则</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default" w:ascii="Times New Roman" w:hAnsi="Times New Roman" w:eastAsia="仿宋_GB2312" w:cs="Times New Roman"/>
          <w:b/>
          <w:bCs/>
          <w:snapToGrid/>
          <w:color w:val="auto"/>
          <w:kern w:val="2"/>
          <w:sz w:val="32"/>
          <w:szCs w:val="32"/>
          <w:u w:val="none"/>
          <w:lang w:val="en-US" w:eastAsia="zh-CN" w:bidi="ar-SA"/>
        </w:rPr>
        <w:t>1．政府主导，齐抓共管。</w:t>
      </w:r>
      <w:r>
        <w:rPr>
          <w:rFonts w:hint="default" w:ascii="Times New Roman" w:hAnsi="Times New Roman" w:eastAsia="仿宋_GB2312" w:cs="Times New Roman"/>
          <w:b w:val="0"/>
          <w:bCs w:val="0"/>
          <w:color w:val="auto"/>
          <w:sz w:val="32"/>
          <w:szCs w:val="32"/>
          <w:u w:val="none"/>
          <w:lang w:val="en-US" w:eastAsia="zh-CN"/>
        </w:rPr>
        <w:t>将残疾预防和控制工作纳入经济和社会发展规划，落实政府责任，加强部门协作，有效利用社会资源，调动个人和社会积极性，形成政府主导、部门联动、社会参与的残疾预防工作格局。</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2．以人为本，人人尽责。</w:t>
      </w:r>
      <w:r>
        <w:rPr>
          <w:rFonts w:hint="default" w:ascii="Times New Roman" w:hAnsi="Times New Roman" w:eastAsia="仿宋_GB2312" w:cs="Times New Roman"/>
          <w:b w:val="0"/>
          <w:bCs w:val="0"/>
          <w:snapToGrid/>
          <w:color w:val="auto"/>
          <w:kern w:val="2"/>
          <w:sz w:val="32"/>
          <w:szCs w:val="32"/>
          <w:u w:val="none"/>
          <w:lang w:val="en-US" w:eastAsia="zh-CN" w:bidi="ar-SA"/>
        </w:rPr>
        <w:t>倡导每个人是自己健康第一责任人的理念，进一步加强残疾预防宣传和健康教育，开展全生命周期的残疾预防活动，让残疾预防知识、行为和技能成为全民普遍具备的素养和能力。</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3．突出重点，早期干预。</w:t>
      </w:r>
      <w:r>
        <w:rPr>
          <w:rFonts w:hint="default" w:ascii="Times New Roman" w:hAnsi="Times New Roman" w:eastAsia="仿宋_GB2312" w:cs="Times New Roman"/>
          <w:b w:val="0"/>
          <w:bCs w:val="0"/>
          <w:snapToGrid/>
          <w:color w:val="auto"/>
          <w:kern w:val="2"/>
          <w:sz w:val="32"/>
          <w:szCs w:val="32"/>
          <w:u w:val="none"/>
          <w:lang w:val="en-US" w:eastAsia="zh-CN" w:bidi="ar-SA"/>
        </w:rPr>
        <w:t>坚持普遍预防和重点预防相结合，以社区和家庭为基础，专业机构和社会参与相结合，建立以一级预防为重点的三级预防机制。推动残疾预防关口前移，采取措施进行早期干预，推进健康教育、健康促进，提供系统连续的筛查、诊断、治疗、康复一体化服务。</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楷体_GB2312" w:cs="Times New Roman"/>
          <w:snapToGrid/>
          <w:color w:val="auto"/>
          <w:kern w:val="0"/>
          <w:sz w:val="32"/>
          <w:szCs w:val="24"/>
          <w:lang w:val="en-US" w:eastAsia="zh-CN"/>
        </w:rPr>
        <w:t>（三）工作目标</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val="0"/>
          <w:bCs w:val="0"/>
          <w:snapToGrid/>
          <w:color w:val="auto"/>
          <w:kern w:val="2"/>
          <w:sz w:val="32"/>
          <w:szCs w:val="32"/>
          <w:u w:val="none"/>
          <w:lang w:val="en-US" w:eastAsia="zh-CN" w:bidi="ar-SA"/>
        </w:rPr>
        <w:t>到2025年，我县残疾预防政策体系进一步完善，残疾预防服务网络更加健全。全民残疾预防素养明显提升，主要致残因素得到有效控制，残疾康复服务状况持续改善，全县残疾预防工作水平走在全市前列。</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黑体" w:cs="Times New Roman"/>
          <w:snapToGrid/>
          <w:color w:val="auto"/>
          <w:kern w:val="0"/>
          <w:sz w:val="32"/>
          <w:szCs w:val="24"/>
          <w:lang w:val="en-US" w:eastAsia="zh-CN"/>
        </w:rPr>
      </w:pPr>
      <w:r>
        <w:rPr>
          <w:rFonts w:hint="default" w:ascii="Times New Roman" w:hAnsi="Times New Roman" w:eastAsia="黑体" w:cs="Times New Roman"/>
          <w:snapToGrid/>
          <w:color w:val="auto"/>
          <w:kern w:val="0"/>
          <w:sz w:val="32"/>
          <w:szCs w:val="24"/>
          <w:lang w:val="en-US" w:eastAsia="zh-CN"/>
        </w:rPr>
        <w:t>二、重点任务</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楷体_GB2312" w:cs="Times New Roman"/>
          <w:snapToGrid/>
          <w:color w:val="auto"/>
          <w:kern w:val="0"/>
          <w:sz w:val="32"/>
          <w:szCs w:val="24"/>
          <w:lang w:val="en-US" w:eastAsia="zh-CN"/>
        </w:rPr>
        <w:t>（一）实施残疾预防宣教行动</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1．加大残疾预防宣传力度。</w:t>
      </w:r>
      <w:r>
        <w:rPr>
          <w:rFonts w:hint="default" w:ascii="Times New Roman" w:hAnsi="Times New Roman" w:eastAsia="仿宋_GB2312" w:cs="Times New Roman"/>
          <w:b w:val="0"/>
          <w:bCs w:val="0"/>
          <w:snapToGrid/>
          <w:color w:val="auto"/>
          <w:kern w:val="2"/>
          <w:sz w:val="32"/>
          <w:szCs w:val="32"/>
          <w:u w:val="none"/>
          <w:lang w:val="en-US" w:eastAsia="zh-CN" w:bidi="ar-SA"/>
        </w:rPr>
        <w:t>推动建立全县残疾预防科普知识资源库，征集、汇总残疾预防政策、残疾预防知识、残疾预防典型案例等相关材料，分类梳理后纳入各类资源平台。将残疾预防教育纳入全民教育体系、融入居民工作生活日常，鼓励各有关部门、组织创作播出残疾预防公益广告，充分利用传统媒体和新媒体进行传播。鼓励各单位丰富宣教形式，提升宣教活动的影响力、实效性，增强全民残疾预防意识。</w:t>
      </w:r>
      <w:r>
        <w:rPr>
          <w:rFonts w:hint="default" w:ascii="Times New Roman" w:hAnsi="Times New Roman" w:eastAsia="楷体_GB2312" w:cs="Times New Roman"/>
          <w:snapToGrid/>
          <w:color w:val="auto"/>
          <w:kern w:val="0"/>
          <w:sz w:val="32"/>
          <w:szCs w:val="24"/>
          <w:lang w:val="en-US" w:eastAsia="zh-CN"/>
        </w:rPr>
        <w:t>（卫健局、残联牵头，宣传部（网信办）、教育局、民政局、生态环境局、交通局、应急管理局、文广旅局、总工会、团县委按职责分工负责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2．开展重点宣传教育活动。</w:t>
      </w:r>
      <w:r>
        <w:rPr>
          <w:rFonts w:hint="default" w:ascii="Times New Roman" w:hAnsi="Times New Roman" w:eastAsia="仿宋_GB2312" w:cs="Times New Roman"/>
          <w:b w:val="0"/>
          <w:bCs w:val="0"/>
          <w:snapToGrid/>
          <w:color w:val="auto"/>
          <w:kern w:val="2"/>
          <w:sz w:val="32"/>
          <w:szCs w:val="32"/>
          <w:u w:val="none"/>
          <w:lang w:val="en-US" w:eastAsia="zh-CN" w:bidi="ar-SA"/>
        </w:rPr>
        <w:t>强化全国残疾预防日宣传效果，利用爱耳日、爱眼日、世界噪音日、防治碘缺乏病日、预防出生缺陷日、精神卫生日、防灾减灾日、全国消防日、全国交通安全日等宣传节点，加强残疾预防知识专题宣传，利用群众喜闻乐见的活动形式、传播方式，提升各类宣传活动的影响力、实效性。面向儿童、青少年、孕产妇、老年人等重点人群开展针对性宣传教育，普及遗传和发育、疾病、伤害等致残防控的知识、方法。在学校、医院、康复机构、妇幼保健院、婚姻登记机关等重点场所，组织开展残疾预防知识讲座和残疾预防巡展工作。</w:t>
      </w:r>
      <w:r>
        <w:rPr>
          <w:rFonts w:hint="default" w:ascii="Times New Roman" w:hAnsi="Times New Roman" w:eastAsia="楷体_GB2312" w:cs="Times New Roman"/>
          <w:snapToGrid/>
          <w:color w:val="auto"/>
          <w:kern w:val="0"/>
          <w:sz w:val="32"/>
          <w:szCs w:val="24"/>
          <w:lang w:val="en-US" w:eastAsia="zh-CN"/>
        </w:rPr>
        <w:t>（宣传部（网信办）、卫健局、残联牵头，教育局、工信局、公安局、民政局、司法局、人社局、生态环境局、交通局、应急管理局、文广旅局、总工会、团县委、妇联按职责分工负责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3．做好残疾预防专业培训工作。</w:t>
      </w:r>
      <w:r>
        <w:rPr>
          <w:rFonts w:hint="default" w:ascii="Times New Roman" w:hAnsi="Times New Roman" w:eastAsia="仿宋_GB2312" w:cs="Times New Roman"/>
          <w:b w:val="0"/>
          <w:bCs w:val="0"/>
          <w:snapToGrid/>
          <w:color w:val="auto"/>
          <w:kern w:val="2"/>
          <w:sz w:val="32"/>
          <w:szCs w:val="32"/>
          <w:u w:val="none"/>
          <w:lang w:val="en-US" w:eastAsia="zh-CN" w:bidi="ar-SA"/>
        </w:rPr>
        <w:t>全面抓好《江苏省残疾预防和残疾人康复实施办法》</w:t>
      </w:r>
      <w:r>
        <w:rPr>
          <w:rFonts w:hint="default" w:ascii="Times New Roman" w:hAnsi="Times New Roman" w:eastAsia="仿宋_GB2312" w:cs="Times New Roman"/>
          <w:b w:val="0"/>
          <w:bCs w:val="0"/>
          <w:snapToGrid/>
          <w:color w:val="auto"/>
          <w:kern w:val="2"/>
          <w:sz w:val="32"/>
          <w:szCs w:val="32"/>
          <w:lang w:val="en-US" w:eastAsia="zh-CN" w:bidi="ar-SA"/>
        </w:rPr>
        <w:t>（省政府令第143号）</w:t>
      </w:r>
      <w:r>
        <w:rPr>
          <w:rFonts w:hint="default" w:ascii="Times New Roman" w:hAnsi="Times New Roman" w:eastAsia="仿宋_GB2312" w:cs="Times New Roman"/>
          <w:b w:val="0"/>
          <w:bCs w:val="0"/>
          <w:snapToGrid/>
          <w:color w:val="auto"/>
          <w:kern w:val="2"/>
          <w:sz w:val="32"/>
          <w:szCs w:val="32"/>
          <w:u w:val="none"/>
          <w:lang w:val="en-US" w:eastAsia="zh-CN" w:bidi="ar-SA"/>
        </w:rPr>
        <w:t>学习宣贯工作，将学习宣贯纳入普法教育、领导干部培训、以及企业员工培训内容。扩大预防医学、康复医学、职业健康等紧缺人才培养规模，建立以全科医生、专科医生、妇幼保健人员、残联工作人员、康复机构工作人员为主体的残疾预防宣教队伍，定期培训残疾预防和出生缺陷防治知识，确保残疾预防知识规范、有效传播。</w:t>
      </w:r>
      <w:r>
        <w:rPr>
          <w:rFonts w:hint="default" w:ascii="Times New Roman" w:hAnsi="Times New Roman" w:eastAsia="楷体_GB2312" w:cs="Times New Roman"/>
          <w:snapToGrid/>
          <w:color w:val="auto"/>
          <w:kern w:val="0"/>
          <w:sz w:val="32"/>
          <w:szCs w:val="24"/>
          <w:lang w:val="en-US" w:eastAsia="zh-CN"/>
        </w:rPr>
        <w:t>（卫健局、残联牵头，教育局、民政局、生态环境局、交通局、应急管理局、总工会、团县委、妇联按职责分工负责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楷体_GB2312" w:cs="Times New Roman"/>
          <w:snapToGrid/>
          <w:color w:val="auto"/>
          <w:kern w:val="0"/>
          <w:sz w:val="32"/>
          <w:szCs w:val="24"/>
          <w:lang w:val="en-US" w:eastAsia="zh-CN"/>
        </w:rPr>
        <w:t>（二）实施出生缺陷和发育障碍致残防控行动</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1．加强婚前、孕前保健工作。</w:t>
      </w:r>
      <w:r>
        <w:rPr>
          <w:rFonts w:hint="default" w:ascii="Times New Roman" w:hAnsi="Times New Roman" w:eastAsia="仿宋_GB2312" w:cs="Times New Roman"/>
          <w:b w:val="0"/>
          <w:bCs w:val="0"/>
          <w:snapToGrid/>
          <w:color w:val="auto"/>
          <w:kern w:val="2"/>
          <w:sz w:val="32"/>
          <w:szCs w:val="32"/>
          <w:u w:val="none"/>
          <w:lang w:val="en-US" w:eastAsia="zh-CN" w:bidi="ar-SA"/>
        </w:rPr>
        <w:t>落实《江苏省出生缺陷防治办法》（省政府令第145号），加强婚前、孕前和孕早期健康教育和指导，采取孕前和孕产期保健、产前筛查、产前诊断以及新生儿疾病筛查等措施，消除或者降低致残风险，并逐步扩大新生儿疾病筛查病种和范围。推行婚姻登记和婚前医学检查协同就近服务，倡导开展婚前医学检查，重点检查遗传性疾病、指定传染病、严重精神障碍等疾病并提出医学意见。深入实施孕前优生健康检查、增补叶酸等基本公共卫生服务，指导科学备孕，提供健康教育、咨询指导、筛查评估、综合干预等优生服务。加快推进婚姻登记机关婚姻家庭辅导室（婚姻家庭纠纷调解室）建设，加大对孕期、产期、哺乳期女职工的劳动保护。</w:t>
      </w:r>
      <w:r>
        <w:rPr>
          <w:rFonts w:hint="default" w:ascii="Times New Roman" w:hAnsi="Times New Roman" w:eastAsia="楷体_GB2312" w:cs="Times New Roman"/>
          <w:snapToGrid/>
          <w:color w:val="auto"/>
          <w:kern w:val="0"/>
          <w:sz w:val="32"/>
          <w:szCs w:val="24"/>
          <w:lang w:val="en-US" w:eastAsia="zh-CN"/>
        </w:rPr>
        <w:t>（卫健局牵头，民政局、人社局、妇联按职责分工负责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仿宋_GB2312" w:cs="Times New Roman"/>
          <w:b/>
          <w:bCs/>
          <w:snapToGrid/>
          <w:color w:val="auto"/>
          <w:kern w:val="2"/>
          <w:sz w:val="32"/>
          <w:szCs w:val="32"/>
          <w:u w:val="none"/>
          <w:lang w:val="en-US" w:eastAsia="zh-CN" w:bidi="ar-SA"/>
        </w:rPr>
        <w:t>2．做好产前筛查、诊断事项。</w:t>
      </w:r>
      <w:r>
        <w:rPr>
          <w:rFonts w:hint="default" w:ascii="Times New Roman" w:hAnsi="Times New Roman" w:eastAsia="仿宋_GB2312" w:cs="Times New Roman"/>
          <w:b w:val="0"/>
          <w:bCs w:val="0"/>
          <w:snapToGrid/>
          <w:color w:val="auto"/>
          <w:kern w:val="2"/>
          <w:sz w:val="32"/>
          <w:szCs w:val="32"/>
          <w:u w:val="none"/>
          <w:lang w:val="en-US" w:eastAsia="zh-CN" w:bidi="ar-SA"/>
        </w:rPr>
        <w:t>规范孕产妇健康管理，将孕产妇纳入家庭医生签约服务重点保障人群，加强对常见胎儿染色体病、严重胎儿结构畸形、单基因遗传病等重大出生缺陷的产前筛查和诊断。实施孕前优生健康检查，为计划怀孕夫妇提供健康教育、医学检查、风险评估、咨询指导等孕前优生服务。规范预防艾滋病、梅毒、乙肝母婴传播综合干预措施。落实基本避孕服务，以高龄高危孕产妇和高危儿为重点，强化母婴安全管理，提升孕产妇和新生儿危急重症救治能力。完善妇幼健康服务体系，提升医疗卫生机构服务能力水平，加强县妇幼保健机构标准化建设。</w:t>
      </w:r>
      <w:r>
        <w:rPr>
          <w:rFonts w:hint="default" w:ascii="Times New Roman" w:hAnsi="Times New Roman" w:eastAsia="楷体_GB2312" w:cs="Times New Roman"/>
          <w:snapToGrid/>
          <w:color w:val="auto"/>
          <w:kern w:val="0"/>
          <w:sz w:val="32"/>
          <w:szCs w:val="24"/>
          <w:lang w:val="en-US" w:eastAsia="zh-CN"/>
        </w:rPr>
        <w:t>（责任单位：卫健局）</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3．加强儿童致残性疾病早期筛查和早期干预。</w:t>
      </w:r>
      <w:r>
        <w:rPr>
          <w:rFonts w:hint="default" w:ascii="Times New Roman" w:hAnsi="Times New Roman" w:eastAsia="仿宋_GB2312" w:cs="Times New Roman"/>
          <w:b w:val="0"/>
          <w:bCs w:val="0"/>
          <w:snapToGrid/>
          <w:color w:val="auto"/>
          <w:kern w:val="2"/>
          <w:sz w:val="32"/>
          <w:szCs w:val="32"/>
          <w:u w:val="none"/>
          <w:lang w:val="en-US" w:eastAsia="zh-CN" w:bidi="ar-SA"/>
        </w:rPr>
        <w:t>建立完善新生儿出生缺陷筛查、诊断、干预一体化工作机制，推进新生儿疾病筛查全覆盖，重点开展新生儿苯丙酮尿症、先天性甲状腺功能减低症、肾上腺皮质增生症等遗传代谢性疾病筛查。推进儿童早期发展综合服务，加强对家庭和托幼机构儿童早期发展服务的指导，定期开展0-6岁儿童视力、听力、智力、肢体残疾以及孤独症等筛查工作。</w:t>
      </w:r>
      <w:r>
        <w:rPr>
          <w:rFonts w:hint="default" w:ascii="Times New Roman" w:hAnsi="Times New Roman" w:eastAsia="楷体_GB2312" w:cs="Times New Roman"/>
          <w:snapToGrid/>
          <w:color w:val="auto"/>
          <w:kern w:val="0"/>
          <w:sz w:val="32"/>
          <w:szCs w:val="24"/>
          <w:lang w:val="en-US" w:eastAsia="zh-CN"/>
        </w:rPr>
        <w:t>（卫健局、残联牵头，教育局、妇联按职责分工负责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楷体_GB2312" w:cs="Times New Roman"/>
          <w:snapToGrid/>
          <w:color w:val="auto"/>
          <w:kern w:val="0"/>
          <w:sz w:val="32"/>
          <w:szCs w:val="24"/>
          <w:lang w:val="en-US" w:eastAsia="zh-CN"/>
        </w:rPr>
        <w:t>（三）实施疾病致残防控行动</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1．加强慢性病致残防控工作。</w:t>
      </w:r>
      <w:r>
        <w:rPr>
          <w:rFonts w:hint="default" w:ascii="Times New Roman" w:hAnsi="Times New Roman" w:eastAsia="仿宋_GB2312" w:cs="Times New Roman"/>
          <w:b w:val="0"/>
          <w:bCs w:val="0"/>
          <w:snapToGrid/>
          <w:color w:val="auto"/>
          <w:kern w:val="2"/>
          <w:sz w:val="32"/>
          <w:szCs w:val="32"/>
          <w:u w:val="none"/>
          <w:lang w:val="en-US" w:eastAsia="zh-CN" w:bidi="ar-SA"/>
        </w:rPr>
        <w:t>推广健康生活方式，提倡戒烟限酒、合理膳食，实施“三减三健”（减盐、减油、减糖，健康口腔、健康体重、健康骨骼）等专项行动，降低患病风险。开展全民健身行动，发挥体育健身在主动健康干预、慢性病防治中的作用。加强高血压、糖尿病、慢阻肺等慢性疾病患者规范管理，做好癌症患者筛查和早诊早治，优先做好重点人群家庭医生签约服务，拓展个性化服务。着力做好防盲治盲，综合防控儿童青少年近视，高血压患者基层规范管理服务率达到65%以上，百万人口白内障复明手术率（CSR）达到3500以上。推进防聋治聋工作，实现听障儿童助听早期干预。</w:t>
      </w:r>
      <w:r>
        <w:rPr>
          <w:rFonts w:hint="default" w:ascii="Times New Roman" w:hAnsi="Times New Roman" w:eastAsia="楷体_GB2312" w:cs="Times New Roman"/>
          <w:snapToGrid/>
          <w:color w:val="auto"/>
          <w:kern w:val="0"/>
          <w:sz w:val="32"/>
          <w:szCs w:val="24"/>
          <w:lang w:val="en-US" w:eastAsia="zh-CN"/>
        </w:rPr>
        <w:t>（卫健局牵头，教育局、残联按职责分工负责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仿宋_GB2312" w:cs="Times New Roman"/>
          <w:b/>
          <w:bCs/>
          <w:snapToGrid/>
          <w:color w:val="auto"/>
          <w:kern w:val="2"/>
          <w:sz w:val="32"/>
          <w:szCs w:val="32"/>
          <w:u w:val="none"/>
          <w:lang w:val="en-US" w:eastAsia="zh-CN" w:bidi="ar-SA"/>
        </w:rPr>
        <w:t>2．加强心理健康服务和精神疾病防治力度。</w:t>
      </w:r>
      <w:r>
        <w:rPr>
          <w:rFonts w:hint="default" w:ascii="Times New Roman" w:hAnsi="Times New Roman" w:eastAsia="仿宋_GB2312" w:cs="Times New Roman"/>
          <w:b w:val="0"/>
          <w:bCs w:val="0"/>
          <w:snapToGrid/>
          <w:color w:val="auto"/>
          <w:kern w:val="2"/>
          <w:sz w:val="32"/>
          <w:szCs w:val="32"/>
          <w:u w:val="none"/>
          <w:lang w:val="en-US" w:eastAsia="zh-CN" w:bidi="ar-SA"/>
        </w:rPr>
        <w:t>设立心理援助热线，依托精神卫生机构开展心理健康咨询疏导和心理援助，将心理援助内容纳入突发事件应急预案。健全精神卫生专业机构，提高严重精神障碍患者管理服务能力。健全精神专科医院，设置1所县级精神专科医院或在县二级以上医院设置精神专科和病房，精神科实际开放床位保持在3.7张/万人口。落实监管责任，加强救治救助，</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对肇事肇祸等严重精神障碍患者实施免费救治。</w:t>
      </w:r>
      <w:r>
        <w:rPr>
          <w:rFonts w:hint="default" w:ascii="Times New Roman" w:hAnsi="Times New Roman" w:eastAsia="楷体_GB2312" w:cs="Times New Roman"/>
          <w:snapToGrid/>
          <w:color w:val="auto"/>
          <w:kern w:val="0"/>
          <w:sz w:val="32"/>
          <w:szCs w:val="24"/>
          <w:lang w:val="en-US" w:eastAsia="zh-CN"/>
        </w:rPr>
        <w:t>（责任单位：政法委、公安局、民政局、卫健局、应急管理局、妇联、残联）</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仿宋_GB2312" w:cs="Times New Roman"/>
          <w:b/>
          <w:bCs/>
          <w:snapToGrid/>
          <w:color w:val="auto"/>
          <w:kern w:val="2"/>
          <w:sz w:val="32"/>
          <w:szCs w:val="32"/>
          <w:u w:val="none"/>
          <w:lang w:val="en-US" w:eastAsia="zh-CN" w:bidi="ar-SA"/>
        </w:rPr>
        <w:t>3．加强传染病及地方病致残防控工作。</w:t>
      </w:r>
      <w:r>
        <w:rPr>
          <w:rFonts w:hint="default" w:ascii="Times New Roman" w:hAnsi="Times New Roman" w:eastAsia="仿宋_GB2312" w:cs="Times New Roman"/>
          <w:b w:val="0"/>
          <w:bCs w:val="0"/>
          <w:snapToGrid/>
          <w:color w:val="auto"/>
          <w:kern w:val="2"/>
          <w:sz w:val="32"/>
          <w:szCs w:val="32"/>
          <w:u w:val="none"/>
          <w:lang w:val="en-US" w:eastAsia="zh-CN" w:bidi="ar-SA"/>
        </w:rPr>
        <w:t>全面加强疫苗生产、流通、使用环节质量监管，继续将脊髓灰质炎、流行性乙型脑炎等致残性传染病的疫苗接种率维持在高水平。根据国家统一安排和我县疾病预防控制实际，适当扩大适龄儿童免疫规划，适龄儿童免疫规划疫苗接种率以乡镇（街道）为单位稳定在95%以上。将适龄儿童疫苗接种与入托、入学相结合，加强传染病防控，做好传染病报告及患者医疗救治，提升麻风病监测与畸残康复水平。实行重点地方病监测全覆盖，持续消除碘缺乏病、地方性氟中毒等重大地方病致残。</w:t>
      </w:r>
      <w:r>
        <w:rPr>
          <w:rFonts w:hint="default" w:ascii="Times New Roman" w:hAnsi="Times New Roman" w:eastAsia="楷体_GB2312" w:cs="Times New Roman"/>
          <w:snapToGrid/>
          <w:color w:val="auto"/>
          <w:kern w:val="0"/>
          <w:sz w:val="32"/>
          <w:szCs w:val="24"/>
          <w:lang w:val="en-US" w:eastAsia="zh-CN"/>
        </w:rPr>
        <w:t>（责任单位：卫健局，各乡镇&lt;街道、场&gt;）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4．加强职业病致残防控力度。</w:t>
      </w:r>
      <w:r>
        <w:rPr>
          <w:rFonts w:hint="default" w:ascii="Times New Roman" w:hAnsi="Times New Roman" w:eastAsia="仿宋_GB2312" w:cs="Times New Roman"/>
          <w:b w:val="0"/>
          <w:bCs w:val="0"/>
          <w:snapToGrid/>
          <w:color w:val="auto"/>
          <w:kern w:val="2"/>
          <w:sz w:val="32"/>
          <w:szCs w:val="32"/>
          <w:u w:val="none"/>
          <w:lang w:val="en-US" w:eastAsia="zh-CN" w:bidi="ar-SA"/>
        </w:rPr>
        <w:t>加强职业健康监管体系建设，重点关注中小微企业，落实用人单位主体责任，改善劳动条件，强化工程技术应用和源头防控，落实粉尘、毒物、噪声、辐射等防控措施，提升工作场所职业病危害因素监测合格率。加强重点人群劳动保护，避免接触有毒有害因素。加强职业健康服务机构建设，开展残疾职工体检，提高职业健康服务能力，实现职业健康检查不出县、职业病诊断不出市，预防尘肺病、职业中毒、噪声等致残。</w:t>
      </w:r>
      <w:r>
        <w:rPr>
          <w:rFonts w:hint="default" w:ascii="Times New Roman" w:hAnsi="Times New Roman" w:eastAsia="楷体_GB2312" w:cs="Times New Roman"/>
          <w:snapToGrid/>
          <w:color w:val="auto"/>
          <w:kern w:val="0"/>
          <w:sz w:val="32"/>
          <w:szCs w:val="24"/>
          <w:lang w:val="en-US" w:eastAsia="zh-CN"/>
        </w:rPr>
        <w:t>（卫健局牵头，人社局、应急管理局、总工会按职责分工负责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楷体_GB2312" w:cs="Times New Roman"/>
          <w:snapToGrid/>
          <w:color w:val="auto"/>
          <w:kern w:val="0"/>
          <w:sz w:val="32"/>
          <w:szCs w:val="24"/>
          <w:lang w:val="en-US" w:eastAsia="zh-CN"/>
        </w:rPr>
        <w:t>（四）实施伤害致残防控行动</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1．加强安全生产和消防安全监督管理。</w:t>
      </w:r>
      <w:r>
        <w:rPr>
          <w:rFonts w:hint="default" w:ascii="Times New Roman" w:hAnsi="Times New Roman" w:eastAsia="仿宋_GB2312" w:cs="Times New Roman"/>
          <w:b w:val="0"/>
          <w:bCs w:val="0"/>
          <w:snapToGrid/>
          <w:color w:val="auto"/>
          <w:kern w:val="2"/>
          <w:sz w:val="32"/>
          <w:szCs w:val="32"/>
          <w:u w:val="none"/>
          <w:lang w:val="en-US" w:eastAsia="zh-CN" w:bidi="ar-SA"/>
        </w:rPr>
        <w:t>加大安全生产监管执法力度，持续开展安全生产专项整治三年行动，大力推进工伤预防工作，减少因工伤致残。强化危险化学品、消防、交通运输等重点行业领域、重点区域、重点场所的隐患排查治理。探索建立多层次工伤保险制度体系，完善预防、康复、补偿“三位一体”制度。强化综合性消防救援队伍建设和专业救援力量建设，加强消防安全治理，重点排查客运车站、码头、医院、学校、幼儿园、养老院、儿童康复机构、未成年人救助保护机构及劳动密集型企业等人员密集场所的消防安全隐患，完善消防安全设施，提高防范火灾能力。持续开展单位消防安全标准化建设和社区消防安全能力提升行动。</w:t>
      </w:r>
      <w:r>
        <w:rPr>
          <w:rFonts w:hint="default" w:ascii="Times New Roman" w:hAnsi="Times New Roman" w:eastAsia="楷体_GB2312" w:cs="Times New Roman"/>
          <w:snapToGrid/>
          <w:color w:val="auto"/>
          <w:kern w:val="0"/>
          <w:sz w:val="32"/>
          <w:szCs w:val="24"/>
          <w:lang w:val="en-US" w:eastAsia="zh-CN"/>
        </w:rPr>
        <w:t>（应急管理局牵头，人社局、消防救援大队、教育局、民政局、住建局、交通局、卫健局、总工会按职责分工负责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2．加强道路交通和运输安全管理。</w:t>
      </w:r>
      <w:r>
        <w:rPr>
          <w:rFonts w:hint="default" w:ascii="Times New Roman" w:hAnsi="Times New Roman" w:eastAsia="仿宋_GB2312" w:cs="Times New Roman"/>
          <w:b w:val="0"/>
          <w:bCs w:val="0"/>
          <w:snapToGrid/>
          <w:color w:val="auto"/>
          <w:kern w:val="2"/>
          <w:sz w:val="32"/>
          <w:szCs w:val="32"/>
          <w:u w:val="none"/>
          <w:lang w:val="en-US" w:eastAsia="zh-CN" w:bidi="ar-SA"/>
        </w:rPr>
        <w:t>持续组织开展交通秩序专项整治活动，重点查处酒后驾车、闯红灯等交通违法行为。加强道路运输指挥调度、动态监测、应急处置，实行道路交通动态管理，第一时间发布交通管制、道路维护等相关信息。加强交通运输新业态管理服务，强化车辆异地、长途客运班车和县际包车、校车、危险货物运输企业安全监管，严格落实运输企业主体责任。建立客货运驾驶人从业信息、交通违法和事故共享机制。加强机动车生产、改装、登记、检验等环节监管。加强道路交通事故伤者救援渠道和救治网络建设，减少交通事故致残。</w:t>
      </w:r>
      <w:r>
        <w:rPr>
          <w:rFonts w:hint="default" w:ascii="Times New Roman" w:hAnsi="Times New Roman" w:eastAsia="楷体_GB2312" w:cs="Times New Roman"/>
          <w:snapToGrid/>
          <w:color w:val="auto"/>
          <w:kern w:val="0"/>
          <w:sz w:val="32"/>
          <w:szCs w:val="24"/>
          <w:lang w:val="en-US" w:eastAsia="zh-CN"/>
        </w:rPr>
        <w:t>（公安局、交通局牵头，教育局、工信局、文广旅局、卫健局、应急管理局按职责分工负责）</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仿宋_GB2312" w:cs="Times New Roman"/>
          <w:b/>
          <w:bCs/>
          <w:snapToGrid/>
          <w:color w:val="auto"/>
          <w:kern w:val="2"/>
          <w:sz w:val="32"/>
          <w:szCs w:val="32"/>
          <w:u w:val="none"/>
          <w:lang w:val="en-US" w:eastAsia="zh-CN" w:bidi="ar-SA"/>
        </w:rPr>
        <w:t>3．加强儿童伤害和老年人跌倒致残防控。</w:t>
      </w:r>
      <w:r>
        <w:rPr>
          <w:rFonts w:hint="default" w:ascii="Times New Roman" w:hAnsi="Times New Roman" w:eastAsia="仿宋_GB2312" w:cs="Times New Roman"/>
          <w:b w:val="0"/>
          <w:bCs w:val="0"/>
          <w:snapToGrid/>
          <w:color w:val="auto"/>
          <w:kern w:val="2"/>
          <w:sz w:val="32"/>
          <w:szCs w:val="32"/>
          <w:u w:val="none"/>
          <w:lang w:val="en-US" w:eastAsia="zh-CN" w:bidi="ar-SA"/>
        </w:rPr>
        <w:t>加强儿童生命安全教育和心理卫生教育，预防和控制儿童溺水、跌落、烧烫伤、中毒、暴力等伤害，推广使用儿童安全座椅，保障儿童食品和药品安全；儿童用品用具质量安全指标抽查批次合格率达到95%以上，儿童大型游乐设施检验合格率和定检率达100%。加大推进残疾人意外伤害保险保障力度，鼓励为残疾人购买意外伤害保险，帮助越来越多的残疾人走出家门、融入社会。开展全国示范性老年友好型社区创建，到2025年，全县创建不少于2个全国示范性老年友好型社区；开展老年人跌倒干预和健康指导，提高老年人及其照料者预防跌倒的意识和能力，避免意外的发生，减轻次伤害程度。</w:t>
      </w:r>
      <w:r>
        <w:rPr>
          <w:rFonts w:hint="default" w:ascii="Times New Roman" w:hAnsi="Times New Roman" w:eastAsia="楷体_GB2312" w:cs="Times New Roman"/>
          <w:snapToGrid/>
          <w:color w:val="auto"/>
          <w:kern w:val="0"/>
          <w:sz w:val="32"/>
          <w:szCs w:val="24"/>
          <w:lang w:val="en-US" w:eastAsia="zh-CN"/>
        </w:rPr>
        <w:t>（责任单位：教育局、公安局、民政局、卫健局、市场监管局、妇联）</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4．健全防灾减灾救灾防治体系。</w:t>
      </w:r>
      <w:r>
        <w:rPr>
          <w:rFonts w:hint="default" w:ascii="Times New Roman" w:hAnsi="Times New Roman" w:eastAsia="仿宋_GB2312" w:cs="Times New Roman"/>
          <w:b w:val="0"/>
          <w:bCs w:val="0"/>
          <w:snapToGrid/>
          <w:color w:val="auto"/>
          <w:kern w:val="2"/>
          <w:sz w:val="32"/>
          <w:szCs w:val="32"/>
          <w:u w:val="none"/>
          <w:lang w:val="en-US" w:eastAsia="zh-CN" w:bidi="ar-SA"/>
        </w:rPr>
        <w:t>建立健全衔接有序、管理规范的县乡二级自然灾害类应急预案体系，实施预案动态管理，适时开展预案演练。利用全国防灾减灾日、国际减灾日等时间节点，加大宣传防灾减灾救灾力度，组织开展防灾减灾救灾教育活动，广泛普及自然灾害知识和自救、互救常识。加强灾害风险隐患排查，组建救灾人员队伍，实现基层社区灾害风险网格化管理，开展常态化隐患排查治理。组织幼儿园、托育机构、中小学、机关企事业单位以及社区居民积极参与避险疏散应急演练、灾害紧急救援等活动，提高群众防灾减灾意识和自救互救能力。制定应对突发事件和自然灾害预案，完善应急医疗技能实战训练、救援人员康复治疗技能培训、移动医院和医疗救援装备储备等。</w:t>
      </w:r>
      <w:r>
        <w:rPr>
          <w:rFonts w:hint="default" w:ascii="Times New Roman" w:hAnsi="Times New Roman" w:eastAsia="楷体_GB2312" w:cs="Times New Roman"/>
          <w:snapToGrid/>
          <w:color w:val="auto"/>
          <w:kern w:val="0"/>
          <w:sz w:val="32"/>
          <w:szCs w:val="24"/>
          <w:lang w:val="en-US" w:eastAsia="zh-CN"/>
        </w:rPr>
        <w:t>（应急管理局牵头，教育局、民政局、资规局、交通局、水利局、卫健局、气象局按职责分工负责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5．加强农产品和食品药品安全监管。</w:t>
      </w:r>
      <w:r>
        <w:rPr>
          <w:rFonts w:hint="default" w:ascii="Times New Roman" w:hAnsi="Times New Roman" w:eastAsia="仿宋_GB2312" w:cs="Times New Roman"/>
          <w:b w:val="0"/>
          <w:bCs w:val="0"/>
          <w:snapToGrid/>
          <w:color w:val="auto"/>
          <w:kern w:val="2"/>
          <w:sz w:val="32"/>
          <w:szCs w:val="32"/>
          <w:u w:val="none"/>
          <w:lang w:val="en-US" w:eastAsia="zh-CN" w:bidi="ar-SA"/>
        </w:rPr>
        <w:t>严格执行《中华人民共和国食品安全法》《中华人民共和国农产品质量安全法》等相关法律法规，落实食用农产品质量安全属地管理责任，</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将食用农产品质量安全监管纳入乡镇（街道）绩效考核范围。</w:t>
      </w:r>
      <w:r>
        <w:rPr>
          <w:rFonts w:hint="default" w:ascii="Times New Roman" w:hAnsi="Times New Roman" w:eastAsia="仿宋_GB2312" w:cs="Times New Roman"/>
          <w:b w:val="0"/>
          <w:bCs w:val="0"/>
          <w:snapToGrid/>
          <w:color w:val="auto"/>
          <w:kern w:val="2"/>
          <w:sz w:val="32"/>
          <w:szCs w:val="32"/>
          <w:u w:val="none"/>
          <w:lang w:val="en-US" w:eastAsia="zh-CN" w:bidi="ar-SA"/>
        </w:rPr>
        <w:t>完善食品生产安全风险防控体系和分级管理制度，每年组织开展一次食用农产品质量安全监管工作联合督查，推动监管责任落实。加强生产经营过程监管，压实企业主体责任。加强涉及残疾筛查、诊断、康复等所需药品、医疗器械产品的质量监管，持续加强药品不良反应和医疗器械不良事件监测，严厉打击违法行为，维护残疾人合法权益和身体健康。</w:t>
      </w:r>
      <w:r>
        <w:rPr>
          <w:rFonts w:hint="default" w:ascii="Times New Roman" w:hAnsi="Times New Roman" w:eastAsia="楷体_GB2312" w:cs="Times New Roman"/>
          <w:snapToGrid/>
          <w:color w:val="auto"/>
          <w:kern w:val="0"/>
          <w:sz w:val="32"/>
          <w:szCs w:val="24"/>
          <w:lang w:val="en-US" w:eastAsia="zh-CN"/>
        </w:rPr>
        <w:t>（市场监管局牵头，农业农村局、卫健局按职责分工负责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仿宋_GB2312" w:cs="Times New Roman"/>
          <w:b/>
          <w:bCs/>
          <w:snapToGrid/>
          <w:color w:val="auto"/>
          <w:kern w:val="2"/>
          <w:sz w:val="32"/>
          <w:szCs w:val="32"/>
          <w:u w:val="none"/>
          <w:lang w:val="en-US" w:eastAsia="zh-CN" w:bidi="ar-SA"/>
        </w:rPr>
        <w:t>6．加强饮用水安全、空气、噪声等污染治理。</w:t>
      </w:r>
      <w:r>
        <w:rPr>
          <w:rFonts w:hint="default" w:ascii="Times New Roman" w:hAnsi="Times New Roman" w:eastAsia="仿宋_GB2312" w:cs="Times New Roman"/>
          <w:b w:val="0"/>
          <w:bCs w:val="0"/>
          <w:snapToGrid/>
          <w:color w:val="auto"/>
          <w:kern w:val="2"/>
          <w:sz w:val="32"/>
          <w:szCs w:val="32"/>
          <w:u w:val="none"/>
          <w:lang w:val="en-US" w:eastAsia="zh-CN" w:bidi="ar-SA"/>
        </w:rPr>
        <w:t>深化集中式饮用水水源地规范化建设与长效管护，探索新污染物控制策略和有效管控措施。推进大气污染深度治理，强化车船油路港联合防控，做好城市扬尘、餐饮油烟以及恶臭、有毒有害气体治理；严格落实空气质量目标责任制，实现乡镇（街道）空气质量自动监控全覆盖。加强噪声污染治理，科学划定防噪声距离，减少道路噪声污染，倡导制定社区噪声控制规约，鼓励创建宁静小区等休息空间。</w:t>
      </w:r>
      <w:r>
        <w:rPr>
          <w:rFonts w:hint="default" w:ascii="Times New Roman" w:hAnsi="Times New Roman" w:eastAsia="楷体_GB2312" w:cs="Times New Roman"/>
          <w:snapToGrid/>
          <w:color w:val="auto"/>
          <w:kern w:val="0"/>
          <w:sz w:val="32"/>
          <w:szCs w:val="24"/>
          <w:lang w:val="en-US" w:eastAsia="zh-CN"/>
        </w:rPr>
        <w:t>（生态环境局牵头，资规局、住建局、水利局、卫健局按职责分工负责）</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楷体_GB2312" w:cs="Times New Roman"/>
          <w:snapToGrid/>
          <w:color w:val="auto"/>
          <w:kern w:val="0"/>
          <w:sz w:val="32"/>
          <w:szCs w:val="24"/>
          <w:lang w:val="en-US" w:eastAsia="zh-CN"/>
        </w:rPr>
        <w:t>（五）实施康复服务促进行动</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仿宋_GB2312" w:cs="Times New Roman"/>
          <w:b/>
          <w:bCs/>
          <w:snapToGrid/>
          <w:color w:val="auto"/>
          <w:kern w:val="2"/>
          <w:sz w:val="32"/>
          <w:szCs w:val="32"/>
          <w:u w:val="none"/>
          <w:lang w:val="en-US" w:eastAsia="zh-CN" w:bidi="ar-SA"/>
        </w:rPr>
        <w:t>1．健全康复医疗服务体系。</w:t>
      </w:r>
      <w:r>
        <w:rPr>
          <w:rFonts w:hint="default" w:ascii="Times New Roman" w:hAnsi="Times New Roman" w:eastAsia="仿宋_GB2312" w:cs="Times New Roman"/>
          <w:b w:val="0"/>
          <w:bCs w:val="0"/>
          <w:snapToGrid/>
          <w:color w:val="auto"/>
          <w:kern w:val="2"/>
          <w:sz w:val="32"/>
          <w:szCs w:val="32"/>
          <w:u w:val="none"/>
          <w:lang w:val="en-US" w:eastAsia="zh-CN" w:bidi="ar-SA"/>
        </w:rPr>
        <w:t>提高康复医疗服务能力，加强康复医疗人才教育培养。落实统筹整合各类医疗卫生、养老、康复和托养等资源，推动康复服务向各类助残服务机构和平台延伸。健全康复专业医疗机构、二级以上综合医院康复医学科、社区康复一体化的康复专业医疗服务体系，提高医疗机构与残疾人专业康复机构双向转诊转介效率。规范社区康复服务，夯实社区康复基础，打通为残疾人提供医疗康复服务的“最后一公里”。</w:t>
      </w:r>
      <w:r>
        <w:rPr>
          <w:rFonts w:hint="default" w:ascii="Times New Roman" w:hAnsi="Times New Roman" w:eastAsia="楷体_GB2312" w:cs="Times New Roman"/>
          <w:snapToGrid/>
          <w:color w:val="auto"/>
          <w:kern w:val="0"/>
          <w:sz w:val="32"/>
          <w:szCs w:val="24"/>
          <w:lang w:val="en-US" w:eastAsia="zh-CN"/>
        </w:rPr>
        <w:t>（责任单位：发改局、教育局、民政局、卫健局、残联）</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2．保障残疾人基本康复服务。</w:t>
      </w:r>
      <w:r>
        <w:rPr>
          <w:rFonts w:hint="default" w:ascii="Times New Roman" w:hAnsi="Times New Roman" w:eastAsia="仿宋_GB2312" w:cs="Times New Roman"/>
          <w:b w:val="0"/>
          <w:bCs w:val="0"/>
          <w:snapToGrid/>
          <w:color w:val="auto"/>
          <w:kern w:val="2"/>
          <w:sz w:val="32"/>
          <w:szCs w:val="32"/>
          <w:u w:val="none"/>
          <w:lang w:val="en-US" w:eastAsia="zh-CN" w:bidi="ar-SA"/>
        </w:rPr>
        <w:t>落实政府基本公共服务责任，开展残疾人基本需求与服务状况调查，持续组织实施残疾人精准康复服务行动，对残疾人群体需求实行动态管理，维护残疾人合法权益。完善残疾儿童康复救助制度，重点加强0—6岁残疾儿童抢救性康复工作，合理确定救助标准，不断提升服务水平和服务质量，强化残疾儿童定点康复机构教育和医疗资质管理，完善残疾儿童康复绩效评价方法。支持将学前融合教育资源中心纳入残疾儿童定点康复机构，确保残疾儿童“应康尽康、应康优康”。开展残疾人社区康复，着力推进精神障碍社区康复服务。落实残疾人辅助器具适配补贴办法，对符合条件有需求的残疾人提供基本辅具适配服务。</w:t>
      </w:r>
      <w:r>
        <w:rPr>
          <w:rFonts w:hint="default" w:ascii="Times New Roman" w:hAnsi="Times New Roman" w:eastAsia="楷体_GB2312" w:cs="Times New Roman"/>
          <w:snapToGrid/>
          <w:color w:val="auto"/>
          <w:kern w:val="0"/>
          <w:sz w:val="32"/>
          <w:szCs w:val="24"/>
          <w:lang w:val="en-US" w:eastAsia="zh-CN"/>
        </w:rPr>
        <w:t>（残联牵头，发改局、教育局、民政局、卫健局按职责分工负责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楷体_GB2312" w:cs="Times New Roman"/>
          <w:snapToGrid/>
          <w:color w:val="auto"/>
          <w:kern w:val="0"/>
          <w:sz w:val="32"/>
          <w:szCs w:val="24"/>
          <w:lang w:val="en-US" w:eastAsia="zh-CN"/>
        </w:rPr>
      </w:pPr>
      <w:r>
        <w:rPr>
          <w:rFonts w:hint="default" w:ascii="Times New Roman" w:hAnsi="Times New Roman" w:eastAsia="仿宋_GB2312" w:cs="Times New Roman"/>
          <w:b/>
          <w:bCs/>
          <w:snapToGrid/>
          <w:color w:val="auto"/>
          <w:kern w:val="2"/>
          <w:sz w:val="32"/>
          <w:szCs w:val="32"/>
          <w:u w:val="none"/>
          <w:lang w:val="en-US" w:eastAsia="zh-CN" w:bidi="ar-SA"/>
        </w:rPr>
        <w:t>3．提升长期照护服务水平。</w:t>
      </w:r>
      <w:r>
        <w:rPr>
          <w:rFonts w:hint="default" w:ascii="Times New Roman" w:hAnsi="Times New Roman" w:eastAsia="仿宋_GB2312" w:cs="Times New Roman"/>
          <w:b w:val="0"/>
          <w:bCs w:val="0"/>
          <w:snapToGrid/>
          <w:color w:val="auto"/>
          <w:kern w:val="2"/>
          <w:sz w:val="32"/>
          <w:szCs w:val="32"/>
          <w:u w:val="none"/>
          <w:lang w:val="en-US" w:eastAsia="zh-CN" w:bidi="ar-SA"/>
        </w:rPr>
        <w:t>完善老年人群重点慢性病、失能、神经退行性疾病等早期筛查和干预措施，构建老年健康危险因素干预、疾病早发现早诊断早治疗、失能预防三级预防体系。鼓励社会力量加入照护服务行列，发展商业性长期护理保险产品，为参保人提供个性化长期照护服务。深入推进安康关爱行动，推动建立符合县情的长期护理保险制度，为家庭长期照料者提供喘息服务、照护培训、心理疏导等支持服务。做好长期护理保险与重度残疾人护理补贴、失能老年人护理补贴等福利性护理补贴项目的整合衔接，提高资金利用率。</w:t>
      </w:r>
      <w:r>
        <w:rPr>
          <w:rFonts w:hint="default" w:ascii="Times New Roman" w:hAnsi="Times New Roman" w:eastAsia="楷体_GB2312" w:cs="Times New Roman"/>
          <w:snapToGrid/>
          <w:color w:val="auto"/>
          <w:kern w:val="0"/>
          <w:sz w:val="32"/>
          <w:szCs w:val="24"/>
          <w:lang w:val="en-US" w:eastAsia="zh-CN"/>
        </w:rPr>
        <w:t>（责任单位：发改局、民政局、卫健局、市场监管局、医保局、残联）</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3"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仿宋_GB2312" w:cs="Times New Roman"/>
          <w:b/>
          <w:bCs/>
          <w:snapToGrid/>
          <w:color w:val="auto"/>
          <w:kern w:val="2"/>
          <w:sz w:val="32"/>
          <w:szCs w:val="32"/>
          <w:u w:val="none"/>
          <w:lang w:val="en-US" w:eastAsia="zh-CN" w:bidi="ar-SA"/>
        </w:rPr>
        <w:t>4．加强无障碍设施建设力度。</w:t>
      </w:r>
      <w:r>
        <w:rPr>
          <w:rFonts w:hint="default" w:ascii="Times New Roman" w:hAnsi="Times New Roman" w:eastAsia="仿宋_GB2312" w:cs="Times New Roman"/>
          <w:b w:val="0"/>
          <w:bCs w:val="0"/>
          <w:snapToGrid/>
          <w:color w:val="auto"/>
          <w:kern w:val="2"/>
          <w:sz w:val="32"/>
          <w:szCs w:val="32"/>
          <w:u w:val="none"/>
          <w:lang w:val="en-US" w:eastAsia="zh-CN" w:bidi="ar-SA"/>
        </w:rPr>
        <w:t>持续推动城市道路、公共交通、居住社区、公共服务设施和残疾人服务设施等无障碍建设和改造，</w:t>
      </w:r>
      <w:r>
        <w:rPr>
          <w:rFonts w:hint="default" w:ascii="Times New Roman" w:hAnsi="Times New Roman" w:eastAsia="仿宋_GB2312" w:cs="Times New Roman"/>
          <w:b w:val="0"/>
          <w:bCs w:val="0"/>
          <w:snapToGrid/>
          <w:color w:val="auto"/>
          <w:kern w:val="2"/>
          <w:sz w:val="32"/>
          <w:szCs w:val="32"/>
          <w:highlight w:val="none"/>
          <w:u w:val="none"/>
          <w:lang w:val="en-US" w:eastAsia="zh-CN" w:bidi="ar-SA"/>
        </w:rPr>
        <w:t>积极组织开展无障碍建设示范县创建工作</w:t>
      </w:r>
      <w:r>
        <w:rPr>
          <w:rFonts w:hint="default" w:ascii="Times New Roman" w:hAnsi="Times New Roman" w:eastAsia="仿宋_GB2312" w:cs="Times New Roman"/>
          <w:b w:val="0"/>
          <w:bCs w:val="0"/>
          <w:snapToGrid/>
          <w:color w:val="auto"/>
          <w:kern w:val="2"/>
          <w:sz w:val="32"/>
          <w:szCs w:val="32"/>
          <w:u w:val="none"/>
          <w:lang w:val="en-US" w:eastAsia="zh-CN" w:bidi="ar-SA"/>
        </w:rPr>
        <w:t>。实施困难重度残疾人家庭无障碍改造，推进老年人住宅的适老化及无障碍改造。加大无障碍环境建设宣传力度，增强公众无障碍意识，动员社会和残疾人广泛参与无障碍督导促进工作，推进无障碍公益诉讼和盲道专项整治活动。鼓励社会力量参与信息无障碍技术和产品研发，加快推进互联网网站、移动互联网应用程序和自助公共服务设备无障碍。</w:t>
      </w:r>
      <w:r>
        <w:rPr>
          <w:rFonts w:hint="default" w:ascii="Times New Roman" w:hAnsi="Times New Roman" w:eastAsia="楷体_GB2312" w:cs="Times New Roman"/>
          <w:snapToGrid/>
          <w:color w:val="auto"/>
          <w:kern w:val="0"/>
          <w:sz w:val="32"/>
          <w:szCs w:val="24"/>
          <w:lang w:val="en-US" w:eastAsia="zh-CN"/>
        </w:rPr>
        <w:t>（住建局、城管局牵头，发改局、民政局、工信局、交通局、文广旅局、残联按职责分工负责</w:t>
      </w:r>
      <w:r>
        <w:rPr>
          <w:rFonts w:hint="default" w:ascii="Times New Roman" w:hAnsi="Times New Roman" w:eastAsia="仿宋_GB2312" w:cs="Times New Roman"/>
          <w:b w:val="0"/>
          <w:bCs w:val="0"/>
          <w:snapToGrid/>
          <w:color w:val="auto"/>
          <w:kern w:val="2"/>
          <w:sz w:val="32"/>
          <w:szCs w:val="32"/>
          <w:u w:val="none"/>
          <w:lang w:val="en-US" w:eastAsia="zh-CN" w:bidi="ar-SA"/>
        </w:rPr>
        <w:t>）</w:t>
      </w:r>
    </w:p>
    <w:p>
      <w:pPr>
        <w:keepNext w:val="0"/>
        <w:keepLines w:val="0"/>
        <w:pageBreakBefore w:val="0"/>
        <w:widowControl w:val="0"/>
        <w:kinsoku/>
        <w:wordWrap/>
        <w:bidi w:val="0"/>
        <w:snapToGrid/>
        <w:spacing w:beforeLines="0" w:afterLines="0" w:line="550" w:lineRule="exact"/>
        <w:ind w:firstLine="640" w:firstLineChars="200"/>
        <w:jc w:val="both"/>
        <w:textAlignment w:val="auto"/>
        <w:rPr>
          <w:rFonts w:hint="default" w:ascii="Times New Roman" w:hAnsi="Times New Roman" w:eastAsia="黑体" w:cs="Times New Roman"/>
          <w:snapToGrid/>
          <w:color w:val="auto"/>
          <w:kern w:val="0"/>
          <w:sz w:val="32"/>
          <w:szCs w:val="24"/>
          <w:lang w:val="en-US" w:eastAsia="zh-CN"/>
        </w:rPr>
      </w:pPr>
      <w:r>
        <w:rPr>
          <w:rFonts w:hint="default" w:ascii="Times New Roman" w:hAnsi="Times New Roman" w:eastAsia="黑体" w:cs="Times New Roman"/>
          <w:snapToGrid/>
          <w:color w:val="auto"/>
          <w:kern w:val="0"/>
          <w:sz w:val="32"/>
          <w:szCs w:val="24"/>
          <w:lang w:val="en-US" w:eastAsia="zh-CN"/>
        </w:rPr>
        <w:t>三、保障措施</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楷体_GB2312" w:cs="Times New Roman"/>
          <w:snapToGrid/>
          <w:color w:val="auto"/>
          <w:kern w:val="0"/>
          <w:sz w:val="32"/>
          <w:szCs w:val="24"/>
          <w:lang w:val="en-US" w:eastAsia="zh-CN"/>
        </w:rPr>
        <w:t>1．加强组织领导。</w:t>
      </w:r>
      <w:r>
        <w:rPr>
          <w:rFonts w:hint="default" w:ascii="Times New Roman" w:hAnsi="Times New Roman" w:eastAsia="仿宋_GB2312" w:cs="Times New Roman"/>
          <w:b w:val="0"/>
          <w:bCs w:val="0"/>
          <w:snapToGrid/>
          <w:color w:val="auto"/>
          <w:kern w:val="2"/>
          <w:sz w:val="32"/>
          <w:szCs w:val="32"/>
          <w:u w:val="none"/>
          <w:lang w:val="en-US" w:eastAsia="zh-CN" w:bidi="ar-SA"/>
        </w:rPr>
        <w:t>县政府残疾人工作委员会负责组织实施本行动计划并指导各有关单位落实工作任务，定期召开会议，沟通、调度行动进展情况，研究解决重大问题。各相关单位要切实履行工作职责，将主要任务指标纳入部门规划和年度工作目标，逐项抓好落实。</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楷体_GB2312" w:cs="Times New Roman"/>
          <w:snapToGrid/>
          <w:color w:val="auto"/>
          <w:kern w:val="0"/>
          <w:sz w:val="32"/>
          <w:szCs w:val="24"/>
          <w:lang w:val="en-US" w:eastAsia="zh-CN"/>
        </w:rPr>
        <w:t>2．加强部门联动。</w:t>
      </w:r>
      <w:r>
        <w:rPr>
          <w:rFonts w:hint="default" w:ascii="Times New Roman" w:hAnsi="Times New Roman" w:eastAsia="仿宋_GB2312" w:cs="Times New Roman"/>
          <w:b w:val="0"/>
          <w:bCs w:val="0"/>
          <w:snapToGrid/>
          <w:color w:val="auto"/>
          <w:kern w:val="2"/>
          <w:sz w:val="32"/>
          <w:szCs w:val="32"/>
          <w:u w:val="none"/>
          <w:lang w:val="en-US" w:eastAsia="zh-CN" w:bidi="ar-SA"/>
        </w:rPr>
        <w:t>开展部门间残疾预防信息共享，实现公安、民政、交通、卫健、人社等相关部门的数据互联互通。我县作为省残疾预防重点联系地区，要建立健全长效工作机制，高起点设计、高质量推进、高标准落实，做贯彻落实残疾预防行动计划的“先行者”“排头兵”，不断探索创新残疾预防新经验、新技术。</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楷体_GB2312" w:cs="Times New Roman"/>
          <w:snapToGrid/>
          <w:color w:val="auto"/>
          <w:kern w:val="0"/>
          <w:sz w:val="32"/>
          <w:szCs w:val="24"/>
          <w:lang w:val="en-US" w:eastAsia="zh-CN"/>
        </w:rPr>
        <w:t>3．广泛宣传动员。</w:t>
      </w:r>
      <w:r>
        <w:rPr>
          <w:rFonts w:hint="default" w:ascii="Times New Roman" w:hAnsi="Times New Roman" w:eastAsia="仿宋_GB2312" w:cs="Times New Roman"/>
          <w:b w:val="0"/>
          <w:bCs w:val="0"/>
          <w:snapToGrid/>
          <w:color w:val="auto"/>
          <w:kern w:val="2"/>
          <w:sz w:val="32"/>
          <w:szCs w:val="32"/>
          <w:u w:val="none"/>
          <w:lang w:val="en-US" w:eastAsia="zh-CN" w:bidi="ar-SA"/>
        </w:rPr>
        <w:t>各单位要广泛宣传残疾预防重大意义、目标任务和主要举措。要加强正面宣传和典型报道，鼓励引导社会广泛参与、支持实施。及时宣传报道实时进展、阶段性成效，做好经验交流分享，为推进实施营造良好氛围。</w:t>
      </w:r>
    </w:p>
    <w:p>
      <w:pPr>
        <w:keepNext w:val="0"/>
        <w:keepLines w:val="0"/>
        <w:pageBreakBefore w:val="0"/>
        <w:widowControl w:val="0"/>
        <w:kinsoku/>
        <w:wordWrap/>
        <w:overflowPunct w:val="0"/>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b w:val="0"/>
          <w:bCs w:val="0"/>
          <w:snapToGrid/>
          <w:color w:val="auto"/>
          <w:kern w:val="2"/>
          <w:sz w:val="32"/>
          <w:szCs w:val="32"/>
          <w:u w:val="none"/>
          <w:lang w:val="en-US" w:eastAsia="zh-CN" w:bidi="ar-SA"/>
        </w:rPr>
      </w:pPr>
      <w:r>
        <w:rPr>
          <w:rFonts w:hint="default" w:ascii="Times New Roman" w:hAnsi="Times New Roman" w:eastAsia="楷体_GB2312" w:cs="Times New Roman"/>
          <w:snapToGrid/>
          <w:color w:val="auto"/>
          <w:kern w:val="0"/>
          <w:sz w:val="32"/>
          <w:szCs w:val="24"/>
          <w:lang w:val="en-US" w:eastAsia="zh-CN"/>
        </w:rPr>
        <w:t>4．开展监测评估。</w:t>
      </w:r>
      <w:r>
        <w:rPr>
          <w:rFonts w:hint="default" w:ascii="Times New Roman" w:hAnsi="Times New Roman" w:eastAsia="仿宋_GB2312" w:cs="Times New Roman"/>
          <w:b w:val="0"/>
          <w:bCs w:val="0"/>
          <w:snapToGrid/>
          <w:color w:val="auto"/>
          <w:kern w:val="2"/>
          <w:sz w:val="32"/>
          <w:szCs w:val="32"/>
          <w:u w:val="none"/>
          <w:lang w:val="en-US" w:eastAsia="zh-CN" w:bidi="ar-SA"/>
        </w:rPr>
        <w:t>各相关单位要按照本行动计划的职责分工，做好相关任务指标的调度、收集和监测工作，加强行动计划实施的跟踪问效，及时发现和解决工作中问题，每年底报送相关工作总结。对在残疾预防和残疾人康复工作中作出显著成绩的单位和个人给予表扬、奖励。</w:t>
      </w:r>
    </w:p>
    <w:p>
      <w:pPr>
        <w:pStyle w:val="2"/>
        <w:keepNext w:val="0"/>
        <w:keepLines w:val="0"/>
        <w:pageBreakBefore w:val="0"/>
        <w:wordWrap/>
        <w:bidi w:val="0"/>
        <w:spacing w:line="550" w:lineRule="exact"/>
        <w:ind w:left="0" w:leftChars="0" w:firstLine="640" w:firstLineChars="200"/>
        <w:jc w:val="both"/>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kinsoku/>
        <w:wordWrap/>
        <w:overflowPunct w:val="0"/>
        <w:topLinePunct/>
        <w:autoSpaceDE w:val="0"/>
        <w:autoSpaceDN w:val="0"/>
        <w:bidi w:val="0"/>
        <w:adjustRightInd w:val="0"/>
        <w:snapToGrid w:val="0"/>
        <w:spacing w:line="550" w:lineRule="exact"/>
        <w:ind w:left="0" w:leftChars="0" w:firstLine="640" w:firstLineChars="200"/>
        <w:jc w:val="both"/>
        <w:textAlignment w:val="baseline"/>
        <w:rPr>
          <w:rFonts w:hint="default" w:ascii="Times New Roman" w:hAnsi="Times New Roman" w:eastAsia="仿宋_GB2312" w:cs="Times New Roman"/>
          <w:b w:val="0"/>
          <w:bCs w:val="0"/>
          <w:color w:val="auto"/>
          <w:spacing w:val="0"/>
          <w:w w:val="100"/>
          <w:sz w:val="32"/>
          <w:szCs w:val="32"/>
          <w:u w:val="none"/>
          <w:lang w:val="en-US" w:eastAsia="zh-CN"/>
        </w:rPr>
      </w:pPr>
      <w:r>
        <w:rPr>
          <w:rFonts w:hint="default" w:ascii="Times New Roman" w:hAnsi="Times New Roman" w:eastAsia="仿宋_GB2312" w:cs="Times New Roman"/>
          <w:b w:val="0"/>
          <w:bCs w:val="0"/>
          <w:color w:val="auto"/>
          <w:spacing w:val="0"/>
          <w:w w:val="100"/>
          <w:sz w:val="32"/>
          <w:szCs w:val="32"/>
          <w:u w:val="none"/>
          <w:lang w:val="en-US" w:eastAsia="zh-CN"/>
        </w:rPr>
        <w:t>附件：泗阳县残疾预防行动计划主要指标及职责分工</w:t>
      </w:r>
    </w:p>
    <w:p>
      <w:pPr>
        <w:keepNext w:val="0"/>
        <w:keepLines w:val="0"/>
        <w:pageBreakBefore w:val="0"/>
        <w:widowControl/>
        <w:kinsoku/>
        <w:wordWrap/>
        <w:overflowPunct w:val="0"/>
        <w:topLinePunct/>
        <w:autoSpaceDE w:val="0"/>
        <w:autoSpaceDN w:val="0"/>
        <w:bidi w:val="0"/>
        <w:adjustRightInd w:val="0"/>
        <w:snapToGrid w:val="0"/>
        <w:spacing w:line="550" w:lineRule="exact"/>
        <w:ind w:left="0" w:leftChars="0" w:firstLine="640" w:firstLineChars="200"/>
        <w:jc w:val="both"/>
        <w:textAlignment w:val="baseline"/>
        <w:rPr>
          <w:rFonts w:hint="default" w:ascii="Times New Roman" w:hAnsi="Times New Roman" w:eastAsia="仿宋_GB2312" w:cs="Times New Roman"/>
          <w:b w:val="0"/>
          <w:bCs w:val="0"/>
          <w:color w:val="auto"/>
          <w:spacing w:val="0"/>
          <w:w w:val="100"/>
          <w:sz w:val="32"/>
          <w:szCs w:val="32"/>
          <w:u w:val="none"/>
          <w:lang w:val="en-US" w:eastAsia="zh-CN"/>
        </w:rPr>
      </w:pPr>
    </w:p>
    <w:p>
      <w:pPr>
        <w:keepNext w:val="0"/>
        <w:keepLines w:val="0"/>
        <w:pageBreakBefore w:val="0"/>
        <w:widowControl/>
        <w:kinsoku/>
        <w:wordWrap/>
        <w:overflowPunct w:val="0"/>
        <w:topLinePunct/>
        <w:autoSpaceDE w:val="0"/>
        <w:autoSpaceDN w:val="0"/>
        <w:bidi w:val="0"/>
        <w:adjustRightInd w:val="0"/>
        <w:snapToGrid w:val="0"/>
        <w:spacing w:line="578" w:lineRule="exact"/>
        <w:ind w:left="0" w:leftChars="0" w:firstLine="640" w:firstLineChars="200"/>
        <w:jc w:val="both"/>
        <w:textAlignment w:val="baseline"/>
        <w:rPr>
          <w:rFonts w:hint="default" w:ascii="Times New Roman" w:hAnsi="Times New Roman" w:eastAsia="仿宋" w:cs="Times New Roman"/>
          <w:b w:val="0"/>
          <w:bCs w:val="0"/>
          <w:color w:val="auto"/>
          <w:spacing w:val="0"/>
          <w:w w:val="100"/>
          <w:sz w:val="32"/>
          <w:szCs w:val="32"/>
          <w:u w:val="none"/>
        </w:rPr>
      </w:pPr>
    </w:p>
    <w:p>
      <w:pPr>
        <w:keepNext w:val="0"/>
        <w:keepLines w:val="0"/>
        <w:pageBreakBefore w:val="0"/>
        <w:widowControl/>
        <w:kinsoku/>
        <w:wordWrap/>
        <w:overflowPunct w:val="0"/>
        <w:topLinePunct/>
        <w:autoSpaceDE w:val="0"/>
        <w:autoSpaceDN w:val="0"/>
        <w:bidi w:val="0"/>
        <w:adjustRightInd w:val="0"/>
        <w:snapToGrid w:val="0"/>
        <w:spacing w:line="578" w:lineRule="exact"/>
        <w:ind w:left="0" w:leftChars="0" w:firstLine="640" w:firstLineChars="200"/>
        <w:jc w:val="both"/>
        <w:textAlignment w:val="baseline"/>
        <w:rPr>
          <w:rFonts w:hint="default" w:ascii="Times New Roman" w:hAnsi="Times New Roman" w:eastAsia="仿宋" w:cs="Times New Roman"/>
          <w:b w:val="0"/>
          <w:bCs w:val="0"/>
          <w:color w:val="auto"/>
          <w:spacing w:val="0"/>
          <w:w w:val="100"/>
          <w:sz w:val="32"/>
          <w:szCs w:val="32"/>
          <w:u w:val="none"/>
        </w:rPr>
        <w:sectPr>
          <w:footerReference r:id="rId5" w:type="default"/>
          <w:pgSz w:w="11906" w:h="16838"/>
          <w:pgMar w:top="2098" w:right="1474" w:bottom="1984" w:left="1587" w:header="851" w:footer="1587" w:gutter="0"/>
          <w:pgNumType w:fmt="decimal"/>
          <w:cols w:space="0" w:num="1"/>
          <w:rtlGutter w:val="0"/>
          <w:docGrid w:type="lines" w:linePitch="312" w:charSpace="0"/>
        </w:sectPr>
      </w:pPr>
    </w:p>
    <w:p>
      <w:pPr>
        <w:keepNext w:val="0"/>
        <w:keepLines w:val="0"/>
        <w:pageBreakBefore w:val="0"/>
        <w:widowControl/>
        <w:kinsoku w:val="0"/>
        <w:wordWrap/>
        <w:overflowPunct/>
        <w:topLinePunct w:val="0"/>
        <w:autoSpaceDE w:val="0"/>
        <w:autoSpaceDN w:val="0"/>
        <w:bidi w:val="0"/>
        <w:adjustRightInd w:val="0"/>
        <w:snapToGrid w:val="0"/>
        <w:spacing w:line="440" w:lineRule="exact"/>
        <w:textAlignment w:val="baseline"/>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附件</w:t>
      </w:r>
    </w:p>
    <w:p>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240" w:lineRule="auto"/>
        <w:ind w:left="0" w:leftChars="0" w:right="0" w:rightChars="0" w:firstLine="0" w:firstLineChars="0"/>
        <w:jc w:val="center"/>
        <w:textAlignment w:val="baseline"/>
        <w:outlineLvl w:val="9"/>
        <w:rPr>
          <w:rFonts w:hint="default" w:ascii="Times New Roman" w:hAnsi="Times New Roman" w:eastAsia="方正小标宋_GBK" w:cs="Times New Roman"/>
          <w:b w:val="0"/>
          <w:bCs w:val="0"/>
          <w:color w:val="auto"/>
          <w:spacing w:val="0"/>
          <w:sz w:val="44"/>
          <w:szCs w:val="44"/>
          <w:lang w:val="en-US" w:eastAsia="zh-CN"/>
        </w:rPr>
      </w:pPr>
      <w:r>
        <w:rPr>
          <w:rFonts w:hint="default" w:ascii="Times New Roman" w:hAnsi="Times New Roman" w:eastAsia="方正小标宋_GBK" w:cs="Times New Roman"/>
          <w:b w:val="0"/>
          <w:bCs w:val="0"/>
          <w:color w:val="auto"/>
          <w:spacing w:val="0"/>
          <w:sz w:val="44"/>
          <w:szCs w:val="44"/>
          <w:lang w:val="en-US" w:eastAsia="zh-CN"/>
        </w:rPr>
        <w:t>泗阳县残疾预防行动计划</w:t>
      </w:r>
      <w:r>
        <w:rPr>
          <w:rFonts w:hint="default" w:ascii="Times New Roman" w:hAnsi="Times New Roman" w:eastAsia="方正小标宋_GBK" w:cs="Times New Roman"/>
          <w:b w:val="0"/>
          <w:bCs w:val="0"/>
          <w:color w:val="auto"/>
          <w:spacing w:val="0"/>
          <w:sz w:val="44"/>
          <w:szCs w:val="44"/>
        </w:rPr>
        <w:t>主要指标</w:t>
      </w:r>
      <w:r>
        <w:rPr>
          <w:rFonts w:hint="default" w:ascii="Times New Roman" w:hAnsi="Times New Roman" w:eastAsia="方正小标宋_GBK" w:cs="Times New Roman"/>
          <w:b w:val="0"/>
          <w:bCs w:val="0"/>
          <w:color w:val="auto"/>
          <w:spacing w:val="0"/>
          <w:sz w:val="44"/>
          <w:szCs w:val="44"/>
          <w:lang w:val="en-US" w:eastAsia="zh-CN"/>
        </w:rPr>
        <w:t>及职责分工</w:t>
      </w:r>
    </w:p>
    <w:tbl>
      <w:tblPr>
        <w:tblStyle w:val="10"/>
        <w:tblW w:w="14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508"/>
        <w:gridCol w:w="570"/>
        <w:gridCol w:w="4724"/>
        <w:gridCol w:w="1305"/>
        <w:gridCol w:w="1305"/>
        <w:gridCol w:w="1420"/>
        <w:gridCol w:w="3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34" w:hRule="exact"/>
          <w:tblHeader/>
          <w:jc w:val="center"/>
        </w:trPr>
        <w:tc>
          <w:tcPr>
            <w:tcW w:w="1508"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黑体" w:cs="Times New Roman"/>
                <w:b w:val="0"/>
                <w:bCs w:val="0"/>
                <w:color w:val="auto"/>
                <w:spacing w:val="0"/>
                <w:vertAlign w:val="baseline"/>
              </w:rPr>
            </w:pPr>
            <w:r>
              <w:rPr>
                <w:rFonts w:hint="default" w:ascii="Times New Roman" w:hAnsi="Times New Roman" w:eastAsia="黑体" w:cs="Times New Roman"/>
                <w:b w:val="0"/>
                <w:bCs w:val="0"/>
                <w:color w:val="auto"/>
                <w:spacing w:val="0"/>
                <w:sz w:val="21"/>
                <w:szCs w:val="21"/>
              </w:rPr>
              <w:t>领  域</w:t>
            </w:r>
          </w:p>
        </w:tc>
        <w:tc>
          <w:tcPr>
            <w:tcW w:w="5294" w:type="dxa"/>
            <w:gridSpan w:val="2"/>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黑体" w:cs="Times New Roman"/>
                <w:b w:val="0"/>
                <w:bCs w:val="0"/>
                <w:color w:val="auto"/>
                <w:spacing w:val="0"/>
                <w:sz w:val="21"/>
                <w:szCs w:val="21"/>
              </w:rPr>
            </w:pPr>
            <w:r>
              <w:rPr>
                <w:rFonts w:hint="default" w:ascii="Times New Roman" w:hAnsi="Times New Roman" w:eastAsia="黑体" w:cs="Times New Roman"/>
                <w:b w:val="0"/>
                <w:bCs w:val="0"/>
                <w:color w:val="auto"/>
                <w:spacing w:val="0"/>
                <w:sz w:val="21"/>
                <w:szCs w:val="21"/>
              </w:rPr>
              <w:t>指   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黑体" w:cs="Times New Roman"/>
                <w:b w:val="0"/>
                <w:bCs w:val="0"/>
                <w:color w:val="auto"/>
                <w:spacing w:val="0"/>
                <w:sz w:val="21"/>
                <w:szCs w:val="21"/>
                <w:lang w:val="en-US" w:eastAsia="zh-CN"/>
              </w:rPr>
            </w:pPr>
            <w:r>
              <w:rPr>
                <w:rFonts w:hint="default" w:ascii="Times New Roman" w:hAnsi="Times New Roman" w:eastAsia="黑体" w:cs="Times New Roman"/>
                <w:b w:val="0"/>
                <w:bCs w:val="0"/>
                <w:color w:val="auto"/>
                <w:spacing w:val="0"/>
                <w:sz w:val="21"/>
                <w:szCs w:val="21"/>
              </w:rPr>
              <w:t>2020年</w:t>
            </w:r>
          </w:p>
          <w:p>
            <w:pPr>
              <w:pStyle w:val="13"/>
              <w:keepNext w:val="0"/>
              <w:keepLines w:val="0"/>
              <w:pageBreakBefore w:val="0"/>
              <w:widowControl w:val="0"/>
              <w:kinsoku/>
              <w:wordWrap/>
              <w:overflowPunct w:val="0"/>
              <w:topLinePunct w:val="0"/>
              <w:autoSpaceDE w:val="0"/>
              <w:autoSpaceDN w:val="0"/>
              <w:bidi w:val="0"/>
              <w:adjustRightInd w:val="0"/>
              <w:snapToGrid w:val="0"/>
              <w:spacing w:after="0" w:line="240" w:lineRule="auto"/>
              <w:ind w:left="0" w:leftChars="0" w:right="0" w:firstLine="0" w:firstLineChars="0"/>
              <w:jc w:val="center"/>
              <w:rPr>
                <w:rFonts w:hint="default" w:ascii="Times New Roman" w:hAnsi="Times New Roman" w:eastAsia="黑体" w:cs="Times New Roman"/>
                <w:color w:val="auto"/>
                <w:spacing w:val="0"/>
                <w:lang w:val="en-US" w:eastAsia="zh-CN"/>
              </w:rPr>
            </w:pPr>
            <w:r>
              <w:rPr>
                <w:rFonts w:hint="default" w:ascii="Times New Roman" w:hAnsi="Times New Roman" w:eastAsia="黑体" w:cs="Times New Roman"/>
                <w:b w:val="0"/>
                <w:bCs w:val="0"/>
                <w:color w:val="auto"/>
                <w:spacing w:val="0"/>
                <w:sz w:val="21"/>
                <w:szCs w:val="21"/>
                <w:lang w:val="en-US" w:eastAsia="zh-CN"/>
              </w:rPr>
              <w:t>目标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黑体" w:cs="Times New Roman"/>
                <w:b w:val="0"/>
                <w:bCs w:val="0"/>
                <w:color w:val="auto"/>
                <w:spacing w:val="0"/>
                <w:sz w:val="21"/>
                <w:szCs w:val="21"/>
                <w:lang w:val="en-US" w:eastAsia="zh-CN"/>
              </w:rPr>
            </w:pPr>
            <w:r>
              <w:rPr>
                <w:rFonts w:hint="default" w:ascii="Times New Roman" w:hAnsi="Times New Roman" w:eastAsia="黑体" w:cs="Times New Roman"/>
                <w:b w:val="0"/>
                <w:bCs w:val="0"/>
                <w:color w:val="auto"/>
                <w:spacing w:val="0"/>
                <w:sz w:val="21"/>
                <w:szCs w:val="21"/>
              </w:rPr>
              <w:t>2025年</w:t>
            </w:r>
          </w:p>
          <w:p>
            <w:pPr>
              <w:pStyle w:val="13"/>
              <w:keepNext w:val="0"/>
              <w:keepLines w:val="0"/>
              <w:pageBreakBefore w:val="0"/>
              <w:widowControl w:val="0"/>
              <w:kinsoku/>
              <w:wordWrap/>
              <w:overflowPunct w:val="0"/>
              <w:topLinePunct w:val="0"/>
              <w:autoSpaceDE w:val="0"/>
              <w:autoSpaceDN w:val="0"/>
              <w:bidi w:val="0"/>
              <w:adjustRightInd w:val="0"/>
              <w:snapToGrid w:val="0"/>
              <w:spacing w:after="0" w:line="240" w:lineRule="auto"/>
              <w:ind w:left="0" w:leftChars="0" w:right="0" w:firstLine="0" w:firstLineChars="0"/>
              <w:jc w:val="center"/>
              <w:rPr>
                <w:rFonts w:hint="default" w:ascii="Times New Roman" w:hAnsi="Times New Roman" w:eastAsia="黑体" w:cs="Times New Roman"/>
                <w:color w:val="auto"/>
                <w:spacing w:val="0"/>
                <w:lang w:val="en-US" w:eastAsia="zh-CN"/>
              </w:rPr>
            </w:pPr>
            <w:r>
              <w:rPr>
                <w:rFonts w:hint="default" w:ascii="Times New Roman" w:hAnsi="Times New Roman" w:eastAsia="黑体" w:cs="Times New Roman"/>
                <w:b w:val="0"/>
                <w:bCs w:val="0"/>
                <w:color w:val="auto"/>
                <w:spacing w:val="0"/>
                <w:sz w:val="21"/>
                <w:szCs w:val="21"/>
                <w:lang w:val="en-US" w:eastAsia="zh-CN"/>
              </w:rPr>
              <w:t>目标</w:t>
            </w:r>
          </w:p>
        </w:tc>
        <w:tc>
          <w:tcPr>
            <w:tcW w:w="142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黑体" w:cs="Times New Roman"/>
                <w:b w:val="0"/>
                <w:bCs w:val="0"/>
                <w:color w:val="auto"/>
                <w:spacing w:val="0"/>
                <w:vertAlign w:val="baseline"/>
              </w:rPr>
            </w:pPr>
            <w:r>
              <w:rPr>
                <w:rFonts w:hint="default" w:ascii="Times New Roman" w:hAnsi="Times New Roman" w:eastAsia="黑体" w:cs="Times New Roman"/>
                <w:b w:val="0"/>
                <w:bCs w:val="0"/>
                <w:color w:val="auto"/>
                <w:spacing w:val="0"/>
                <w:sz w:val="21"/>
                <w:szCs w:val="21"/>
                <w:lang w:val="en-US" w:eastAsia="zh-CN"/>
              </w:rPr>
              <w:t>牵头部门</w:t>
            </w:r>
          </w:p>
        </w:tc>
        <w:tc>
          <w:tcPr>
            <w:tcW w:w="3426"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黑体" w:cs="Times New Roman"/>
                <w:b w:val="0"/>
                <w:bCs w:val="0"/>
                <w:color w:val="auto"/>
                <w:spacing w:val="0"/>
                <w:vertAlign w:val="baseline"/>
              </w:rPr>
            </w:pPr>
            <w:r>
              <w:rPr>
                <w:rFonts w:hint="default" w:ascii="Times New Roman" w:hAnsi="Times New Roman" w:eastAsia="黑体" w:cs="Times New Roman"/>
                <w:b w:val="0"/>
                <w:bCs w:val="0"/>
                <w:color w:val="auto"/>
                <w:spacing w:val="0"/>
                <w:sz w:val="21"/>
                <w:szCs w:val="21"/>
                <w:lang w:val="en-US" w:eastAsia="zh-CN"/>
              </w:rPr>
              <w:t>职能部门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045" w:hRule="exact"/>
          <w:jc w:val="center"/>
        </w:trPr>
        <w:tc>
          <w:tcPr>
            <w:tcW w:w="1508"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残疾预防知识</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宣传行动</w:t>
            </w: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1</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重点人群残疾预防知识普及率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lang w:val="en-US"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80%</w:t>
            </w:r>
          </w:p>
        </w:tc>
        <w:tc>
          <w:tcPr>
            <w:tcW w:w="142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lang w:val="en-US" w:eastAsia="zh-CN"/>
              </w:rPr>
            </w:pPr>
            <w:r>
              <w:rPr>
                <w:rFonts w:hint="default" w:ascii="Times New Roman" w:hAnsi="Times New Roman" w:eastAsia="仿宋_GB2312" w:cs="Times New Roman"/>
                <w:b w:val="0"/>
                <w:bCs w:val="0"/>
                <w:color w:val="auto"/>
                <w:spacing w:val="0"/>
                <w:sz w:val="21"/>
                <w:szCs w:val="21"/>
                <w:lang w:val="en-US" w:eastAsia="zh-CN"/>
              </w:rPr>
              <w:t>卫健局</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残  联</w:t>
            </w:r>
          </w:p>
        </w:tc>
        <w:tc>
          <w:tcPr>
            <w:tcW w:w="3426"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宣传部（网信办）、教育局、民政局、生态环境局、交通局、文广旅局、应急管理局、总工会、团县委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出生缺陷和</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发育障碍致残</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防控行动</w:t>
            </w: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2</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婚前医学检查率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8</w:t>
            </w:r>
            <w:r>
              <w:rPr>
                <w:rFonts w:hint="default" w:ascii="Times New Roman" w:hAnsi="Times New Roman" w:eastAsia="仿宋_GB2312" w:cs="Times New Roman"/>
                <w:b w:val="0"/>
                <w:bCs w:val="0"/>
                <w:color w:val="auto"/>
                <w:spacing w:val="0"/>
                <w:sz w:val="21"/>
                <w:szCs w:val="21"/>
              </w:rPr>
              <w:t>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80%</w:t>
            </w:r>
          </w:p>
        </w:tc>
        <w:tc>
          <w:tcPr>
            <w:tcW w:w="1420"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lang w:val="en-US" w:eastAsia="zh-CN"/>
              </w:rPr>
            </w:pPr>
            <w:r>
              <w:rPr>
                <w:rFonts w:hint="default" w:ascii="Times New Roman" w:hAnsi="Times New Roman" w:eastAsia="仿宋_GB2312" w:cs="Times New Roman"/>
                <w:b w:val="0"/>
                <w:bCs w:val="0"/>
                <w:color w:val="auto"/>
                <w:spacing w:val="0"/>
                <w:sz w:val="21"/>
                <w:szCs w:val="21"/>
                <w:lang w:val="en-US" w:eastAsia="zh-CN"/>
              </w:rPr>
              <w:t>卫健局</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残  联</w:t>
            </w:r>
          </w:p>
        </w:tc>
        <w:tc>
          <w:tcPr>
            <w:tcW w:w="3426"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教育局、民政局、人社局、妇联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3</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免费孕前优生健康检查目标人群覆盖率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lang w:eastAsia="zh-CN"/>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4</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孕产妇系统管理率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5</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产前筛查率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95%</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98%</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6</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新生儿遗传代谢性疾病筛查率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95%</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98%</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7</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新生儿听力筛查率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95%</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98%</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8</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3岁以下儿童系统管理率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85%</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95%</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疾病致残</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防控行动</w:t>
            </w: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9</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高血压患者基层规范管理服务率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60%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65%</w:t>
            </w:r>
          </w:p>
        </w:tc>
        <w:tc>
          <w:tcPr>
            <w:tcW w:w="1420"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lang w:val="en-US" w:eastAsia="zh-CN"/>
              </w:rPr>
              <w:t>卫健局</w:t>
            </w:r>
          </w:p>
        </w:tc>
        <w:tc>
          <w:tcPr>
            <w:tcW w:w="3426"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政法委、教育局、公安局、民政局、人社局、应急管理局、总工会、妇联、残联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i w:val="0"/>
                <w:iCs w:val="0"/>
                <w:snapToGrid w:val="0"/>
                <w:color w:val="auto"/>
                <w:spacing w:val="0"/>
                <w:kern w:val="0"/>
                <w:sz w:val="24"/>
                <w:szCs w:val="24"/>
                <w:u w:val="none"/>
                <w:lang w:val="en-US" w:eastAsia="zh-CN" w:bidi="ar"/>
              </w:rPr>
            </w:pPr>
            <w:r>
              <w:rPr>
                <w:rFonts w:hint="default" w:ascii="Times New Roman" w:hAnsi="Times New Roman" w:eastAsia="仿宋_GB2312" w:cs="Times New Roman"/>
                <w:b w:val="0"/>
                <w:bCs w:val="0"/>
                <w:color w:val="auto"/>
                <w:spacing w:val="0"/>
                <w:sz w:val="21"/>
                <w:szCs w:val="21"/>
              </w:rPr>
              <w:t>10</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2型糖尿病患者基层规范管理服务率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60%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65%</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i w:val="0"/>
                <w:iCs w:val="0"/>
                <w:snapToGrid w:val="0"/>
                <w:color w:val="auto"/>
                <w:spacing w:val="0"/>
                <w:kern w:val="0"/>
                <w:sz w:val="24"/>
                <w:szCs w:val="24"/>
                <w:u w:val="none"/>
                <w:lang w:val="en-US" w:eastAsia="zh-CN" w:bidi="ar"/>
              </w:rPr>
            </w:pPr>
            <w:r>
              <w:rPr>
                <w:rFonts w:hint="default" w:ascii="Times New Roman" w:hAnsi="Times New Roman" w:eastAsia="仿宋_GB2312" w:cs="Times New Roman"/>
                <w:b w:val="0"/>
                <w:bCs w:val="0"/>
                <w:color w:val="auto"/>
                <w:spacing w:val="0"/>
                <w:sz w:val="21"/>
                <w:szCs w:val="21"/>
              </w:rPr>
              <w:t>11</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百万人口白内障复明手术率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1835</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lang w:val="en-US"/>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3500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0"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4"/>
                <w:szCs w:val="24"/>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12</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以社区为单位心理咨询室或社会工作室建成率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lang w:val="en-US"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80%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疾病致残</w:t>
            </w:r>
          </w:p>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rPr>
            </w:pPr>
            <w:r>
              <w:rPr>
                <w:rFonts w:hint="default" w:ascii="Times New Roman" w:hAnsi="Times New Roman" w:eastAsia="仿宋_GB2312" w:cs="Times New Roman"/>
                <w:b w:val="0"/>
                <w:bCs w:val="0"/>
                <w:color w:val="auto"/>
                <w:spacing w:val="0"/>
                <w:sz w:val="21"/>
                <w:szCs w:val="21"/>
              </w:rPr>
              <w:t>防控行动</w:t>
            </w: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13</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登记在册的严重精神障碍患者规范管理率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lang w:val="en-US" w:eastAsia="zh-CN"/>
              </w:rPr>
            </w:pPr>
            <w:r>
              <w:rPr>
                <w:rFonts w:hint="default" w:ascii="Times New Roman" w:hAnsi="Times New Roman" w:eastAsia="仿宋_GB2312" w:cs="Times New Roman"/>
                <w:b w:val="0"/>
                <w:bCs w:val="0"/>
                <w:color w:val="auto"/>
                <w:spacing w:val="0"/>
                <w:sz w:val="21"/>
                <w:szCs w:val="21"/>
                <w:lang w:val="en-US" w:eastAsia="zh-CN"/>
              </w:rPr>
              <w:t>&gt;80%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90%</w:t>
            </w:r>
          </w:p>
        </w:tc>
        <w:tc>
          <w:tcPr>
            <w:tcW w:w="1420"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lang w:val="en-US" w:eastAsia="zh-CN"/>
              </w:rPr>
              <w:t>卫健局</w:t>
            </w:r>
          </w:p>
        </w:tc>
        <w:tc>
          <w:tcPr>
            <w:tcW w:w="3426"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lang w:val="en-US" w:eastAsia="zh-CN"/>
              </w:rPr>
            </w:pPr>
            <w:r>
              <w:rPr>
                <w:rFonts w:hint="default" w:ascii="Times New Roman" w:hAnsi="Times New Roman" w:eastAsia="仿宋_GB2312" w:cs="Times New Roman"/>
                <w:b w:val="0"/>
                <w:bCs w:val="0"/>
                <w:color w:val="auto"/>
                <w:spacing w:val="0"/>
                <w:sz w:val="21"/>
                <w:szCs w:val="21"/>
                <w:lang w:val="en-US" w:eastAsia="zh-CN"/>
              </w:rPr>
              <w:t>政法委、教育局、公安局、民政局、</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人社局、应急管理局、总工会、妇联、残联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14</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适龄儿童免疫规划疫苗接种率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lang w:val="en-US" w:eastAsia="zh-CN"/>
              </w:rPr>
            </w:pPr>
            <w:r>
              <w:rPr>
                <w:rFonts w:hint="default" w:ascii="Times New Roman" w:hAnsi="Times New Roman" w:eastAsia="仿宋_GB2312" w:cs="Times New Roman"/>
                <w:b w:val="0"/>
                <w:bCs w:val="0"/>
                <w:color w:val="auto"/>
                <w:spacing w:val="0"/>
                <w:sz w:val="21"/>
                <w:szCs w:val="21"/>
                <w:lang w:val="en-US" w:eastAsia="zh-CN"/>
              </w:rPr>
              <w:t>&gt;90%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95%</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15</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sz w:val="21"/>
                <w:szCs w:val="21"/>
                <w:lang w:eastAsia="zh-CN"/>
              </w:rPr>
            </w:pPr>
            <w:r>
              <w:rPr>
                <w:rFonts w:hint="default" w:ascii="Times New Roman" w:hAnsi="Times New Roman" w:eastAsia="仿宋_GB2312" w:cs="Times New Roman"/>
                <w:b w:val="0"/>
                <w:bCs w:val="0"/>
                <w:color w:val="auto"/>
                <w:spacing w:val="0"/>
                <w:sz w:val="21"/>
                <w:szCs w:val="21"/>
              </w:rPr>
              <w:t>控制和消除重大地方病的县</w:t>
            </w:r>
            <w:r>
              <w:rPr>
                <w:rFonts w:hint="default" w:ascii="Times New Roman" w:hAnsi="Times New Roman" w:eastAsia="仿宋_GB2312" w:cs="Times New Roman"/>
                <w:b w:val="0"/>
                <w:bCs w:val="0"/>
                <w:color w:val="auto"/>
                <w:spacing w:val="0"/>
                <w:sz w:val="21"/>
                <w:szCs w:val="21"/>
                <w:lang w:eastAsia="zh-CN"/>
              </w:rPr>
              <w:t>（</w:t>
            </w:r>
            <w:r>
              <w:rPr>
                <w:rFonts w:hint="default" w:ascii="Times New Roman" w:hAnsi="Times New Roman" w:eastAsia="仿宋_GB2312" w:cs="Times New Roman"/>
                <w:b w:val="0"/>
                <w:bCs w:val="0"/>
                <w:color w:val="auto"/>
                <w:spacing w:val="0"/>
                <w:sz w:val="21"/>
                <w:szCs w:val="21"/>
              </w:rPr>
              <w:t>区</w:t>
            </w:r>
            <w:r>
              <w:rPr>
                <w:rFonts w:hint="default" w:ascii="Times New Roman" w:hAnsi="Times New Roman" w:eastAsia="仿宋_GB2312" w:cs="Times New Roman"/>
                <w:b w:val="0"/>
                <w:bCs w:val="0"/>
                <w:color w:val="auto"/>
                <w:spacing w:val="0"/>
                <w:sz w:val="21"/>
                <w:szCs w:val="21"/>
                <w:lang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lang w:val="en-US" w:eastAsia="zh-CN"/>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95%</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95%</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16</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接触职业病危害的劳动者在岗期间职业健康检查率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lang w:val="en-US" w:eastAsia="zh-CN"/>
              </w:rPr>
            </w:pPr>
            <w:r>
              <w:rPr>
                <w:rFonts w:hint="default" w:ascii="Times New Roman" w:hAnsi="Times New Roman" w:eastAsia="仿宋_GB2312" w:cs="Times New Roman"/>
                <w:b w:val="0"/>
                <w:bCs w:val="0"/>
                <w:color w:val="auto"/>
                <w:spacing w:val="0"/>
                <w:sz w:val="21"/>
                <w:lang w:val="en-US"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伤害致残</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防控行动</w:t>
            </w: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17</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生产安全事故起数下降</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比</w:t>
            </w:r>
            <w:r>
              <w:rPr>
                <w:rFonts w:hint="default" w:ascii="Times New Roman" w:hAnsi="Times New Roman" w:eastAsia="仿宋_GB2312" w:cs="Times New Roman"/>
                <w:b w:val="0"/>
                <w:bCs w:val="0"/>
                <w:color w:val="auto"/>
                <w:spacing w:val="0"/>
                <w:sz w:val="21"/>
                <w:szCs w:val="21"/>
                <w:lang w:val="en-US" w:eastAsia="zh-CN"/>
              </w:rPr>
              <w:t>2016年下降10%</w:t>
            </w:r>
            <w:r>
              <w:rPr>
                <w:rFonts w:hint="default" w:ascii="Times New Roman" w:hAnsi="Times New Roman" w:eastAsia="仿宋_GB2312" w:cs="Times New Roman"/>
                <w:b w:val="0"/>
                <w:bCs w:val="0"/>
                <w:color w:val="auto"/>
                <w:spacing w:val="0"/>
                <w:sz w:val="21"/>
                <w:szCs w:val="21"/>
              </w:rPr>
              <w:t>以上</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比</w:t>
            </w:r>
            <w:r>
              <w:rPr>
                <w:rFonts w:hint="default" w:ascii="Times New Roman" w:hAnsi="Times New Roman" w:eastAsia="仿宋_GB2312" w:cs="Times New Roman"/>
                <w:b w:val="0"/>
                <w:bCs w:val="0"/>
                <w:color w:val="auto"/>
                <w:spacing w:val="0"/>
                <w:sz w:val="21"/>
                <w:szCs w:val="21"/>
                <w:lang w:val="en-US" w:eastAsia="zh-CN"/>
              </w:rPr>
              <w:t>2020年下降15%以</w:t>
            </w:r>
            <w:r>
              <w:rPr>
                <w:rFonts w:hint="default" w:ascii="Times New Roman" w:hAnsi="Times New Roman" w:eastAsia="仿宋_GB2312" w:cs="Times New Roman"/>
                <w:b w:val="0"/>
                <w:bCs w:val="0"/>
                <w:color w:val="auto"/>
                <w:spacing w:val="0"/>
                <w:sz w:val="21"/>
                <w:szCs w:val="21"/>
              </w:rPr>
              <w:t>上</w:t>
            </w:r>
          </w:p>
        </w:tc>
        <w:tc>
          <w:tcPr>
            <w:tcW w:w="1420"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lang w:val="en-US" w:eastAsia="zh-CN"/>
              </w:rPr>
            </w:pPr>
            <w:r>
              <w:rPr>
                <w:rFonts w:hint="default" w:ascii="Times New Roman" w:hAnsi="Times New Roman" w:eastAsia="仿宋_GB2312" w:cs="Times New Roman"/>
                <w:b w:val="0"/>
                <w:bCs w:val="0"/>
                <w:color w:val="auto"/>
                <w:spacing w:val="0"/>
                <w:sz w:val="21"/>
                <w:szCs w:val="21"/>
                <w:lang w:val="en-US" w:eastAsia="zh-CN"/>
              </w:rPr>
              <w:t>生态环境局</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lang w:val="en-US" w:eastAsia="zh-CN"/>
              </w:rPr>
            </w:pPr>
            <w:r>
              <w:rPr>
                <w:rFonts w:hint="default" w:ascii="Times New Roman" w:hAnsi="Times New Roman" w:eastAsia="仿宋_GB2312" w:cs="Times New Roman"/>
                <w:b w:val="0"/>
                <w:bCs w:val="0"/>
                <w:color w:val="auto"/>
                <w:spacing w:val="0"/>
                <w:sz w:val="21"/>
                <w:szCs w:val="21"/>
                <w:lang w:val="en-US" w:eastAsia="zh-CN"/>
              </w:rPr>
              <w:t>应急管理局</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市场监管局</w:t>
            </w:r>
          </w:p>
        </w:tc>
        <w:tc>
          <w:tcPr>
            <w:tcW w:w="3426"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教育局、工信局、公安局、民政局、人社局、住建局、交通局、卫健局、水利局、农业农村局、文广旅局、气象局、总工会、消防救援大队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18</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声环境功能区夜间达标率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82.3%</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85%</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rPr>
            </w:pPr>
            <w:r>
              <w:rPr>
                <w:rFonts w:hint="default" w:ascii="Times New Roman" w:hAnsi="Times New Roman" w:eastAsia="仿宋_GB2312" w:cs="Times New Roman"/>
                <w:b w:val="0"/>
                <w:bCs w:val="0"/>
                <w:color w:val="auto"/>
                <w:spacing w:val="0"/>
                <w:sz w:val="21"/>
                <w:szCs w:val="21"/>
              </w:rPr>
              <w:t>康复服务</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促进行动</w:t>
            </w: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19</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每10万人口康复医师人数</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lang w:val="en-US"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u w:val="none"/>
              </w:rPr>
              <w:t>&gt;</w:t>
            </w:r>
            <w:r>
              <w:rPr>
                <w:rFonts w:hint="default" w:ascii="Times New Roman" w:hAnsi="Times New Roman" w:eastAsia="仿宋_GB2312" w:cs="Times New Roman"/>
                <w:b w:val="0"/>
                <w:bCs w:val="0"/>
                <w:color w:val="auto"/>
                <w:spacing w:val="0"/>
                <w:sz w:val="21"/>
                <w:szCs w:val="21"/>
                <w:lang w:val="en-US" w:eastAsia="zh-CN"/>
              </w:rPr>
              <w:t>8人</w:t>
            </w:r>
          </w:p>
        </w:tc>
        <w:tc>
          <w:tcPr>
            <w:tcW w:w="1420"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lang w:val="en-US" w:eastAsia="zh-CN"/>
              </w:rPr>
            </w:pPr>
            <w:r>
              <w:rPr>
                <w:rFonts w:hint="default" w:ascii="Times New Roman" w:hAnsi="Times New Roman" w:eastAsia="仿宋_GB2312" w:cs="Times New Roman"/>
                <w:b w:val="0"/>
                <w:bCs w:val="0"/>
                <w:color w:val="auto"/>
                <w:spacing w:val="0"/>
                <w:sz w:val="21"/>
                <w:szCs w:val="21"/>
                <w:lang w:val="en-US" w:eastAsia="zh-CN"/>
              </w:rPr>
              <w:t>卫健局</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lang w:val="en-US" w:eastAsia="zh-CN"/>
              </w:rPr>
            </w:pPr>
            <w:r>
              <w:rPr>
                <w:rFonts w:hint="default" w:ascii="Times New Roman" w:hAnsi="Times New Roman" w:eastAsia="仿宋_GB2312" w:cs="Times New Roman"/>
                <w:b w:val="0"/>
                <w:bCs w:val="0"/>
                <w:color w:val="auto"/>
                <w:spacing w:val="0"/>
                <w:sz w:val="21"/>
                <w:szCs w:val="21"/>
                <w:lang w:val="en-US" w:eastAsia="zh-CN"/>
              </w:rPr>
              <w:t>住建局</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sz w:val="21"/>
                <w:szCs w:val="21"/>
                <w:lang w:val="en-US" w:eastAsia="zh-CN"/>
              </w:rPr>
            </w:pPr>
            <w:r>
              <w:rPr>
                <w:rFonts w:hint="default" w:ascii="Times New Roman" w:hAnsi="Times New Roman" w:eastAsia="仿宋_GB2312" w:cs="Times New Roman"/>
                <w:b w:val="0"/>
                <w:bCs w:val="0"/>
                <w:color w:val="auto"/>
                <w:spacing w:val="0"/>
                <w:sz w:val="21"/>
                <w:szCs w:val="21"/>
                <w:lang w:val="en-US" w:eastAsia="zh-CN"/>
              </w:rPr>
              <w:t>城管局</w:t>
            </w:r>
          </w:p>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残  联</w:t>
            </w:r>
          </w:p>
        </w:tc>
        <w:tc>
          <w:tcPr>
            <w:tcW w:w="3426" w:type="dxa"/>
            <w:vMerge w:val="restart"/>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发改局、教育局、工信局、民政局、市场监管局、交通局、文广旅局、医保局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20</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65岁以上失能老年人健康服务率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lang w:val="en-US"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80%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21</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lang w:eastAsia="zh-CN"/>
              </w:rPr>
            </w:pPr>
            <w:r>
              <w:rPr>
                <w:rFonts w:hint="default" w:ascii="Times New Roman" w:hAnsi="Times New Roman" w:eastAsia="仿宋_GB2312" w:cs="Times New Roman"/>
                <w:b w:val="0"/>
                <w:bCs w:val="0"/>
                <w:color w:val="auto"/>
                <w:spacing w:val="0"/>
                <w:sz w:val="21"/>
                <w:szCs w:val="21"/>
              </w:rPr>
              <w:t>开展精神障碍社区康复服务的县</w:t>
            </w:r>
            <w:r>
              <w:rPr>
                <w:rFonts w:hint="default" w:ascii="Times New Roman" w:hAnsi="Times New Roman" w:eastAsia="仿宋_GB2312" w:cs="Times New Roman"/>
                <w:b w:val="0"/>
                <w:bCs w:val="0"/>
                <w:color w:val="auto"/>
                <w:spacing w:val="0"/>
                <w:sz w:val="21"/>
                <w:szCs w:val="21"/>
                <w:lang w:eastAsia="zh-CN"/>
              </w:rPr>
              <w:t>（</w:t>
            </w:r>
            <w:r>
              <w:rPr>
                <w:rFonts w:hint="default" w:ascii="Times New Roman" w:hAnsi="Times New Roman" w:eastAsia="仿宋_GB2312" w:cs="Times New Roman"/>
                <w:b w:val="0"/>
                <w:bCs w:val="0"/>
                <w:color w:val="auto"/>
                <w:spacing w:val="0"/>
                <w:sz w:val="21"/>
                <w:szCs w:val="21"/>
              </w:rPr>
              <w:t>区</w:t>
            </w:r>
            <w:r>
              <w:rPr>
                <w:rFonts w:hint="default" w:ascii="Times New Roman" w:hAnsi="Times New Roman" w:eastAsia="仿宋_GB2312" w:cs="Times New Roman"/>
                <w:b w:val="0"/>
                <w:bCs w:val="0"/>
                <w:color w:val="auto"/>
                <w:spacing w:val="0"/>
                <w:sz w:val="21"/>
                <w:szCs w:val="21"/>
                <w:lang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lang w:val="en-US"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100%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22</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开展精神障碍社区康复服务的县</w:t>
            </w:r>
            <w:r>
              <w:rPr>
                <w:rFonts w:hint="default" w:ascii="Times New Roman" w:hAnsi="Times New Roman" w:eastAsia="仿宋_GB2312" w:cs="Times New Roman"/>
                <w:b w:val="0"/>
                <w:bCs w:val="0"/>
                <w:color w:val="auto"/>
                <w:spacing w:val="0"/>
                <w:sz w:val="21"/>
                <w:szCs w:val="21"/>
                <w:lang w:eastAsia="zh-CN"/>
              </w:rPr>
              <w:t>（</w:t>
            </w:r>
            <w:r>
              <w:rPr>
                <w:rFonts w:hint="default" w:ascii="Times New Roman" w:hAnsi="Times New Roman" w:eastAsia="仿宋_GB2312" w:cs="Times New Roman"/>
                <w:b w:val="0"/>
                <w:bCs w:val="0"/>
                <w:color w:val="auto"/>
                <w:spacing w:val="0"/>
                <w:sz w:val="21"/>
                <w:szCs w:val="21"/>
              </w:rPr>
              <w:t>区</w:t>
            </w:r>
            <w:r>
              <w:rPr>
                <w:rFonts w:hint="default" w:ascii="Times New Roman" w:hAnsi="Times New Roman" w:eastAsia="仿宋_GB2312" w:cs="Times New Roman"/>
                <w:b w:val="0"/>
                <w:bCs w:val="0"/>
                <w:color w:val="auto"/>
                <w:spacing w:val="0"/>
                <w:sz w:val="21"/>
                <w:szCs w:val="21"/>
                <w:lang w:eastAsia="zh-CN"/>
              </w:rPr>
              <w:t>）</w:t>
            </w:r>
            <w:r>
              <w:rPr>
                <w:rFonts w:hint="default" w:ascii="Times New Roman" w:hAnsi="Times New Roman" w:eastAsia="仿宋_GB2312" w:cs="Times New Roman"/>
                <w:b w:val="0"/>
                <w:bCs w:val="0"/>
                <w:color w:val="auto"/>
                <w:spacing w:val="0"/>
                <w:sz w:val="21"/>
                <w:szCs w:val="21"/>
              </w:rPr>
              <w:t>的居家患者接受社区康复服务比率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lang w:val="en-US"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60%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23</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残疾人基本康复服务覆盖率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&gt;80%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98%</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24</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残疾人辅助器具适配率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&gt;80%</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w:t>
            </w:r>
            <w:r>
              <w:rPr>
                <w:rFonts w:hint="default" w:ascii="Times New Roman" w:hAnsi="Times New Roman" w:eastAsia="仿宋_GB2312" w:cs="Times New Roman"/>
                <w:b w:val="0"/>
                <w:bCs w:val="0"/>
                <w:color w:val="auto"/>
                <w:spacing w:val="0"/>
                <w:sz w:val="21"/>
                <w:szCs w:val="21"/>
                <w:lang w:val="en-US" w:eastAsia="zh-CN"/>
              </w:rPr>
              <w:t>98%</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24" w:hRule="atLeast"/>
          <w:jc w:val="center"/>
        </w:trPr>
        <w:tc>
          <w:tcPr>
            <w:tcW w:w="1508"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570" w:type="dxa"/>
            <w:vAlign w:val="center"/>
          </w:tcPr>
          <w:p>
            <w:pPr>
              <w:keepNext w:val="0"/>
              <w:keepLines w:val="0"/>
              <w:pageBreakBefore w:val="0"/>
              <w:widowControl w:val="0"/>
              <w:suppressLineNumbers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cente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pPr>
            <w:r>
              <w:rPr>
                <w:rFonts w:hint="default" w:ascii="Times New Roman" w:hAnsi="Times New Roman" w:eastAsia="仿宋_GB2312" w:cs="Times New Roman"/>
                <w:b w:val="0"/>
                <w:bCs w:val="0"/>
                <w:i w:val="0"/>
                <w:iCs w:val="0"/>
                <w:snapToGrid w:val="0"/>
                <w:color w:val="auto"/>
                <w:spacing w:val="0"/>
                <w:kern w:val="0"/>
                <w:sz w:val="21"/>
                <w:szCs w:val="21"/>
                <w:u w:val="none"/>
                <w:lang w:val="en-US" w:eastAsia="zh-CN" w:bidi="ar"/>
              </w:rPr>
              <w:t>25</w:t>
            </w:r>
          </w:p>
        </w:tc>
        <w:tc>
          <w:tcPr>
            <w:tcW w:w="4724"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both"/>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rPr>
              <w:t>公共建筑无障碍设施建设率</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lang w:val="en-US" w:eastAsia="zh-CN"/>
              </w:rPr>
              <w:t>——</w:t>
            </w:r>
          </w:p>
        </w:tc>
        <w:tc>
          <w:tcPr>
            <w:tcW w:w="1305" w:type="dxa"/>
            <w:vAlign w:val="center"/>
          </w:tcPr>
          <w:p>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textAlignment w:val="baseline"/>
              <w:rPr>
                <w:rFonts w:hint="default" w:ascii="Times New Roman" w:hAnsi="Times New Roman" w:eastAsia="仿宋_GB2312" w:cs="Times New Roman"/>
                <w:b w:val="0"/>
                <w:bCs w:val="0"/>
                <w:color w:val="auto"/>
                <w:spacing w:val="0"/>
                <w:vertAlign w:val="baseline"/>
              </w:rPr>
            </w:pPr>
            <w:r>
              <w:rPr>
                <w:rFonts w:hint="default" w:ascii="Times New Roman" w:hAnsi="Times New Roman" w:eastAsia="仿宋_GB2312" w:cs="Times New Roman"/>
                <w:b w:val="0"/>
                <w:bCs w:val="0"/>
                <w:color w:val="auto"/>
                <w:spacing w:val="0"/>
                <w:sz w:val="21"/>
                <w:szCs w:val="21"/>
                <w:lang w:val="en-US" w:eastAsia="zh-CN"/>
              </w:rPr>
              <w:t>100%</w:t>
            </w:r>
          </w:p>
        </w:tc>
        <w:tc>
          <w:tcPr>
            <w:tcW w:w="1420"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c>
          <w:tcPr>
            <w:tcW w:w="3426" w:type="dxa"/>
            <w:vMerge w:val="continue"/>
            <w:vAlign w:val="center"/>
          </w:tcPr>
          <w:p>
            <w:pPr>
              <w:pStyle w:val="5"/>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0" w:firstLineChars="0"/>
              <w:jc w:val="center"/>
              <w:rPr>
                <w:rFonts w:hint="default" w:ascii="Times New Roman" w:hAnsi="Times New Roman" w:eastAsia="仿宋_GB2312" w:cs="Times New Roman"/>
                <w:b w:val="0"/>
                <w:bCs w:val="0"/>
                <w:color w:val="auto"/>
                <w:spacing w:val="0"/>
                <w:vertAlign w:val="baseline"/>
              </w:rPr>
            </w:pPr>
          </w:p>
        </w:tc>
      </w:tr>
    </w:tbl>
    <w:p>
      <w:pPr>
        <w:keepNext w:val="0"/>
        <w:keepLines w:val="0"/>
        <w:pageBreakBefore w:val="0"/>
        <w:widowControl/>
        <w:kinsoku w:val="0"/>
        <w:wordWrap/>
        <w:overflowPunct/>
        <w:topLinePunct w:val="0"/>
        <w:autoSpaceDE w:val="0"/>
        <w:autoSpaceDN w:val="0"/>
        <w:bidi w:val="0"/>
        <w:adjustRightInd w:val="0"/>
        <w:snapToGrid w:val="0"/>
        <w:spacing w:line="260" w:lineRule="exact"/>
        <w:textAlignment w:val="baseline"/>
        <w:rPr>
          <w:rFonts w:hint="default" w:ascii="Times New Roman" w:hAnsi="Times New Roman" w:eastAsia="方正仿宋_GBK" w:cs="Times New Roman"/>
          <w:b w:val="0"/>
          <w:bCs w:val="0"/>
          <w:color w:val="auto"/>
        </w:rPr>
        <w:sectPr>
          <w:footerReference r:id="rId6" w:type="default"/>
          <w:pgSz w:w="16832" w:h="11900" w:orient="landscape"/>
          <w:pgMar w:top="1304" w:right="1304" w:bottom="1304" w:left="1304" w:header="850" w:footer="1474" w:gutter="0"/>
          <w:pgNumType w:fmt="decimal"/>
          <w:cols w:space="0" w:num="1"/>
          <w:rtlGutter w:val="0"/>
          <w:docGrid w:linePitch="312" w:charSpace="0"/>
        </w:sect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rPr>
      </w:pPr>
    </w:p>
    <w:p>
      <w:pPr>
        <w:rPr>
          <w:rFonts w:hint="default" w:ascii="Times New Roman" w:hAnsi="Times New Roman" w:cs="Times New Roman"/>
        </w:rPr>
      </w:pPr>
    </w:p>
    <w:p>
      <w:pPr>
        <w:keepNext w:val="0"/>
        <w:keepLines w:val="0"/>
        <w:pageBreakBefore w:val="0"/>
        <w:widowControl w:val="0"/>
        <w:kinsoku/>
        <w:wordWrap/>
        <w:overflowPunct w:val="0"/>
        <w:topLinePunct/>
        <w:autoSpaceDE w:val="0"/>
        <w:autoSpaceDN w:val="0"/>
        <w:bidi w:val="0"/>
        <w:adjustRightInd/>
        <w:snapToGrid w:val="0"/>
        <w:spacing w:line="240" w:lineRule="auto"/>
        <w:textAlignment w:val="auto"/>
        <w:rPr>
          <w:rFonts w:hint="default" w:ascii="Times New Roman" w:hAnsi="Times New Roman" w:cs="Times New Roman"/>
        </w:rPr>
      </w:pP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jc w:val="left"/>
        <w:textAlignment w:val="auto"/>
        <w:rPr>
          <w:rFonts w:hint="default" w:ascii="Times New Roman" w:hAnsi="Times New Roman" w:eastAsia="仿宋_GB2312" w:cs="Times New Roman"/>
          <w:b w:val="0"/>
          <w:bCs w:val="0"/>
          <w:color w:val="000000"/>
          <w:kern w:val="21"/>
          <w:sz w:val="32"/>
          <w:szCs w:val="32"/>
        </w:rPr>
      </w:pPr>
      <w:r>
        <w:rPr>
          <w:rFonts w:hint="default" w:ascii="Times New Roman" w:hAnsi="Times New Roman" w:eastAsia="仿宋_GB2312" w:cs="Times New Roman"/>
          <w:b w:val="0"/>
          <w:bCs w:val="0"/>
          <w:color w:val="000000"/>
          <w:kern w:val="21"/>
          <w:sz w:val="32"/>
          <w:szCs w:val="32"/>
        </w:rPr>
        <mc:AlternateContent>
          <mc:Choice Requires="wps">
            <w:drawing>
              <wp:anchor distT="0" distB="0" distL="114300" distR="114300" simplePos="0" relativeHeight="251662336" behindDoc="0" locked="0" layoutInCell="1" allowOverlap="1">
                <wp:simplePos x="0" y="0"/>
                <wp:positionH relativeFrom="column">
                  <wp:posOffset>-4445</wp:posOffset>
                </wp:positionH>
                <wp:positionV relativeFrom="paragraph">
                  <wp:posOffset>212725</wp:posOffset>
                </wp:positionV>
                <wp:extent cx="5615940" cy="635"/>
                <wp:effectExtent l="0" t="0" r="0" b="0"/>
                <wp:wrapNone/>
                <wp:docPr id="5" name="Line 4"/>
                <wp:cNvGraphicFramePr/>
                <a:graphic xmlns:a="http://schemas.openxmlformats.org/drawingml/2006/main">
                  <a:graphicData uri="http://schemas.microsoft.com/office/word/2010/wordprocessingShape">
                    <wps:wsp>
                      <wps:cNvCnPr/>
                      <wps:spPr>
                        <a:xfrm>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4" o:spid="_x0000_s1026" o:spt="20" style="position:absolute;left:0pt;margin-left:-0.35pt;margin-top:16.75pt;height:0.05pt;width:442.2pt;z-index:251662336;mso-width-relative:page;mso-height-relative:page;" filled="f" stroked="t" coordsize="21600,21600" o:gfxdata="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0TK7q1QAAAAcBAAAPAAAAAAAA&#10;AAEAIAAAACIAAABkcnMvZG93bnJldi54bWxQSwECFAAUAAAACACHTuJAECr6QtwBAADcAwAADgAA&#10;AAAAAAABACAAAAAkAQAAZHJzL2Uyb0RvYy54bWxQSwUGAAAAAAYABgBZAQAAcgUAAAAA&#10;">
                <v:fill on="f" focussize="0,0"/>
                <v:stroke weight="1pt" color="#000000" joinstyle="round"/>
                <v:imagedata o:title=""/>
                <o:lock v:ext="edit" aspectratio="f"/>
              </v:line>
            </w:pict>
          </mc:Fallback>
        </mc:AlternateContent>
      </w:r>
    </w:p>
    <w:p>
      <w:pP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264160</wp:posOffset>
                </wp:positionV>
                <wp:extent cx="5615940" cy="635"/>
                <wp:effectExtent l="0" t="0" r="0" b="0"/>
                <wp:wrapNone/>
                <wp:docPr id="6" name="Line 3"/>
                <wp:cNvGraphicFramePr/>
                <a:graphic xmlns:a="http://schemas.openxmlformats.org/drawingml/2006/main">
                  <a:graphicData uri="http://schemas.microsoft.com/office/word/2010/wordprocessingShape">
                    <wps:wsp>
                      <wps:cNvCnPr/>
                      <wps:spPr>
                        <a:xfrm>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margin-left:0pt;margin-top:20.8pt;height:0.05pt;width:442.2pt;z-index:251663360;mso-width-relative:page;mso-height-relative:page;" filled="f" stroked="t" coordsize="21600,21600" o:gfxdata="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YneY9YAAAAGAQAADwAAAAAA&#10;AAABACAAAAAiAAAAZHJzL2Rvd25yZXYueG1sUEsBAhQAFAAAAAgAh07iQKrCDz7cAQAA3AMAAA4A&#10;AAAAAAAAAQAgAAAAJQEAAGRycy9lMm9Eb2MueG1sUEsFBgAAAAAGAAYAWQEAAHMFA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rPr>
        <w:t>泗阳县人民政府办公室</w:t>
      </w:r>
      <w:r>
        <w:rPr>
          <w:rFonts w:hint="default"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lang w:val="en-US" w:eastAsia="zh-CN"/>
        </w:rPr>
        <w:t>23</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7月4日印发</w:t>
      </w:r>
      <w:r>
        <w:rPr>
          <w:rFonts w:hint="default" w:ascii="Times New Roman" w:hAnsi="Times New Roman" w:eastAsia="仿宋_GB2312" w:cs="Times New Roman"/>
          <w:sz w:val="28"/>
          <w:szCs w:val="28"/>
          <w:lang w:eastAsia="zh-CN"/>
        </w:rPr>
        <w:t>　</w:t>
      </w:r>
    </w:p>
    <w:sectPr>
      <w:footerReference r:id="rId7" w:type="default"/>
      <w:pgSz w:w="11900" w:h="16832"/>
      <w:pgMar w:top="2098" w:right="1474" w:bottom="1984" w:left="1587" w:header="850" w:footer="1474" w:gutter="0"/>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1" w:lineRule="exact"/>
      <w:ind w:firstLine="7589"/>
      <w:rPr>
        <w:rFonts w:ascii="仿宋" w:hAnsi="仿宋" w:eastAsia="仿宋" w:cs="仿宋"/>
        <w:sz w:val="32"/>
        <w:szCs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1" w:lineRule="exact"/>
      <w:ind w:firstLine="7589"/>
      <w:rPr>
        <w:rFonts w:ascii="仿宋" w:hAnsi="仿宋" w:eastAsia="仿宋" w:cs="仿宋"/>
        <w:sz w:val="32"/>
        <w:szCs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mODg2NzhmOWU1YTFmZjNlMmY4OWRiZTg4MWExMjcifQ=="/>
  </w:docVars>
  <w:rsids>
    <w:rsidRoot w:val="09450F54"/>
    <w:rsid w:val="001C048E"/>
    <w:rsid w:val="0046375D"/>
    <w:rsid w:val="005F65CD"/>
    <w:rsid w:val="006E3248"/>
    <w:rsid w:val="009C34F0"/>
    <w:rsid w:val="00B242A2"/>
    <w:rsid w:val="00BF52BD"/>
    <w:rsid w:val="00D5688F"/>
    <w:rsid w:val="00DC6D34"/>
    <w:rsid w:val="00F05EB3"/>
    <w:rsid w:val="00FB0241"/>
    <w:rsid w:val="00FC206D"/>
    <w:rsid w:val="011C44BE"/>
    <w:rsid w:val="0127533C"/>
    <w:rsid w:val="01311D17"/>
    <w:rsid w:val="015B6D94"/>
    <w:rsid w:val="01630E4A"/>
    <w:rsid w:val="01675739"/>
    <w:rsid w:val="019A3BD6"/>
    <w:rsid w:val="01AF2469"/>
    <w:rsid w:val="01BF5575"/>
    <w:rsid w:val="01F3521E"/>
    <w:rsid w:val="02136CBC"/>
    <w:rsid w:val="021653B1"/>
    <w:rsid w:val="021A6C4F"/>
    <w:rsid w:val="021D673F"/>
    <w:rsid w:val="024E06A7"/>
    <w:rsid w:val="026659F6"/>
    <w:rsid w:val="02832A46"/>
    <w:rsid w:val="028702B9"/>
    <w:rsid w:val="02922A4D"/>
    <w:rsid w:val="02B74878"/>
    <w:rsid w:val="02BE6C8C"/>
    <w:rsid w:val="02C07E7A"/>
    <w:rsid w:val="02E70983"/>
    <w:rsid w:val="02E72B1A"/>
    <w:rsid w:val="02E84657"/>
    <w:rsid w:val="031F3DF1"/>
    <w:rsid w:val="035E4554"/>
    <w:rsid w:val="035F44C3"/>
    <w:rsid w:val="036E5FF3"/>
    <w:rsid w:val="038431DC"/>
    <w:rsid w:val="03A81415"/>
    <w:rsid w:val="03B510E0"/>
    <w:rsid w:val="03D90444"/>
    <w:rsid w:val="03DE6517"/>
    <w:rsid w:val="03E11BBF"/>
    <w:rsid w:val="03E84C6D"/>
    <w:rsid w:val="043D24CC"/>
    <w:rsid w:val="045126D0"/>
    <w:rsid w:val="045526E5"/>
    <w:rsid w:val="045D72C7"/>
    <w:rsid w:val="046C7126"/>
    <w:rsid w:val="048A4AE6"/>
    <w:rsid w:val="048B5BE2"/>
    <w:rsid w:val="048D72FB"/>
    <w:rsid w:val="04A96068"/>
    <w:rsid w:val="04DD5D12"/>
    <w:rsid w:val="05015EA4"/>
    <w:rsid w:val="05263B5D"/>
    <w:rsid w:val="05333EBB"/>
    <w:rsid w:val="056F72B2"/>
    <w:rsid w:val="05812B41"/>
    <w:rsid w:val="0586171E"/>
    <w:rsid w:val="05B82D5C"/>
    <w:rsid w:val="05CE1984"/>
    <w:rsid w:val="063B53E6"/>
    <w:rsid w:val="066D64E2"/>
    <w:rsid w:val="067F13C9"/>
    <w:rsid w:val="0694134E"/>
    <w:rsid w:val="06976AC0"/>
    <w:rsid w:val="06A116ED"/>
    <w:rsid w:val="06A967F3"/>
    <w:rsid w:val="06D53145"/>
    <w:rsid w:val="06E61FE3"/>
    <w:rsid w:val="07035F04"/>
    <w:rsid w:val="071F268C"/>
    <w:rsid w:val="07231B49"/>
    <w:rsid w:val="072660ED"/>
    <w:rsid w:val="07300CC3"/>
    <w:rsid w:val="0748600C"/>
    <w:rsid w:val="075946FD"/>
    <w:rsid w:val="076851CD"/>
    <w:rsid w:val="077E37DC"/>
    <w:rsid w:val="07940642"/>
    <w:rsid w:val="079C1EB4"/>
    <w:rsid w:val="07A0485F"/>
    <w:rsid w:val="07BB23DC"/>
    <w:rsid w:val="07C37441"/>
    <w:rsid w:val="07E04497"/>
    <w:rsid w:val="07FC0BA5"/>
    <w:rsid w:val="08362309"/>
    <w:rsid w:val="083D3697"/>
    <w:rsid w:val="08732C15"/>
    <w:rsid w:val="088E7A4F"/>
    <w:rsid w:val="08C97B13"/>
    <w:rsid w:val="08D74823"/>
    <w:rsid w:val="08E104C7"/>
    <w:rsid w:val="08E71343"/>
    <w:rsid w:val="090C4E18"/>
    <w:rsid w:val="090F1853"/>
    <w:rsid w:val="092D54BA"/>
    <w:rsid w:val="09436A8B"/>
    <w:rsid w:val="09450F54"/>
    <w:rsid w:val="096600CA"/>
    <w:rsid w:val="096D3B08"/>
    <w:rsid w:val="098028C1"/>
    <w:rsid w:val="099C0301"/>
    <w:rsid w:val="09A92667"/>
    <w:rsid w:val="09AB0D36"/>
    <w:rsid w:val="09AE758B"/>
    <w:rsid w:val="09B90AFC"/>
    <w:rsid w:val="09BE17FD"/>
    <w:rsid w:val="09BE6112"/>
    <w:rsid w:val="09BF3629"/>
    <w:rsid w:val="09C878D4"/>
    <w:rsid w:val="09D74EF0"/>
    <w:rsid w:val="09DF46E7"/>
    <w:rsid w:val="09EF451D"/>
    <w:rsid w:val="09FC30DE"/>
    <w:rsid w:val="0A7A4A29"/>
    <w:rsid w:val="0B023ECA"/>
    <w:rsid w:val="0B24469B"/>
    <w:rsid w:val="0B437E5A"/>
    <w:rsid w:val="0B464611"/>
    <w:rsid w:val="0B671515"/>
    <w:rsid w:val="0B99525E"/>
    <w:rsid w:val="0B9A6B6B"/>
    <w:rsid w:val="0BA475B4"/>
    <w:rsid w:val="0BC83278"/>
    <w:rsid w:val="0BF73658"/>
    <w:rsid w:val="0C2B3ED1"/>
    <w:rsid w:val="0C3B6140"/>
    <w:rsid w:val="0C601702"/>
    <w:rsid w:val="0C8C63AB"/>
    <w:rsid w:val="0C927C08"/>
    <w:rsid w:val="0C9B3C30"/>
    <w:rsid w:val="0CA05FA3"/>
    <w:rsid w:val="0CA43CE5"/>
    <w:rsid w:val="0CAD246E"/>
    <w:rsid w:val="0CE91DBB"/>
    <w:rsid w:val="0CE95936"/>
    <w:rsid w:val="0CEC568C"/>
    <w:rsid w:val="0CF87A96"/>
    <w:rsid w:val="0D1E09AD"/>
    <w:rsid w:val="0D1F2087"/>
    <w:rsid w:val="0D35493D"/>
    <w:rsid w:val="0D377EE1"/>
    <w:rsid w:val="0D5E2C4A"/>
    <w:rsid w:val="0D9D0734"/>
    <w:rsid w:val="0DD423A8"/>
    <w:rsid w:val="0DF97C35"/>
    <w:rsid w:val="0E2B276D"/>
    <w:rsid w:val="0E385F8B"/>
    <w:rsid w:val="0E417312"/>
    <w:rsid w:val="0E665BE1"/>
    <w:rsid w:val="0E8E5428"/>
    <w:rsid w:val="0EBB3118"/>
    <w:rsid w:val="0EBF1907"/>
    <w:rsid w:val="0ED5458C"/>
    <w:rsid w:val="0EF3685E"/>
    <w:rsid w:val="0F080C2A"/>
    <w:rsid w:val="0F0B7C36"/>
    <w:rsid w:val="0F39413A"/>
    <w:rsid w:val="0F6C03BE"/>
    <w:rsid w:val="0F7B6853"/>
    <w:rsid w:val="0F8B7AEE"/>
    <w:rsid w:val="0F916077"/>
    <w:rsid w:val="0FB31540"/>
    <w:rsid w:val="0FBD50BE"/>
    <w:rsid w:val="0FCA3629"/>
    <w:rsid w:val="10352221"/>
    <w:rsid w:val="10797237"/>
    <w:rsid w:val="107D62F3"/>
    <w:rsid w:val="10817E99"/>
    <w:rsid w:val="108A31F2"/>
    <w:rsid w:val="10AC13BA"/>
    <w:rsid w:val="10B06CFF"/>
    <w:rsid w:val="10B07F1A"/>
    <w:rsid w:val="10E16B8A"/>
    <w:rsid w:val="10ED552F"/>
    <w:rsid w:val="110A78B7"/>
    <w:rsid w:val="11131439"/>
    <w:rsid w:val="11206312"/>
    <w:rsid w:val="11390308"/>
    <w:rsid w:val="1140241C"/>
    <w:rsid w:val="114D67CE"/>
    <w:rsid w:val="11625F1D"/>
    <w:rsid w:val="117417AC"/>
    <w:rsid w:val="118916FB"/>
    <w:rsid w:val="11D4096E"/>
    <w:rsid w:val="11DA61BE"/>
    <w:rsid w:val="11DF30C9"/>
    <w:rsid w:val="11EE155E"/>
    <w:rsid w:val="122E0FAD"/>
    <w:rsid w:val="12371157"/>
    <w:rsid w:val="125A5B60"/>
    <w:rsid w:val="12661830"/>
    <w:rsid w:val="12865C3B"/>
    <w:rsid w:val="128E2E52"/>
    <w:rsid w:val="12971B2C"/>
    <w:rsid w:val="12971BF6"/>
    <w:rsid w:val="12D04739"/>
    <w:rsid w:val="12F9372D"/>
    <w:rsid w:val="131D428C"/>
    <w:rsid w:val="132F3147"/>
    <w:rsid w:val="13516249"/>
    <w:rsid w:val="135E0459"/>
    <w:rsid w:val="13712447"/>
    <w:rsid w:val="138E4663"/>
    <w:rsid w:val="13F51B73"/>
    <w:rsid w:val="13FF5CA5"/>
    <w:rsid w:val="1417554F"/>
    <w:rsid w:val="1447675B"/>
    <w:rsid w:val="145F6743"/>
    <w:rsid w:val="1463484F"/>
    <w:rsid w:val="14760FB8"/>
    <w:rsid w:val="14774DBB"/>
    <w:rsid w:val="14942891"/>
    <w:rsid w:val="14A423A8"/>
    <w:rsid w:val="14AC6344"/>
    <w:rsid w:val="14B94BCE"/>
    <w:rsid w:val="14BC1DE8"/>
    <w:rsid w:val="14EE6E4B"/>
    <w:rsid w:val="151A3A1B"/>
    <w:rsid w:val="151E07B0"/>
    <w:rsid w:val="151E1986"/>
    <w:rsid w:val="15510782"/>
    <w:rsid w:val="156F6E5A"/>
    <w:rsid w:val="159468C1"/>
    <w:rsid w:val="15B21984"/>
    <w:rsid w:val="15D2283B"/>
    <w:rsid w:val="15D66ED9"/>
    <w:rsid w:val="15E52C78"/>
    <w:rsid w:val="16005D04"/>
    <w:rsid w:val="16551BAC"/>
    <w:rsid w:val="16565924"/>
    <w:rsid w:val="165925FF"/>
    <w:rsid w:val="1675224E"/>
    <w:rsid w:val="16943291"/>
    <w:rsid w:val="169675B4"/>
    <w:rsid w:val="16D3646B"/>
    <w:rsid w:val="17044D0F"/>
    <w:rsid w:val="172A32C5"/>
    <w:rsid w:val="173018C2"/>
    <w:rsid w:val="174C1201"/>
    <w:rsid w:val="17822E75"/>
    <w:rsid w:val="1787048B"/>
    <w:rsid w:val="179B5CE4"/>
    <w:rsid w:val="17FF2717"/>
    <w:rsid w:val="18100480"/>
    <w:rsid w:val="183103F7"/>
    <w:rsid w:val="183A72AB"/>
    <w:rsid w:val="185C0256"/>
    <w:rsid w:val="1892450D"/>
    <w:rsid w:val="189D786A"/>
    <w:rsid w:val="18A805A8"/>
    <w:rsid w:val="18AB01A9"/>
    <w:rsid w:val="18BC31EC"/>
    <w:rsid w:val="18FA6A3B"/>
    <w:rsid w:val="190B44B4"/>
    <w:rsid w:val="19314B52"/>
    <w:rsid w:val="193F08F1"/>
    <w:rsid w:val="19436634"/>
    <w:rsid w:val="194529DC"/>
    <w:rsid w:val="19477230"/>
    <w:rsid w:val="195B488E"/>
    <w:rsid w:val="1964196A"/>
    <w:rsid w:val="19882298"/>
    <w:rsid w:val="198B3B37"/>
    <w:rsid w:val="19AD5F2D"/>
    <w:rsid w:val="19DE32E4"/>
    <w:rsid w:val="19F910D8"/>
    <w:rsid w:val="1A134258"/>
    <w:rsid w:val="1A3A1B8F"/>
    <w:rsid w:val="1A4402E1"/>
    <w:rsid w:val="1A9441C4"/>
    <w:rsid w:val="1AA21CBB"/>
    <w:rsid w:val="1AAE187F"/>
    <w:rsid w:val="1AB20E08"/>
    <w:rsid w:val="1B072103"/>
    <w:rsid w:val="1B0A53D7"/>
    <w:rsid w:val="1B4D379A"/>
    <w:rsid w:val="1B527002"/>
    <w:rsid w:val="1B860A5A"/>
    <w:rsid w:val="1B9852AF"/>
    <w:rsid w:val="1BB13D28"/>
    <w:rsid w:val="1BD619E1"/>
    <w:rsid w:val="1BDB47FE"/>
    <w:rsid w:val="1C0A51E7"/>
    <w:rsid w:val="1C5B5A42"/>
    <w:rsid w:val="1CA67605"/>
    <w:rsid w:val="1CA922AA"/>
    <w:rsid w:val="1CF0262F"/>
    <w:rsid w:val="1D26643B"/>
    <w:rsid w:val="1D281406"/>
    <w:rsid w:val="1D3D339A"/>
    <w:rsid w:val="1D464944"/>
    <w:rsid w:val="1D614905"/>
    <w:rsid w:val="1D614F1F"/>
    <w:rsid w:val="1D6F3E9B"/>
    <w:rsid w:val="1DB23D88"/>
    <w:rsid w:val="1DD12460"/>
    <w:rsid w:val="1E012FDE"/>
    <w:rsid w:val="1E1015F8"/>
    <w:rsid w:val="1E114F52"/>
    <w:rsid w:val="1E311151"/>
    <w:rsid w:val="1E450758"/>
    <w:rsid w:val="1E7B061E"/>
    <w:rsid w:val="1E957931"/>
    <w:rsid w:val="1E9B246D"/>
    <w:rsid w:val="1EC04CF7"/>
    <w:rsid w:val="1F0D396C"/>
    <w:rsid w:val="1F2B5BA0"/>
    <w:rsid w:val="1F512AEE"/>
    <w:rsid w:val="1F5D0F05"/>
    <w:rsid w:val="1F7F1734"/>
    <w:rsid w:val="1FE16BA6"/>
    <w:rsid w:val="200C2FED"/>
    <w:rsid w:val="201605FE"/>
    <w:rsid w:val="20270FDB"/>
    <w:rsid w:val="203A14A3"/>
    <w:rsid w:val="20500291"/>
    <w:rsid w:val="20511636"/>
    <w:rsid w:val="205253AE"/>
    <w:rsid w:val="206F2139"/>
    <w:rsid w:val="20875058"/>
    <w:rsid w:val="208B42C7"/>
    <w:rsid w:val="208D608B"/>
    <w:rsid w:val="20BD3F15"/>
    <w:rsid w:val="20C938C2"/>
    <w:rsid w:val="20F756A2"/>
    <w:rsid w:val="21105108"/>
    <w:rsid w:val="214E5B76"/>
    <w:rsid w:val="21684960"/>
    <w:rsid w:val="216929AF"/>
    <w:rsid w:val="21944764"/>
    <w:rsid w:val="21C42F0E"/>
    <w:rsid w:val="21DD6EFA"/>
    <w:rsid w:val="21EE4FDE"/>
    <w:rsid w:val="21F30AB1"/>
    <w:rsid w:val="222114DC"/>
    <w:rsid w:val="226A69DF"/>
    <w:rsid w:val="2286504D"/>
    <w:rsid w:val="22B93646"/>
    <w:rsid w:val="22C00CF5"/>
    <w:rsid w:val="22CD6F6E"/>
    <w:rsid w:val="22CF1D97"/>
    <w:rsid w:val="22DB168B"/>
    <w:rsid w:val="22E3086F"/>
    <w:rsid w:val="22E569AE"/>
    <w:rsid w:val="22F4274D"/>
    <w:rsid w:val="23010939"/>
    <w:rsid w:val="23137077"/>
    <w:rsid w:val="233A4603"/>
    <w:rsid w:val="235A6A54"/>
    <w:rsid w:val="236A7AB0"/>
    <w:rsid w:val="23735A16"/>
    <w:rsid w:val="23982756"/>
    <w:rsid w:val="23A45F21"/>
    <w:rsid w:val="23AD74CB"/>
    <w:rsid w:val="23BF71FF"/>
    <w:rsid w:val="2435126F"/>
    <w:rsid w:val="243B755C"/>
    <w:rsid w:val="2473727F"/>
    <w:rsid w:val="249E0BC2"/>
    <w:rsid w:val="24A722D9"/>
    <w:rsid w:val="24AB32DF"/>
    <w:rsid w:val="24AE34FB"/>
    <w:rsid w:val="24BD7A54"/>
    <w:rsid w:val="24EA02AB"/>
    <w:rsid w:val="250E3F9A"/>
    <w:rsid w:val="25257535"/>
    <w:rsid w:val="25395D8A"/>
    <w:rsid w:val="25454984"/>
    <w:rsid w:val="25585215"/>
    <w:rsid w:val="25592B49"/>
    <w:rsid w:val="25825149"/>
    <w:rsid w:val="25897AC4"/>
    <w:rsid w:val="25BC22C0"/>
    <w:rsid w:val="25BE6EC7"/>
    <w:rsid w:val="25D24FC7"/>
    <w:rsid w:val="25DC0BEB"/>
    <w:rsid w:val="25E604E0"/>
    <w:rsid w:val="260F0142"/>
    <w:rsid w:val="264513FF"/>
    <w:rsid w:val="265F2DD5"/>
    <w:rsid w:val="26796F4A"/>
    <w:rsid w:val="267C0513"/>
    <w:rsid w:val="268036C0"/>
    <w:rsid w:val="273B3040"/>
    <w:rsid w:val="274274E1"/>
    <w:rsid w:val="27514A70"/>
    <w:rsid w:val="27814881"/>
    <w:rsid w:val="278F0C96"/>
    <w:rsid w:val="27A6670B"/>
    <w:rsid w:val="27B4482F"/>
    <w:rsid w:val="27DC037F"/>
    <w:rsid w:val="28081242"/>
    <w:rsid w:val="280D31BC"/>
    <w:rsid w:val="282633A8"/>
    <w:rsid w:val="284D302B"/>
    <w:rsid w:val="28572AB9"/>
    <w:rsid w:val="287556F2"/>
    <w:rsid w:val="287F6F5C"/>
    <w:rsid w:val="288602EB"/>
    <w:rsid w:val="28A15125"/>
    <w:rsid w:val="28D6687A"/>
    <w:rsid w:val="28D728F5"/>
    <w:rsid w:val="291148BB"/>
    <w:rsid w:val="29186FF6"/>
    <w:rsid w:val="2956012E"/>
    <w:rsid w:val="297F5D39"/>
    <w:rsid w:val="299E2E5C"/>
    <w:rsid w:val="29A86021"/>
    <w:rsid w:val="29BB3FC4"/>
    <w:rsid w:val="29BB5D72"/>
    <w:rsid w:val="29C84B5E"/>
    <w:rsid w:val="2A024C96"/>
    <w:rsid w:val="2A0C3C6F"/>
    <w:rsid w:val="2A36189D"/>
    <w:rsid w:val="2A4E4E38"/>
    <w:rsid w:val="2A6B5510"/>
    <w:rsid w:val="2A8645D2"/>
    <w:rsid w:val="2A8E5901"/>
    <w:rsid w:val="2AD83FEE"/>
    <w:rsid w:val="2AE80DE9"/>
    <w:rsid w:val="2B3A01E8"/>
    <w:rsid w:val="2B45623B"/>
    <w:rsid w:val="2B4F2C16"/>
    <w:rsid w:val="2B6F150A"/>
    <w:rsid w:val="2B732DA8"/>
    <w:rsid w:val="2B786611"/>
    <w:rsid w:val="2B9D6077"/>
    <w:rsid w:val="2BA613A2"/>
    <w:rsid w:val="2BB4516F"/>
    <w:rsid w:val="2BE27F2E"/>
    <w:rsid w:val="2BE55328"/>
    <w:rsid w:val="2BF04150"/>
    <w:rsid w:val="2BFA3C59"/>
    <w:rsid w:val="2BFC287A"/>
    <w:rsid w:val="2C3D3341"/>
    <w:rsid w:val="2C6C7A7E"/>
    <w:rsid w:val="2C7843EE"/>
    <w:rsid w:val="2C825740"/>
    <w:rsid w:val="2C840FE5"/>
    <w:rsid w:val="2C842D93"/>
    <w:rsid w:val="2C944043"/>
    <w:rsid w:val="2C972AC7"/>
    <w:rsid w:val="2CA0428F"/>
    <w:rsid w:val="2CC633AC"/>
    <w:rsid w:val="2D0D4B37"/>
    <w:rsid w:val="2D300825"/>
    <w:rsid w:val="2D5100F9"/>
    <w:rsid w:val="2D536E7A"/>
    <w:rsid w:val="2D957A25"/>
    <w:rsid w:val="2DB33930"/>
    <w:rsid w:val="2DB91451"/>
    <w:rsid w:val="2DC10C1D"/>
    <w:rsid w:val="2DCF44E2"/>
    <w:rsid w:val="2DDE64D3"/>
    <w:rsid w:val="2DF0629B"/>
    <w:rsid w:val="2E020414"/>
    <w:rsid w:val="2E204D3E"/>
    <w:rsid w:val="2E2C790E"/>
    <w:rsid w:val="2E3305CD"/>
    <w:rsid w:val="2E424CB4"/>
    <w:rsid w:val="2E546CA1"/>
    <w:rsid w:val="2E620EB2"/>
    <w:rsid w:val="2E96130C"/>
    <w:rsid w:val="2EA66FF1"/>
    <w:rsid w:val="2EB66B18"/>
    <w:rsid w:val="2ED20F32"/>
    <w:rsid w:val="2ED34A16"/>
    <w:rsid w:val="2EFC4E63"/>
    <w:rsid w:val="2F044E1C"/>
    <w:rsid w:val="2F2D7712"/>
    <w:rsid w:val="2F5729E1"/>
    <w:rsid w:val="2F5E5B1E"/>
    <w:rsid w:val="2F6A59B9"/>
    <w:rsid w:val="2F94153F"/>
    <w:rsid w:val="2FF83157"/>
    <w:rsid w:val="2FFB336C"/>
    <w:rsid w:val="304050A9"/>
    <w:rsid w:val="30406FD1"/>
    <w:rsid w:val="305B205D"/>
    <w:rsid w:val="306B6744"/>
    <w:rsid w:val="30B97AC4"/>
    <w:rsid w:val="30D339B1"/>
    <w:rsid w:val="30EB0EBF"/>
    <w:rsid w:val="30F56797"/>
    <w:rsid w:val="3102072B"/>
    <w:rsid w:val="3115045E"/>
    <w:rsid w:val="311F308B"/>
    <w:rsid w:val="313905F0"/>
    <w:rsid w:val="314D5E4A"/>
    <w:rsid w:val="31750EFD"/>
    <w:rsid w:val="31B25CAD"/>
    <w:rsid w:val="31E05E13"/>
    <w:rsid w:val="31F345C4"/>
    <w:rsid w:val="32075FF9"/>
    <w:rsid w:val="320C7AB3"/>
    <w:rsid w:val="32382656"/>
    <w:rsid w:val="324E00CB"/>
    <w:rsid w:val="32500E5F"/>
    <w:rsid w:val="325A61F6"/>
    <w:rsid w:val="325B411E"/>
    <w:rsid w:val="3260395B"/>
    <w:rsid w:val="32951856"/>
    <w:rsid w:val="32957AA8"/>
    <w:rsid w:val="32A95302"/>
    <w:rsid w:val="32AE2D7D"/>
    <w:rsid w:val="32B11DF1"/>
    <w:rsid w:val="32BB4322"/>
    <w:rsid w:val="32D33F02"/>
    <w:rsid w:val="32D87995"/>
    <w:rsid w:val="32E93950"/>
    <w:rsid w:val="32F3657D"/>
    <w:rsid w:val="333D5A4A"/>
    <w:rsid w:val="334C648B"/>
    <w:rsid w:val="33664FA1"/>
    <w:rsid w:val="336E3E55"/>
    <w:rsid w:val="33976C3E"/>
    <w:rsid w:val="339C4E66"/>
    <w:rsid w:val="33C5616B"/>
    <w:rsid w:val="33C85A6C"/>
    <w:rsid w:val="33EB36F8"/>
    <w:rsid w:val="34030A42"/>
    <w:rsid w:val="342C21AC"/>
    <w:rsid w:val="346040E6"/>
    <w:rsid w:val="34763909"/>
    <w:rsid w:val="348E67B1"/>
    <w:rsid w:val="349079A6"/>
    <w:rsid w:val="34925255"/>
    <w:rsid w:val="34A264AC"/>
    <w:rsid w:val="34B34216"/>
    <w:rsid w:val="34C74165"/>
    <w:rsid w:val="34E6283D"/>
    <w:rsid w:val="34F82570"/>
    <w:rsid w:val="350E3B42"/>
    <w:rsid w:val="35303AB8"/>
    <w:rsid w:val="35661288"/>
    <w:rsid w:val="356E638F"/>
    <w:rsid w:val="35815A13"/>
    <w:rsid w:val="35A66F4F"/>
    <w:rsid w:val="35B32C2A"/>
    <w:rsid w:val="35BC70FA"/>
    <w:rsid w:val="35C30488"/>
    <w:rsid w:val="35EB3E83"/>
    <w:rsid w:val="35F40F8A"/>
    <w:rsid w:val="360016DD"/>
    <w:rsid w:val="36680A0D"/>
    <w:rsid w:val="36B44275"/>
    <w:rsid w:val="36ED64C8"/>
    <w:rsid w:val="37030C64"/>
    <w:rsid w:val="37135440"/>
    <w:rsid w:val="37537F32"/>
    <w:rsid w:val="375869AC"/>
    <w:rsid w:val="376B68F9"/>
    <w:rsid w:val="37887BDC"/>
    <w:rsid w:val="378C7281"/>
    <w:rsid w:val="37B3277F"/>
    <w:rsid w:val="37BC7E4B"/>
    <w:rsid w:val="37C93D50"/>
    <w:rsid w:val="37CB17A0"/>
    <w:rsid w:val="37CF3B2B"/>
    <w:rsid w:val="381A624A"/>
    <w:rsid w:val="38290D19"/>
    <w:rsid w:val="38D31D3B"/>
    <w:rsid w:val="38E3631D"/>
    <w:rsid w:val="38E54BBA"/>
    <w:rsid w:val="38F44DFD"/>
    <w:rsid w:val="38FB0F33"/>
    <w:rsid w:val="39096AFA"/>
    <w:rsid w:val="390A2872"/>
    <w:rsid w:val="390B0AC4"/>
    <w:rsid w:val="3913789F"/>
    <w:rsid w:val="39164B5C"/>
    <w:rsid w:val="392A5097"/>
    <w:rsid w:val="39335925"/>
    <w:rsid w:val="393F251C"/>
    <w:rsid w:val="397D1296"/>
    <w:rsid w:val="398E34A3"/>
    <w:rsid w:val="399912D5"/>
    <w:rsid w:val="39A21738"/>
    <w:rsid w:val="39A607ED"/>
    <w:rsid w:val="39C806A1"/>
    <w:rsid w:val="39CC6DF4"/>
    <w:rsid w:val="39CE1AF2"/>
    <w:rsid w:val="39CE5B60"/>
    <w:rsid w:val="39D4535A"/>
    <w:rsid w:val="3A0E1EEE"/>
    <w:rsid w:val="3A563FC1"/>
    <w:rsid w:val="3A654204"/>
    <w:rsid w:val="3A90384C"/>
    <w:rsid w:val="3AA36ADA"/>
    <w:rsid w:val="3ABC194A"/>
    <w:rsid w:val="3AC058DE"/>
    <w:rsid w:val="3ACE2857"/>
    <w:rsid w:val="3AED5FA8"/>
    <w:rsid w:val="3AF56EF0"/>
    <w:rsid w:val="3AFE01B5"/>
    <w:rsid w:val="3B1039F4"/>
    <w:rsid w:val="3B1672AC"/>
    <w:rsid w:val="3B170421"/>
    <w:rsid w:val="3B183024"/>
    <w:rsid w:val="3B2A0FAA"/>
    <w:rsid w:val="3B514797"/>
    <w:rsid w:val="3B536F66"/>
    <w:rsid w:val="3B5E2A01"/>
    <w:rsid w:val="3B64270E"/>
    <w:rsid w:val="3B9B5A04"/>
    <w:rsid w:val="3BAF0417"/>
    <w:rsid w:val="3BBA40DC"/>
    <w:rsid w:val="3BCA362F"/>
    <w:rsid w:val="3BE20D60"/>
    <w:rsid w:val="3BEA279F"/>
    <w:rsid w:val="3BF21AC7"/>
    <w:rsid w:val="3C047A4D"/>
    <w:rsid w:val="3C0503A6"/>
    <w:rsid w:val="3C133447"/>
    <w:rsid w:val="3C4345A2"/>
    <w:rsid w:val="3C504A40"/>
    <w:rsid w:val="3C683B38"/>
    <w:rsid w:val="3C771FCD"/>
    <w:rsid w:val="3C830972"/>
    <w:rsid w:val="3CA134EE"/>
    <w:rsid w:val="3CAB1C76"/>
    <w:rsid w:val="3CD04124"/>
    <w:rsid w:val="3CD8213E"/>
    <w:rsid w:val="3CEA4F51"/>
    <w:rsid w:val="3CF950D8"/>
    <w:rsid w:val="3D030109"/>
    <w:rsid w:val="3D073351"/>
    <w:rsid w:val="3D0A01CF"/>
    <w:rsid w:val="3D0D1594"/>
    <w:rsid w:val="3D251B66"/>
    <w:rsid w:val="3D346110"/>
    <w:rsid w:val="3D3712C2"/>
    <w:rsid w:val="3D3C0DC1"/>
    <w:rsid w:val="3D6A1B31"/>
    <w:rsid w:val="3D6E1430"/>
    <w:rsid w:val="3D74650C"/>
    <w:rsid w:val="3D7F7107"/>
    <w:rsid w:val="3D8E3A53"/>
    <w:rsid w:val="3DA768E2"/>
    <w:rsid w:val="3DB50FFF"/>
    <w:rsid w:val="3DE3265E"/>
    <w:rsid w:val="3DEA67CE"/>
    <w:rsid w:val="3DEC0798"/>
    <w:rsid w:val="3DFF04CC"/>
    <w:rsid w:val="3E015A47"/>
    <w:rsid w:val="3E2D7A62"/>
    <w:rsid w:val="3E801D79"/>
    <w:rsid w:val="3E802591"/>
    <w:rsid w:val="3E95027A"/>
    <w:rsid w:val="3EA64DEB"/>
    <w:rsid w:val="3ECB6C59"/>
    <w:rsid w:val="3F1B7587"/>
    <w:rsid w:val="3F241A71"/>
    <w:rsid w:val="3F253F62"/>
    <w:rsid w:val="3FB236F6"/>
    <w:rsid w:val="3FB34C03"/>
    <w:rsid w:val="3FFA4348"/>
    <w:rsid w:val="3FFC68A8"/>
    <w:rsid w:val="3FFE7BEC"/>
    <w:rsid w:val="401B241A"/>
    <w:rsid w:val="40317906"/>
    <w:rsid w:val="403860CC"/>
    <w:rsid w:val="4061546E"/>
    <w:rsid w:val="407C4056"/>
    <w:rsid w:val="409578FA"/>
    <w:rsid w:val="40AF00A1"/>
    <w:rsid w:val="40C14EC9"/>
    <w:rsid w:val="40C30AA2"/>
    <w:rsid w:val="40D45C40"/>
    <w:rsid w:val="40E51BFB"/>
    <w:rsid w:val="40EF2A79"/>
    <w:rsid w:val="41770CEE"/>
    <w:rsid w:val="417B60BB"/>
    <w:rsid w:val="418C5562"/>
    <w:rsid w:val="41995350"/>
    <w:rsid w:val="419F6289"/>
    <w:rsid w:val="41A61DAC"/>
    <w:rsid w:val="41B94E35"/>
    <w:rsid w:val="41C025A9"/>
    <w:rsid w:val="41D54401"/>
    <w:rsid w:val="41DD42A4"/>
    <w:rsid w:val="41E33C60"/>
    <w:rsid w:val="420B38E3"/>
    <w:rsid w:val="420E5181"/>
    <w:rsid w:val="421D7172"/>
    <w:rsid w:val="42240501"/>
    <w:rsid w:val="422624CB"/>
    <w:rsid w:val="422E1EC4"/>
    <w:rsid w:val="424D41EE"/>
    <w:rsid w:val="42510EED"/>
    <w:rsid w:val="42C13FA2"/>
    <w:rsid w:val="42D91699"/>
    <w:rsid w:val="42D924F0"/>
    <w:rsid w:val="42E36169"/>
    <w:rsid w:val="42EA53AE"/>
    <w:rsid w:val="433F136A"/>
    <w:rsid w:val="43450F32"/>
    <w:rsid w:val="4355293C"/>
    <w:rsid w:val="43707776"/>
    <w:rsid w:val="43BB30E7"/>
    <w:rsid w:val="43C01543"/>
    <w:rsid w:val="43F108B7"/>
    <w:rsid w:val="43F65BAE"/>
    <w:rsid w:val="441B3B85"/>
    <w:rsid w:val="445A1D8A"/>
    <w:rsid w:val="445F1CC4"/>
    <w:rsid w:val="446B68BB"/>
    <w:rsid w:val="44821BBA"/>
    <w:rsid w:val="44882C70"/>
    <w:rsid w:val="44986047"/>
    <w:rsid w:val="44D31575"/>
    <w:rsid w:val="44EF7411"/>
    <w:rsid w:val="45014639"/>
    <w:rsid w:val="4504461A"/>
    <w:rsid w:val="450924A5"/>
    <w:rsid w:val="45156827"/>
    <w:rsid w:val="451627E9"/>
    <w:rsid w:val="456357E4"/>
    <w:rsid w:val="457C3A8B"/>
    <w:rsid w:val="45C2075D"/>
    <w:rsid w:val="45DD1E03"/>
    <w:rsid w:val="45E265B1"/>
    <w:rsid w:val="460569BA"/>
    <w:rsid w:val="460D74FE"/>
    <w:rsid w:val="462A00B0"/>
    <w:rsid w:val="463158E2"/>
    <w:rsid w:val="467557CF"/>
    <w:rsid w:val="467625C0"/>
    <w:rsid w:val="469320F9"/>
    <w:rsid w:val="46CB1893"/>
    <w:rsid w:val="46E1366E"/>
    <w:rsid w:val="46ED7663"/>
    <w:rsid w:val="47054383"/>
    <w:rsid w:val="47113B3E"/>
    <w:rsid w:val="4718206C"/>
    <w:rsid w:val="472C42FB"/>
    <w:rsid w:val="47451645"/>
    <w:rsid w:val="476D58D9"/>
    <w:rsid w:val="477430DF"/>
    <w:rsid w:val="4791488A"/>
    <w:rsid w:val="47A345BE"/>
    <w:rsid w:val="47A877C9"/>
    <w:rsid w:val="47C63E08"/>
    <w:rsid w:val="47C87B80"/>
    <w:rsid w:val="47D93B3C"/>
    <w:rsid w:val="47DB3D58"/>
    <w:rsid w:val="47E524E0"/>
    <w:rsid w:val="47F46BC7"/>
    <w:rsid w:val="47F6331C"/>
    <w:rsid w:val="48424BF5"/>
    <w:rsid w:val="484E1860"/>
    <w:rsid w:val="485430A3"/>
    <w:rsid w:val="485B747D"/>
    <w:rsid w:val="487A46DF"/>
    <w:rsid w:val="488066AD"/>
    <w:rsid w:val="48873598"/>
    <w:rsid w:val="48C91E02"/>
    <w:rsid w:val="4910358D"/>
    <w:rsid w:val="49BE123B"/>
    <w:rsid w:val="49C17530"/>
    <w:rsid w:val="49C5081B"/>
    <w:rsid w:val="49EF3AEA"/>
    <w:rsid w:val="4A54394D"/>
    <w:rsid w:val="4A8F1AAB"/>
    <w:rsid w:val="4A934476"/>
    <w:rsid w:val="4AB50890"/>
    <w:rsid w:val="4AC05487"/>
    <w:rsid w:val="4AC40AD3"/>
    <w:rsid w:val="4ACE54AE"/>
    <w:rsid w:val="4AE271AB"/>
    <w:rsid w:val="4AE478DC"/>
    <w:rsid w:val="4B074E64"/>
    <w:rsid w:val="4B257098"/>
    <w:rsid w:val="4B306168"/>
    <w:rsid w:val="4B6C4CC7"/>
    <w:rsid w:val="4B7342A7"/>
    <w:rsid w:val="4B7778F3"/>
    <w:rsid w:val="4B9345F4"/>
    <w:rsid w:val="4B971D44"/>
    <w:rsid w:val="4BCA1FA1"/>
    <w:rsid w:val="4BDC1E4C"/>
    <w:rsid w:val="4BDC3BFA"/>
    <w:rsid w:val="4BE2297B"/>
    <w:rsid w:val="4BF70A34"/>
    <w:rsid w:val="4BF90C50"/>
    <w:rsid w:val="4C26134C"/>
    <w:rsid w:val="4C373527"/>
    <w:rsid w:val="4C7D362F"/>
    <w:rsid w:val="4C8449BE"/>
    <w:rsid w:val="4C88478D"/>
    <w:rsid w:val="4C9D3603"/>
    <w:rsid w:val="4CCE79E7"/>
    <w:rsid w:val="4CF11927"/>
    <w:rsid w:val="4D573E80"/>
    <w:rsid w:val="4D8220AC"/>
    <w:rsid w:val="4D8D5647"/>
    <w:rsid w:val="4D93478D"/>
    <w:rsid w:val="4DCD4142"/>
    <w:rsid w:val="4DF14CD4"/>
    <w:rsid w:val="4DF96CE5"/>
    <w:rsid w:val="4E035DB6"/>
    <w:rsid w:val="4E0F5DAB"/>
    <w:rsid w:val="4E10035F"/>
    <w:rsid w:val="4E116D2E"/>
    <w:rsid w:val="4E1A6C5C"/>
    <w:rsid w:val="4E3B72FE"/>
    <w:rsid w:val="4E47299C"/>
    <w:rsid w:val="4E557C94"/>
    <w:rsid w:val="4E920EE8"/>
    <w:rsid w:val="4EB513C3"/>
    <w:rsid w:val="4EB86BA1"/>
    <w:rsid w:val="4ED432AF"/>
    <w:rsid w:val="4EEE303D"/>
    <w:rsid w:val="4EEE5C57"/>
    <w:rsid w:val="4EFA0F67"/>
    <w:rsid w:val="4F073684"/>
    <w:rsid w:val="4F095CD4"/>
    <w:rsid w:val="4F0E2AEE"/>
    <w:rsid w:val="4F245FE4"/>
    <w:rsid w:val="4F4641AC"/>
    <w:rsid w:val="4F6A776F"/>
    <w:rsid w:val="4F7D74A2"/>
    <w:rsid w:val="4F9A1DAF"/>
    <w:rsid w:val="4F9F38BD"/>
    <w:rsid w:val="4FB216C3"/>
    <w:rsid w:val="4FD33566"/>
    <w:rsid w:val="4FDE2637"/>
    <w:rsid w:val="4FEB2351"/>
    <w:rsid w:val="4FFE6835"/>
    <w:rsid w:val="50011E81"/>
    <w:rsid w:val="50033A72"/>
    <w:rsid w:val="501C6CBB"/>
    <w:rsid w:val="503F3C4B"/>
    <w:rsid w:val="50AB0EEE"/>
    <w:rsid w:val="50C77758"/>
    <w:rsid w:val="50E023DF"/>
    <w:rsid w:val="50FE2EA6"/>
    <w:rsid w:val="510A099B"/>
    <w:rsid w:val="511856D5"/>
    <w:rsid w:val="516A038E"/>
    <w:rsid w:val="517D19DC"/>
    <w:rsid w:val="51900178"/>
    <w:rsid w:val="519D4342"/>
    <w:rsid w:val="522B0F92"/>
    <w:rsid w:val="522D51B0"/>
    <w:rsid w:val="52683EFD"/>
    <w:rsid w:val="52701540"/>
    <w:rsid w:val="528943B0"/>
    <w:rsid w:val="52AF2069"/>
    <w:rsid w:val="52B14033"/>
    <w:rsid w:val="52E837CD"/>
    <w:rsid w:val="53145685"/>
    <w:rsid w:val="53281E1B"/>
    <w:rsid w:val="53284926"/>
    <w:rsid w:val="53310CD0"/>
    <w:rsid w:val="53446786"/>
    <w:rsid w:val="537F7C8D"/>
    <w:rsid w:val="538A1BC8"/>
    <w:rsid w:val="538D4764"/>
    <w:rsid w:val="5391176E"/>
    <w:rsid w:val="53980DD9"/>
    <w:rsid w:val="53CD1971"/>
    <w:rsid w:val="53DE59A8"/>
    <w:rsid w:val="53F1220D"/>
    <w:rsid w:val="53F17234"/>
    <w:rsid w:val="540E1011"/>
    <w:rsid w:val="54102FDB"/>
    <w:rsid w:val="54136627"/>
    <w:rsid w:val="5442795A"/>
    <w:rsid w:val="544E58B1"/>
    <w:rsid w:val="545F12DA"/>
    <w:rsid w:val="54660E4D"/>
    <w:rsid w:val="54790B80"/>
    <w:rsid w:val="54953922"/>
    <w:rsid w:val="54A31759"/>
    <w:rsid w:val="54AA254E"/>
    <w:rsid w:val="54CF254E"/>
    <w:rsid w:val="54D67D81"/>
    <w:rsid w:val="54DE4E87"/>
    <w:rsid w:val="54E0475B"/>
    <w:rsid w:val="54FC009C"/>
    <w:rsid w:val="5533003C"/>
    <w:rsid w:val="554B6D1F"/>
    <w:rsid w:val="55540CA5"/>
    <w:rsid w:val="556829A3"/>
    <w:rsid w:val="55807CEC"/>
    <w:rsid w:val="55A075A1"/>
    <w:rsid w:val="55A14D7B"/>
    <w:rsid w:val="55D3606E"/>
    <w:rsid w:val="55DE2015"/>
    <w:rsid w:val="55FA2032"/>
    <w:rsid w:val="56102772"/>
    <w:rsid w:val="5632548A"/>
    <w:rsid w:val="563D5BDD"/>
    <w:rsid w:val="563D78A5"/>
    <w:rsid w:val="564451BE"/>
    <w:rsid w:val="56474D13"/>
    <w:rsid w:val="566B153D"/>
    <w:rsid w:val="566F4FFD"/>
    <w:rsid w:val="56961C81"/>
    <w:rsid w:val="56BC0DE5"/>
    <w:rsid w:val="56E063A2"/>
    <w:rsid w:val="56E322E1"/>
    <w:rsid w:val="56F17A27"/>
    <w:rsid w:val="56FD753C"/>
    <w:rsid w:val="570C5CDB"/>
    <w:rsid w:val="570F757A"/>
    <w:rsid w:val="572374B9"/>
    <w:rsid w:val="575E22AF"/>
    <w:rsid w:val="576672AA"/>
    <w:rsid w:val="579A6370"/>
    <w:rsid w:val="579F079F"/>
    <w:rsid w:val="57C8534F"/>
    <w:rsid w:val="57F26597"/>
    <w:rsid w:val="57F549C2"/>
    <w:rsid w:val="57F56770"/>
    <w:rsid w:val="58404706"/>
    <w:rsid w:val="58607961"/>
    <w:rsid w:val="586456A3"/>
    <w:rsid w:val="58670CF0"/>
    <w:rsid w:val="587B479B"/>
    <w:rsid w:val="587D1E05"/>
    <w:rsid w:val="58DD28A4"/>
    <w:rsid w:val="58F17142"/>
    <w:rsid w:val="59232E69"/>
    <w:rsid w:val="5943350B"/>
    <w:rsid w:val="5967369D"/>
    <w:rsid w:val="596B2EA9"/>
    <w:rsid w:val="596F2254"/>
    <w:rsid w:val="59821828"/>
    <w:rsid w:val="5990046F"/>
    <w:rsid w:val="59D6612D"/>
    <w:rsid w:val="59DD74BB"/>
    <w:rsid w:val="59ED3476"/>
    <w:rsid w:val="5A504131"/>
    <w:rsid w:val="5A601E9A"/>
    <w:rsid w:val="5A820063"/>
    <w:rsid w:val="5A8964F4"/>
    <w:rsid w:val="5AA20705"/>
    <w:rsid w:val="5AD05456"/>
    <w:rsid w:val="5AF2343A"/>
    <w:rsid w:val="5B2675D3"/>
    <w:rsid w:val="5B301376"/>
    <w:rsid w:val="5B344F84"/>
    <w:rsid w:val="5B6A1223"/>
    <w:rsid w:val="5B7B42DE"/>
    <w:rsid w:val="5B9F1A9A"/>
    <w:rsid w:val="5BA70F79"/>
    <w:rsid w:val="5BCE7A03"/>
    <w:rsid w:val="5BDD26C9"/>
    <w:rsid w:val="5BE32D83"/>
    <w:rsid w:val="5BF0608B"/>
    <w:rsid w:val="5BF705DC"/>
    <w:rsid w:val="5BF80AD6"/>
    <w:rsid w:val="5BFE5E0F"/>
    <w:rsid w:val="5C710224"/>
    <w:rsid w:val="5CA40501"/>
    <w:rsid w:val="5CD86660"/>
    <w:rsid w:val="5CED3EB9"/>
    <w:rsid w:val="5D066D29"/>
    <w:rsid w:val="5D276C9F"/>
    <w:rsid w:val="5D2B3D48"/>
    <w:rsid w:val="5D526776"/>
    <w:rsid w:val="5D5B4779"/>
    <w:rsid w:val="5D617132"/>
    <w:rsid w:val="5D883BE2"/>
    <w:rsid w:val="5D8E1CEF"/>
    <w:rsid w:val="5D9601DC"/>
    <w:rsid w:val="5DB87E0D"/>
    <w:rsid w:val="5DC46DA4"/>
    <w:rsid w:val="5DD706C5"/>
    <w:rsid w:val="5DF43025"/>
    <w:rsid w:val="5E070BDD"/>
    <w:rsid w:val="5E1137E7"/>
    <w:rsid w:val="5E501C0F"/>
    <w:rsid w:val="5EA90CA0"/>
    <w:rsid w:val="5EC40C4A"/>
    <w:rsid w:val="5EC46E9C"/>
    <w:rsid w:val="5EC92914"/>
    <w:rsid w:val="5EDD1D0C"/>
    <w:rsid w:val="5EE33772"/>
    <w:rsid w:val="5EF94A07"/>
    <w:rsid w:val="5F047DE2"/>
    <w:rsid w:val="5F062E2F"/>
    <w:rsid w:val="5F0D0F05"/>
    <w:rsid w:val="5F455694"/>
    <w:rsid w:val="5F555D46"/>
    <w:rsid w:val="5F571ABE"/>
    <w:rsid w:val="5F7A39FE"/>
    <w:rsid w:val="5FCD3B2E"/>
    <w:rsid w:val="5FD650D9"/>
    <w:rsid w:val="5FE80A41"/>
    <w:rsid w:val="601E1840"/>
    <w:rsid w:val="603D1E90"/>
    <w:rsid w:val="603E67DA"/>
    <w:rsid w:val="604F4E8B"/>
    <w:rsid w:val="606B613C"/>
    <w:rsid w:val="60B66CA1"/>
    <w:rsid w:val="60CD7695"/>
    <w:rsid w:val="60F13EA9"/>
    <w:rsid w:val="60FF240D"/>
    <w:rsid w:val="610572F8"/>
    <w:rsid w:val="61114AA9"/>
    <w:rsid w:val="6117377F"/>
    <w:rsid w:val="611A4644"/>
    <w:rsid w:val="612479FF"/>
    <w:rsid w:val="612E4AA0"/>
    <w:rsid w:val="61307EC2"/>
    <w:rsid w:val="61330309"/>
    <w:rsid w:val="613B7E7B"/>
    <w:rsid w:val="616B39BC"/>
    <w:rsid w:val="61811074"/>
    <w:rsid w:val="61994610"/>
    <w:rsid w:val="61F23D20"/>
    <w:rsid w:val="61F61A18"/>
    <w:rsid w:val="61F94C3C"/>
    <w:rsid w:val="62075309"/>
    <w:rsid w:val="62212760"/>
    <w:rsid w:val="6251588A"/>
    <w:rsid w:val="625C1559"/>
    <w:rsid w:val="6267026A"/>
    <w:rsid w:val="62A414BE"/>
    <w:rsid w:val="62A96AD4"/>
    <w:rsid w:val="62B9483E"/>
    <w:rsid w:val="62C70D09"/>
    <w:rsid w:val="62C76C78"/>
    <w:rsid w:val="62F31AFE"/>
    <w:rsid w:val="62F46A43"/>
    <w:rsid w:val="6309501A"/>
    <w:rsid w:val="63161C90"/>
    <w:rsid w:val="632717A7"/>
    <w:rsid w:val="636205B5"/>
    <w:rsid w:val="636D5D54"/>
    <w:rsid w:val="63AD6150"/>
    <w:rsid w:val="63B75307"/>
    <w:rsid w:val="63C15F50"/>
    <w:rsid w:val="63C17E4E"/>
    <w:rsid w:val="63E7287E"/>
    <w:rsid w:val="63ED29F1"/>
    <w:rsid w:val="643B5F4F"/>
    <w:rsid w:val="64616F3B"/>
    <w:rsid w:val="648273DA"/>
    <w:rsid w:val="649E6115"/>
    <w:rsid w:val="64D67929"/>
    <w:rsid w:val="64F34037"/>
    <w:rsid w:val="64F46001"/>
    <w:rsid w:val="650C6EA7"/>
    <w:rsid w:val="65246167"/>
    <w:rsid w:val="653C68B7"/>
    <w:rsid w:val="654A5C21"/>
    <w:rsid w:val="65501489"/>
    <w:rsid w:val="655645C6"/>
    <w:rsid w:val="65621EDC"/>
    <w:rsid w:val="656D3F94"/>
    <w:rsid w:val="6572239F"/>
    <w:rsid w:val="65752C9E"/>
    <w:rsid w:val="65B0017A"/>
    <w:rsid w:val="65B85280"/>
    <w:rsid w:val="65C97472"/>
    <w:rsid w:val="662446C4"/>
    <w:rsid w:val="662F6AF7"/>
    <w:rsid w:val="66544FA9"/>
    <w:rsid w:val="66B1631A"/>
    <w:rsid w:val="66C31691"/>
    <w:rsid w:val="67080045"/>
    <w:rsid w:val="670D4B76"/>
    <w:rsid w:val="67167D84"/>
    <w:rsid w:val="673646AF"/>
    <w:rsid w:val="67B62A2C"/>
    <w:rsid w:val="67CD41CD"/>
    <w:rsid w:val="67D0240D"/>
    <w:rsid w:val="67D53EC8"/>
    <w:rsid w:val="67EC2FBF"/>
    <w:rsid w:val="68093B71"/>
    <w:rsid w:val="68152516"/>
    <w:rsid w:val="68375D21"/>
    <w:rsid w:val="68556717"/>
    <w:rsid w:val="68621A91"/>
    <w:rsid w:val="688B0A2A"/>
    <w:rsid w:val="68BC5088"/>
    <w:rsid w:val="690A5DF3"/>
    <w:rsid w:val="691318F3"/>
    <w:rsid w:val="692A06AD"/>
    <w:rsid w:val="694110E9"/>
    <w:rsid w:val="69643755"/>
    <w:rsid w:val="69643E83"/>
    <w:rsid w:val="69745B81"/>
    <w:rsid w:val="69992312"/>
    <w:rsid w:val="69A2602B"/>
    <w:rsid w:val="69DA57C5"/>
    <w:rsid w:val="6A1F142A"/>
    <w:rsid w:val="6A4B4337"/>
    <w:rsid w:val="6A523CB0"/>
    <w:rsid w:val="6A674B7F"/>
    <w:rsid w:val="6A6A2EC8"/>
    <w:rsid w:val="6A6D6639"/>
    <w:rsid w:val="6A7C062B"/>
    <w:rsid w:val="6A8E23D7"/>
    <w:rsid w:val="6A955B90"/>
    <w:rsid w:val="6AA70E28"/>
    <w:rsid w:val="6B0D1BCA"/>
    <w:rsid w:val="6B12521B"/>
    <w:rsid w:val="6B200811"/>
    <w:rsid w:val="6B382F3B"/>
    <w:rsid w:val="6B8754D9"/>
    <w:rsid w:val="6B946911"/>
    <w:rsid w:val="6B9A6B43"/>
    <w:rsid w:val="6BA51E03"/>
    <w:rsid w:val="6BB05FA1"/>
    <w:rsid w:val="6BB75D2F"/>
    <w:rsid w:val="6BC06C3D"/>
    <w:rsid w:val="6BC143B7"/>
    <w:rsid w:val="6BE32FA2"/>
    <w:rsid w:val="6C423DDF"/>
    <w:rsid w:val="6C506213"/>
    <w:rsid w:val="6CB467A2"/>
    <w:rsid w:val="6CED3A62"/>
    <w:rsid w:val="6CF748E0"/>
    <w:rsid w:val="6D064CE2"/>
    <w:rsid w:val="6D2173BD"/>
    <w:rsid w:val="6D54588F"/>
    <w:rsid w:val="6D6C33C5"/>
    <w:rsid w:val="6D7C78CF"/>
    <w:rsid w:val="6D7F3EC7"/>
    <w:rsid w:val="6DD16EDF"/>
    <w:rsid w:val="6DD469CF"/>
    <w:rsid w:val="6DD8386E"/>
    <w:rsid w:val="6DDD062B"/>
    <w:rsid w:val="6DE1361F"/>
    <w:rsid w:val="6DE41446"/>
    <w:rsid w:val="6E4E6782"/>
    <w:rsid w:val="6E752D03"/>
    <w:rsid w:val="6E9153FC"/>
    <w:rsid w:val="6EA168B2"/>
    <w:rsid w:val="6EB20ABF"/>
    <w:rsid w:val="6EB72DBF"/>
    <w:rsid w:val="6EFC61DE"/>
    <w:rsid w:val="6F231BEF"/>
    <w:rsid w:val="6F2B0871"/>
    <w:rsid w:val="6F3516F0"/>
    <w:rsid w:val="6F631DB9"/>
    <w:rsid w:val="6F6D284B"/>
    <w:rsid w:val="6F7E65C8"/>
    <w:rsid w:val="6F8F2BAE"/>
    <w:rsid w:val="6F945103"/>
    <w:rsid w:val="6F9772B8"/>
    <w:rsid w:val="6F98770A"/>
    <w:rsid w:val="6FC860C0"/>
    <w:rsid w:val="6FE27182"/>
    <w:rsid w:val="6FEE2565"/>
    <w:rsid w:val="6FF15617"/>
    <w:rsid w:val="708530D7"/>
    <w:rsid w:val="709A7ED2"/>
    <w:rsid w:val="709E387E"/>
    <w:rsid w:val="70A504D5"/>
    <w:rsid w:val="70A628A5"/>
    <w:rsid w:val="70B65E76"/>
    <w:rsid w:val="70B83235"/>
    <w:rsid w:val="70D6480D"/>
    <w:rsid w:val="71272B47"/>
    <w:rsid w:val="713352A8"/>
    <w:rsid w:val="717C2845"/>
    <w:rsid w:val="7189187F"/>
    <w:rsid w:val="7196291D"/>
    <w:rsid w:val="71BC0001"/>
    <w:rsid w:val="71DB402A"/>
    <w:rsid w:val="71E9735A"/>
    <w:rsid w:val="72084E9A"/>
    <w:rsid w:val="721455EC"/>
    <w:rsid w:val="723B3782"/>
    <w:rsid w:val="723D4B43"/>
    <w:rsid w:val="729E5B08"/>
    <w:rsid w:val="72A47A23"/>
    <w:rsid w:val="72BB015E"/>
    <w:rsid w:val="72BE1638"/>
    <w:rsid w:val="72F336D6"/>
    <w:rsid w:val="732B3D6D"/>
    <w:rsid w:val="739509AF"/>
    <w:rsid w:val="73971262"/>
    <w:rsid w:val="739A2A7D"/>
    <w:rsid w:val="73BE41AD"/>
    <w:rsid w:val="73C179F6"/>
    <w:rsid w:val="73FD58D7"/>
    <w:rsid w:val="742739B5"/>
    <w:rsid w:val="743401C8"/>
    <w:rsid w:val="74365CEE"/>
    <w:rsid w:val="743B50B2"/>
    <w:rsid w:val="744C72C0"/>
    <w:rsid w:val="744E128A"/>
    <w:rsid w:val="747B7BA5"/>
    <w:rsid w:val="74956EB9"/>
    <w:rsid w:val="749A57F8"/>
    <w:rsid w:val="750E1828"/>
    <w:rsid w:val="75287D2D"/>
    <w:rsid w:val="753C645F"/>
    <w:rsid w:val="754B399B"/>
    <w:rsid w:val="75545FCB"/>
    <w:rsid w:val="755A5A0C"/>
    <w:rsid w:val="755C0CA5"/>
    <w:rsid w:val="75662603"/>
    <w:rsid w:val="7572311C"/>
    <w:rsid w:val="757271FA"/>
    <w:rsid w:val="75790588"/>
    <w:rsid w:val="758B3E18"/>
    <w:rsid w:val="75A629FF"/>
    <w:rsid w:val="75AB44BA"/>
    <w:rsid w:val="75FD777F"/>
    <w:rsid w:val="761958C7"/>
    <w:rsid w:val="761E4C8C"/>
    <w:rsid w:val="766C3C49"/>
    <w:rsid w:val="76AF1D88"/>
    <w:rsid w:val="76BB072D"/>
    <w:rsid w:val="76C07AF1"/>
    <w:rsid w:val="76CC7FCB"/>
    <w:rsid w:val="76EB7264"/>
    <w:rsid w:val="76EF7B2F"/>
    <w:rsid w:val="771C3EB7"/>
    <w:rsid w:val="773E0AC2"/>
    <w:rsid w:val="77434EBB"/>
    <w:rsid w:val="77443B61"/>
    <w:rsid w:val="776A2A0F"/>
    <w:rsid w:val="777A1708"/>
    <w:rsid w:val="77813724"/>
    <w:rsid w:val="77A1382F"/>
    <w:rsid w:val="77B70362"/>
    <w:rsid w:val="77B70EF4"/>
    <w:rsid w:val="77C119C1"/>
    <w:rsid w:val="77EA79E5"/>
    <w:rsid w:val="77F74217"/>
    <w:rsid w:val="783E2636"/>
    <w:rsid w:val="78411105"/>
    <w:rsid w:val="787B4E9F"/>
    <w:rsid w:val="788F3C1F"/>
    <w:rsid w:val="789B0816"/>
    <w:rsid w:val="78A53442"/>
    <w:rsid w:val="78CF1DB8"/>
    <w:rsid w:val="78E24696"/>
    <w:rsid w:val="78E57CE3"/>
    <w:rsid w:val="78F7348E"/>
    <w:rsid w:val="79002D6F"/>
    <w:rsid w:val="790524CD"/>
    <w:rsid w:val="791B3704"/>
    <w:rsid w:val="791F31F5"/>
    <w:rsid w:val="793F2585"/>
    <w:rsid w:val="796706F8"/>
    <w:rsid w:val="797127B7"/>
    <w:rsid w:val="797352EE"/>
    <w:rsid w:val="797A051B"/>
    <w:rsid w:val="799F60E4"/>
    <w:rsid w:val="79AF47CC"/>
    <w:rsid w:val="79BD2A0E"/>
    <w:rsid w:val="79C61C8B"/>
    <w:rsid w:val="79EE0E19"/>
    <w:rsid w:val="79F01529"/>
    <w:rsid w:val="7A1E3999"/>
    <w:rsid w:val="7A2C5CFD"/>
    <w:rsid w:val="7A637111"/>
    <w:rsid w:val="7A87356D"/>
    <w:rsid w:val="7A8D23E0"/>
    <w:rsid w:val="7A911ED0"/>
    <w:rsid w:val="7A92595B"/>
    <w:rsid w:val="7A9F4E9E"/>
    <w:rsid w:val="7ACA1D4C"/>
    <w:rsid w:val="7AED2A40"/>
    <w:rsid w:val="7AFB559C"/>
    <w:rsid w:val="7B002BB2"/>
    <w:rsid w:val="7B035717"/>
    <w:rsid w:val="7B14665D"/>
    <w:rsid w:val="7B1A7A09"/>
    <w:rsid w:val="7B252618"/>
    <w:rsid w:val="7B33765D"/>
    <w:rsid w:val="7B4A207F"/>
    <w:rsid w:val="7B993AE2"/>
    <w:rsid w:val="7BAB6FC2"/>
    <w:rsid w:val="7BFF10BB"/>
    <w:rsid w:val="7C15183F"/>
    <w:rsid w:val="7C442F72"/>
    <w:rsid w:val="7C647170"/>
    <w:rsid w:val="7C675737"/>
    <w:rsid w:val="7C7C7C1E"/>
    <w:rsid w:val="7C947A56"/>
    <w:rsid w:val="7CC876FF"/>
    <w:rsid w:val="7D020E63"/>
    <w:rsid w:val="7D1A37D6"/>
    <w:rsid w:val="7D3D549E"/>
    <w:rsid w:val="7D40076C"/>
    <w:rsid w:val="7D5E1E12"/>
    <w:rsid w:val="7D741635"/>
    <w:rsid w:val="7D796E93"/>
    <w:rsid w:val="7D81655F"/>
    <w:rsid w:val="7DA261A2"/>
    <w:rsid w:val="7DB95287"/>
    <w:rsid w:val="7DBA5EBC"/>
    <w:rsid w:val="7E0F4CC5"/>
    <w:rsid w:val="7E2E4DCD"/>
    <w:rsid w:val="7E3F2C78"/>
    <w:rsid w:val="7E786F03"/>
    <w:rsid w:val="7E975805"/>
    <w:rsid w:val="7EA367AB"/>
    <w:rsid w:val="7EC16AFC"/>
    <w:rsid w:val="7EC531D7"/>
    <w:rsid w:val="7ED4682F"/>
    <w:rsid w:val="7F1C6484"/>
    <w:rsid w:val="7F3379FA"/>
    <w:rsid w:val="7F4514DB"/>
    <w:rsid w:val="7F45374E"/>
    <w:rsid w:val="7F49446D"/>
    <w:rsid w:val="7F555DBE"/>
    <w:rsid w:val="7F5C2D19"/>
    <w:rsid w:val="7F6269D7"/>
    <w:rsid w:val="7F8E0FE6"/>
    <w:rsid w:val="7FB43A10"/>
    <w:rsid w:val="7FB92FFB"/>
    <w:rsid w:val="7FCC531A"/>
    <w:rsid w:val="7FD53BF4"/>
    <w:rsid w:val="7FE24F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ind w:left="640" w:leftChars="200"/>
      <w:outlineLvl w:val="0"/>
    </w:pPr>
    <w:rPr>
      <w:rFonts w:ascii="Arial" w:hAnsi="Arial" w:eastAsia="仿宋_GB2312"/>
      <w:b/>
      <w:sz w:val="32"/>
    </w:rPr>
  </w:style>
  <w:style w:type="paragraph" w:styleId="3">
    <w:name w:val="Body Text"/>
    <w:basedOn w:val="1"/>
    <w:next w:val="1"/>
    <w:qFormat/>
    <w:uiPriority w:val="0"/>
    <w:pPr>
      <w:spacing w:line="240" w:lineRule="auto"/>
      <w:jc w:val="center"/>
    </w:pPr>
    <w:rPr>
      <w:rFonts w:ascii="方正小标宋简体" w:hAnsi="方正小标宋简体" w:eastAsia="方正小标宋简体"/>
      <w:sz w:val="40"/>
      <w:szCs w:val="44"/>
    </w:rPr>
  </w:style>
  <w:style w:type="paragraph" w:styleId="4">
    <w:name w:val="Body Text Indent"/>
    <w:basedOn w:val="1"/>
    <w:next w:val="1"/>
    <w:qFormat/>
    <w:uiPriority w:val="0"/>
    <w:pPr>
      <w:autoSpaceDE/>
      <w:autoSpaceDN/>
      <w:snapToGrid/>
      <w:spacing w:line="240" w:lineRule="auto"/>
      <w:ind w:firstLine="600" w:firstLineChars="200"/>
    </w:pPr>
    <w:rPr>
      <w:rFonts w:eastAsia="宋体"/>
      <w:snapToGrid/>
      <w:kern w:val="2"/>
      <w:sz w:val="30"/>
      <w:szCs w:val="24"/>
    </w:rPr>
  </w:style>
  <w:style w:type="paragraph" w:styleId="5">
    <w:name w:val="index 4"/>
    <w:basedOn w:val="1"/>
    <w:next w:val="1"/>
    <w:qFormat/>
    <w:uiPriority w:val="0"/>
    <w:pPr>
      <w:ind w:left="600" w:leftChars="6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4"/>
    <w:qFormat/>
    <w:uiPriority w:val="0"/>
    <w:pPr>
      <w:ind w:firstLine="420" w:firstLine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正文文本缩进1"/>
    <w:basedOn w:val="1"/>
    <w:unhideWhenUsed/>
    <w:qFormat/>
    <w:uiPriority w:val="0"/>
    <w:pPr>
      <w:spacing w:beforeLines="0" w:afterLines="0"/>
      <w:ind w:left="420" w:leftChars="200"/>
    </w:pPr>
    <w:rPr>
      <w:rFonts w:hint="eastAsia"/>
      <w:sz w:val="22"/>
      <w:szCs w:val="24"/>
    </w:rPr>
  </w:style>
  <w:style w:type="paragraph" w:customStyle="1" w:styleId="13">
    <w:name w:val="BodyText1I2"/>
    <w:basedOn w:val="14"/>
    <w:next w:val="16"/>
    <w:qFormat/>
    <w:uiPriority w:val="0"/>
    <w:pPr>
      <w:ind w:firstLine="420"/>
    </w:pPr>
  </w:style>
  <w:style w:type="paragraph" w:customStyle="1" w:styleId="14">
    <w:name w:val="BodyTextIndent"/>
    <w:basedOn w:val="1"/>
    <w:next w:val="15"/>
    <w:qFormat/>
    <w:uiPriority w:val="0"/>
    <w:pPr>
      <w:spacing w:after="120"/>
      <w:ind w:left="420" w:leftChars="200"/>
      <w:textAlignment w:val="baseline"/>
    </w:pPr>
  </w:style>
  <w:style w:type="paragraph" w:customStyle="1" w:styleId="15">
    <w:name w:val="NormalIndent"/>
    <w:basedOn w:val="1"/>
    <w:qFormat/>
    <w:uiPriority w:val="0"/>
    <w:pPr>
      <w:ind w:firstLine="420" w:firstLineChars="200"/>
    </w:pPr>
  </w:style>
  <w:style w:type="paragraph" w:customStyle="1" w:styleId="16">
    <w:name w:val="BodyText1I"/>
    <w:basedOn w:val="17"/>
    <w:qFormat/>
    <w:uiPriority w:val="0"/>
    <w:pPr>
      <w:ind w:firstLine="420" w:firstLineChars="100"/>
    </w:pPr>
  </w:style>
  <w:style w:type="paragraph" w:customStyle="1" w:styleId="17">
    <w:name w:val="BodyText"/>
    <w:basedOn w:val="1"/>
    <w:next w:val="1"/>
    <w:qFormat/>
    <w:uiPriority w:val="0"/>
    <w:pPr>
      <w:spacing w:after="120"/>
      <w:textAlignment w:val="baseline"/>
    </w:pPr>
  </w:style>
  <w:style w:type="table" w:customStyle="1" w:styleId="1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7753</Words>
  <Characters>8006</Characters>
  <Lines>0</Lines>
  <Paragraphs>0</Paragraphs>
  <TotalTime>2</TotalTime>
  <ScaleCrop>false</ScaleCrop>
  <LinksUpToDate>false</LinksUpToDate>
  <CharactersWithSpaces>8091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2022-06-27T07:23:00Z</dcterms:created>
  <dc:creator>U</dc:creator>
  <cp:lastModifiedBy>草飞重 、禾右页</cp:lastModifiedBy>
  <cp:lastPrinted>2023-05-24T08:27:00Z</cp:lastPrinted>
  <dcterms:modified xsi:type="dcterms:W3CDTF">2023-10-03T03:43:16Z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E4545F01DA4E4C4E8AE2AED93C3931D4_13</vt:lpwstr>
  </property>
</Properties>
</file>