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小标宋_GBK" w:cs="Times New Roman"/>
          <w:snapToGrid w:val="0"/>
          <w:color w:val="FF0000"/>
          <w:kern w:val="0"/>
          <w:sz w:val="150"/>
          <w:szCs w:val="150"/>
        </w:rPr>
      </w:pPr>
      <w:r>
        <w:rPr>
          <w:rFonts w:hint="default" w:ascii="Times New Roman" w:hAnsi="Times New Roman" w:eastAsia="方正小标宋_GBK" w:cs="Times New Roman"/>
          <w:snapToGrid w:val="0"/>
          <w:color w:val="FF0000"/>
          <w:spacing w:val="1"/>
          <w:w w:val="46"/>
          <w:kern w:val="0"/>
          <w:sz w:val="150"/>
          <w:szCs w:val="150"/>
          <w:fitText w:val="8442" w:id="-1208232447"/>
        </w:rPr>
        <w:t>泗阳县人民政府办公室文</w:t>
      </w:r>
      <w:r>
        <w:rPr>
          <w:rFonts w:hint="default" w:ascii="Times New Roman" w:hAnsi="Times New Roman" w:eastAsia="方正小标宋_GBK" w:cs="Times New Roman"/>
          <w:snapToGrid w:val="0"/>
          <w:color w:val="FF0000"/>
          <w:spacing w:val="132"/>
          <w:w w:val="46"/>
          <w:kern w:val="0"/>
          <w:sz w:val="150"/>
          <w:szCs w:val="150"/>
          <w:fitText w:val="8442" w:id="-1208232447"/>
        </w:rPr>
        <w:t>件</w:t>
      </w:r>
    </w:p>
    <w:p>
      <w:pPr>
        <w:spacing w:line="580" w:lineRule="exact"/>
        <w:ind w:left="0" w:leftChars="0" w:firstLine="0" w:firstLineChars="0"/>
        <w:jc w:val="center"/>
        <w:rPr>
          <w:rFonts w:hint="default" w:ascii="Times New Roman" w:hAnsi="Times New Roman" w:eastAsia="仿宋_GB2312" w:cs="Times New Roman"/>
          <w:sz w:val="32"/>
          <w:szCs w:val="32"/>
        </w:rPr>
      </w:pPr>
    </w:p>
    <w:p>
      <w:pPr>
        <w:spacing w:line="580" w:lineRule="exact"/>
        <w:ind w:left="0" w:leftChars="0" w:firstLine="0" w:firstLineChars="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泗政办发〔2023〕55号</w:t>
      </w:r>
    </w:p>
    <w:p>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default" w:ascii="Times New Roman" w:hAnsi="Times New Roman" w:eastAsia="方正小标宋_GBK" w:cs="Times New Roman"/>
          <w:sz w:val="44"/>
          <w:szCs w:val="44"/>
        </w:rPr>
      </w:pPr>
      <w:r>
        <w:rPr>
          <w:sz w:val="44"/>
        </w:rPr>
        <mc:AlternateContent>
          <mc:Choice Requires="wps">
            <w:drawing>
              <wp:anchor distT="0" distB="0" distL="114300" distR="114300" simplePos="0" relativeHeight="251659264" behindDoc="0" locked="0" layoutInCell="1" allowOverlap="1">
                <wp:simplePos x="0" y="0"/>
                <wp:positionH relativeFrom="column">
                  <wp:posOffset>26670</wp:posOffset>
                </wp:positionH>
                <wp:positionV relativeFrom="paragraph">
                  <wp:posOffset>225425</wp:posOffset>
                </wp:positionV>
                <wp:extent cx="5519420" cy="18415"/>
                <wp:effectExtent l="0" t="0" r="0" b="0"/>
                <wp:wrapNone/>
                <wp:docPr id="7" name="直接连接符 7"/>
                <wp:cNvGraphicFramePr/>
                <a:graphic xmlns:a="http://schemas.openxmlformats.org/drawingml/2006/main">
                  <a:graphicData uri="http://schemas.microsoft.com/office/word/2010/wordprocessingShape">
                    <wps:wsp>
                      <wps:cNvCnPr/>
                      <wps:spPr>
                        <a:xfrm>
                          <a:off x="1034415" y="3771265"/>
                          <a:ext cx="5519420" cy="1841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1pt;margin-top:17.75pt;height:1.45pt;width:434.6pt;z-index:251659264;mso-width-relative:page;mso-height-relative:page;" filled="f" stroked="t" coordsize="21600,21600" o:gfxdata="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ovahvYAAAABwEAAA8AAAAAAAAAAQAgAAAAIgAAAGRycy9kb3ducmV2Lnht&#10;bFBLAQIUABQAAAAIAIdO4kAz4fN1+QEAAMIDAAAOAAAAAAAAAAEAIAAAACcBAABkcnMvZTJvRG9j&#10;LnhtbFBLBQYAAAAABgAGAFkBAACSBQAAAAA=&#10;">
                <v:fill on="f" focussize="0,0"/>
                <v:stroke weight="2.25pt" color="#FF0000 [3204]"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before="313" w:beforeLines="100"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县政府办公室关于公布泗阳县行政许可</w:t>
      </w:r>
    </w:p>
    <w:p>
      <w:pPr>
        <w:spacing w:line="64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事项清单</w:t>
      </w:r>
      <w:r>
        <w:rPr>
          <w:rFonts w:hint="default"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2023年版</w:t>
      </w:r>
      <w:r>
        <w:rPr>
          <w:rFonts w:hint="default"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的通知</w:t>
      </w:r>
    </w:p>
    <w:p>
      <w:pPr>
        <w:keepNext w:val="0"/>
        <w:keepLines w:val="0"/>
        <w:pageBreakBefore w:val="0"/>
        <w:widowControl w:val="0"/>
        <w:kinsoku/>
        <w:wordWrap/>
        <w:overflowPunct w:val="0"/>
        <w:topLinePunct w:val="0"/>
        <w:autoSpaceDE w:val="0"/>
        <w:autoSpaceDN w:val="0"/>
        <w:bidi w:val="0"/>
        <w:adjustRightInd/>
        <w:snapToGrid w:val="0"/>
        <w:spacing w:line="400" w:lineRule="exact"/>
        <w:ind w:left="0" w:leftChars="0" w:right="0" w:rightChars="0" w:firstLine="0" w:firstLineChars="0"/>
        <w:jc w:val="center"/>
        <w:textAlignment w:val="auto"/>
        <w:outlineLvl w:val="9"/>
        <w:rPr>
          <w:rFonts w:hint="default" w:ascii="Times New Roman" w:hAnsi="Times New Roman" w:eastAsia="方正小标宋_GBK" w:cs="Times New Roman"/>
          <w:sz w:val="32"/>
          <w:szCs w:val="32"/>
        </w:rPr>
      </w:pP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各乡镇人民政府，各街道办事处，各园区（场）管委会，县各委办局，县各直属单位：</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根据《省政府办公厅关于公布江苏省行政许可事项清单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2023年版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的通知》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苏政办发〔2023〕21号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、《市政府办公室关于公布宿迁市行政许可事项清单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2023年版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的通知》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宿政办发〔2023〕25号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要求，结合我县实际，修订形成《泗阳县行政许可事项清单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2023年版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》。经县政府同意，现印发给你们。</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各地、各部门要认真落实《泗阳县行政许可事项清单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2023年版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及时调整本地区、本部门行政许可事项清单，编制完善行政许可实施规范和办事指南，严格依照清单实施行政许可，不断强化实施情况动态评估和全链条全领域监管。对省以上经济开发区行政许可事项、小城市赋权改革行权事项以及相对集中行政许可权改革涉及事项仍按相关改革文件实施。</w:t>
      </w:r>
    </w:p>
    <w:p>
      <w:pPr>
        <w:spacing w:line="560" w:lineRule="exact"/>
        <w:rPr>
          <w:rFonts w:hint="default" w:ascii="Times New Roman" w:hAnsi="Times New Roman" w:eastAsia="仿宋_GB2312" w:cs="Times New Roman"/>
          <w:sz w:val="32"/>
          <w:szCs w:val="32"/>
        </w:rPr>
      </w:pP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附件:泗阳县行政许可事项清单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2023年版</w:t>
      </w:r>
      <w:r>
        <w:rPr>
          <w:rFonts w:hint="default" w:ascii="Times New Roman" w:hAnsi="Times New Roman" w:eastAsia="仿宋_GB2312" w:cs="Times New Roman"/>
          <w:sz w:val="32"/>
          <w:szCs w:val="32"/>
          <w:lang w:eastAsia="zh-CN"/>
        </w:rPr>
        <w:t>）</w:t>
      </w:r>
    </w:p>
    <w:p>
      <w:pPr>
        <w:spacing w:line="560" w:lineRule="exact"/>
        <w:rPr>
          <w:rFonts w:hint="default" w:ascii="Times New Roman" w:hAnsi="Times New Roman" w:eastAsia="仿宋_GB2312" w:cs="Times New Roman"/>
          <w:sz w:val="32"/>
          <w:szCs w:val="32"/>
        </w:rPr>
      </w:pPr>
    </w:p>
    <w:p>
      <w:pPr>
        <w:spacing w:line="560" w:lineRule="exact"/>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泗阳县人民政府办公室</w:t>
      </w:r>
    </w:p>
    <w:p>
      <w:pPr>
        <w:spacing w:line="560" w:lineRule="exact"/>
        <w:ind w:right="320"/>
        <w:jc w:val="right"/>
        <w:rPr>
          <w:rFonts w:hint="default" w:ascii="Times New Roman" w:hAnsi="Times New Roman" w:eastAsia="仿宋_GB2312" w:cs="Times New Roman"/>
          <w:sz w:val="32"/>
          <w:szCs w:val="32"/>
        </w:rPr>
        <w:sectPr>
          <w:footerReference r:id="rId3" w:type="default"/>
          <w:pgSz w:w="11906" w:h="16838"/>
          <w:pgMar w:top="2098" w:right="1474" w:bottom="1984" w:left="1587" w:header="851" w:footer="1474" w:gutter="0"/>
          <w:pgNumType w:fmt="decimal"/>
          <w:cols w:space="0" w:num="1"/>
          <w:rtlGutter w:val="0"/>
          <w:docGrid w:type="lines" w:linePitch="312" w:charSpace="0"/>
        </w:sectPr>
      </w:pPr>
      <w:r>
        <w:rPr>
          <w:rFonts w:hint="default" w:ascii="Times New Roman" w:hAnsi="Times New Roman" w:eastAsia="仿宋_GB2312" w:cs="Times New Roman"/>
          <w:sz w:val="32"/>
          <w:szCs w:val="32"/>
        </w:rPr>
        <w:t>2023年7月31日</w:t>
      </w:r>
    </w:p>
    <w:p>
      <w:pPr>
        <w:overflowPunct w:val="0"/>
        <w:autoSpaceDE w:val="0"/>
        <w:autoSpaceDN w:val="0"/>
        <w:snapToGrid w:val="0"/>
        <w:spacing w:after="156" w:afterLines="50" w:line="58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overflowPunct w:val="0"/>
        <w:autoSpaceDE w:val="0"/>
        <w:autoSpaceDN w:val="0"/>
        <w:snapToGrid w:val="0"/>
        <w:spacing w:after="156" w:afterLines="50" w:line="58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泗阳县行政许可事项清单（2023年版）</w:t>
      </w:r>
    </w:p>
    <w:tbl>
      <w:tblPr>
        <w:tblStyle w:val="8"/>
        <w:tblW w:w="144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4"/>
        <w:gridCol w:w="1820"/>
        <w:gridCol w:w="2666"/>
        <w:gridCol w:w="2670"/>
        <w:gridCol w:w="4403"/>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0" w:hRule="atLeast"/>
          <w:tblHeader/>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黑体_GBK" w:cs="Times New Roman"/>
                <w:kern w:val="0"/>
                <w:sz w:val="21"/>
                <w:szCs w:val="21"/>
              </w:rPr>
            </w:pPr>
            <w:r>
              <w:rPr>
                <w:rFonts w:hint="default" w:ascii="Times New Roman" w:hAnsi="Times New Roman" w:eastAsia="方正黑体_GBK" w:cs="Times New Roman"/>
                <w:kern w:val="0"/>
                <w:sz w:val="21"/>
                <w:szCs w:val="21"/>
              </w:rPr>
              <w:t>序号</w:t>
            </w: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黑体_GBK" w:cs="Times New Roman"/>
                <w:kern w:val="0"/>
                <w:sz w:val="21"/>
                <w:szCs w:val="21"/>
              </w:rPr>
            </w:pPr>
            <w:r>
              <w:rPr>
                <w:rFonts w:hint="default" w:ascii="Times New Roman" w:hAnsi="Times New Roman" w:eastAsia="方正黑体_GBK" w:cs="Times New Roman"/>
                <w:kern w:val="0"/>
                <w:sz w:val="21"/>
                <w:szCs w:val="21"/>
              </w:rPr>
              <w:t>主管部门</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黑体_GBK" w:cs="Times New Roman"/>
                <w:kern w:val="0"/>
                <w:sz w:val="21"/>
                <w:szCs w:val="21"/>
              </w:rPr>
            </w:pPr>
            <w:r>
              <w:rPr>
                <w:rFonts w:hint="default" w:ascii="Times New Roman" w:hAnsi="Times New Roman" w:eastAsia="方正黑体_GBK" w:cs="Times New Roman"/>
                <w:kern w:val="0"/>
                <w:sz w:val="21"/>
                <w:szCs w:val="21"/>
              </w:rPr>
              <w:t>事项名称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黑体_GBK" w:cs="Times New Roman"/>
                <w:kern w:val="0"/>
                <w:sz w:val="21"/>
                <w:szCs w:val="21"/>
              </w:rPr>
            </w:pPr>
            <w:r>
              <w:rPr>
                <w:rFonts w:hint="default" w:ascii="Times New Roman" w:hAnsi="Times New Roman" w:eastAsia="方正黑体_GBK" w:cs="Times New Roman"/>
                <w:kern w:val="0"/>
                <w:sz w:val="21"/>
                <w:szCs w:val="21"/>
              </w:rPr>
              <w:t>实施机关</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黑体_GBK" w:cs="Times New Roman"/>
                <w:kern w:val="0"/>
                <w:sz w:val="21"/>
                <w:szCs w:val="21"/>
              </w:rPr>
            </w:pPr>
            <w:r>
              <w:rPr>
                <w:rFonts w:hint="default" w:ascii="Times New Roman" w:hAnsi="Times New Roman" w:eastAsia="方正黑体_GBK" w:cs="Times New Roman"/>
                <w:kern w:val="0"/>
                <w:sz w:val="21"/>
                <w:szCs w:val="21"/>
              </w:rPr>
              <w:t>设定和实施依据</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黑体_GBK" w:cs="Times New Roman"/>
                <w:kern w:val="0"/>
                <w:sz w:val="21"/>
                <w:szCs w:val="21"/>
              </w:rPr>
            </w:pPr>
            <w:r>
              <w:rPr>
                <w:rFonts w:hint="default" w:ascii="Times New Roman" w:hAnsi="Times New Roman" w:eastAsia="方正黑体_GBK" w:cs="Times New Roman"/>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县委办公室</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（县档案局）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延期移交档案审批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县档案局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《中华人民共和国档案法实施办法》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autoSpaceDE w:val="0"/>
              <w:autoSpaceDN w:val="0"/>
              <w:snapToGrid w:val="0"/>
              <w:spacing w:line="240" w:lineRule="exact"/>
              <w:ind w:firstLine="624"/>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县委宣传部</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（县新闻出版局）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出版物零售业务经营许可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县新闻出版局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《出版管理条例》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autoSpaceDE w:val="0"/>
              <w:autoSpaceDN w:val="0"/>
              <w:snapToGrid w:val="0"/>
              <w:spacing w:line="240" w:lineRule="exact"/>
              <w:jc w:val="left"/>
              <w:rPr>
                <w:rFonts w:hint="default" w:ascii="Times New Roman" w:hAnsi="Times New Roman" w:eastAsia="方正仿宋_GBK" w:cs="Times New Roman"/>
                <w:strike/>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县委宣传部</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（县新闻出版局）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电影放映单位设立审批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县新闻出版局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《中华人民共和国电影产业促进法》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《电影管理条例》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《外商投资电影院暂行规定》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autoSpaceDE w:val="0"/>
              <w:autoSpaceDN w:val="0"/>
              <w:snapToGrid w:val="0"/>
              <w:spacing w:line="240" w:lineRule="exact"/>
              <w:jc w:val="left"/>
              <w:rPr>
                <w:rFonts w:hint="default" w:ascii="Times New Roman" w:hAnsi="Times New Roman" w:eastAsia="方正仿宋_GBK" w:cs="Times New Roman"/>
                <w:strike/>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县委统战部</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（县侨办）</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华侨回国定居审批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县侨办（初审）</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《中华人民共和国出境入境管理法》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《华侨回国定居办理工作规定》（国侨发〔2013〕18号）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autoSpaceDE w:val="0"/>
              <w:autoSpaceDN w:val="0"/>
              <w:snapToGrid w:val="0"/>
              <w:spacing w:line="240" w:lineRule="exact"/>
              <w:ind w:firstLine="624"/>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县委编办</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（县事业单位登记管理局）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事业单位登记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县事业单位登记管理局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《事业单位登记管理暂行条例》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《事业单位登记管理暂行条例实施细则》（中央编办发〔2014〕4号）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autoSpaceDE w:val="0"/>
              <w:autoSpaceDN w:val="0"/>
              <w:snapToGrid w:val="0"/>
              <w:spacing w:line="240" w:lineRule="exact"/>
              <w:ind w:firstLine="624"/>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3"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县发展和改革局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固定资产投资项目核准（含国发〔2016〕72号文件规定的外商投资项目）</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县政府（由县行政审批局承办）</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《企业投资项目核准和备案管理条例》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《国务院关于发布政府核准的投资项目目录（2016年本）的通知》（国发〔2016〕72号）《关于印发〈宿迁市机构改革方案〉的通知》（苏办〔2019〕11号）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县发展和改革局</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11"/>
                <w:kern w:val="0"/>
                <w:sz w:val="21"/>
                <w:szCs w:val="21"/>
              </w:rPr>
              <w:t>县工业和信息化局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固定资产投资项目节能审查</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县行政审批局（其中技术改造项目由县工信局办理）</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《中华人民共和国节约能源法》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《固定资产投资项目节能审查办</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县发展和改革局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在电力设施周围或者电力设施保护区内进行可能危及电力设施安全作业审批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县发展改革局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《中华人民共和国电力法》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《电力设施保护条例》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县发展和改革局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新建不能满足管道保护要求的石油天然气管道防护方案审批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县发展改革局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《中华人民共和国石油天然气管道保护法》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autoSpaceDE w:val="0"/>
              <w:autoSpaceDN w:val="0"/>
              <w:snapToGrid w:val="0"/>
              <w:spacing w:line="240" w:lineRule="exact"/>
              <w:ind w:firstLine="624"/>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县发展和改革局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可能影响石油天然气管道保护的施工作业审批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县发展改革局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《中华人民共和国石油天然气管道保护法》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县教育局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民办、中外合作开办中等及以下学校和其他教育机构筹设审批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县教育局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《中华人民共和国民办教育促进法》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《中华人民共和国中外合作办学条例》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《国务院关于当前发展学前教育的若干意见》（国发〔2010〕41号）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县教育局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中等及以下学校和其他教育机构设置审批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县教育局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《中华人民共和国教育法》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《中华人民共和国民办教育促进法》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《中华人民共和国民办教育促进法实施条例》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《中华人民共和国中外合作办学条例》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《国务院关于当前发展学前教育的若干意见》（国发〔2010〕41号）</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《国务院办公厅关于规范校外培训机构发展的意见》（国办发〔2018〕80号）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县教育局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从事文艺、体育等专业训练的社会组织自行实施义务教育审批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县教育局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《中华人民共和国义务教育法》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县教育局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校车使用许可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县政府（由教育局会同公安局、交通运输局承办）</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《校车安全管理条例》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县教育局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教师资格认定</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县教育局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《中华人民共和国教师法》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《教师资格条例》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《国家职业资格目录（2021年版）》</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县教育局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适龄儿童、少年因身体状况需要延缓入学或者休学审批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县教育局，乡（镇）政府</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《中华人民共和国义务教育法》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县民族宗教局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宗教活动场所筹备设立审批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县民族宗教局（初审）</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《宗教事务条例》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县民族宗教局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宗教活动场所设立、变更、注销登记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县民族宗教局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《宗教事务条例》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县民族宗教局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宗教活动场所内改建或者新建建筑物许可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县民族宗教局（初审）</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《宗教事务条例》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《宗教事务部分行政许可项目实施办法》（国宗发〔2018〕11号）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县民族宗教局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宗教临时活动地点审批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县民族宗教局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《宗教事务条例》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县民族宗教局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宗教团体、宗教院校、宗教活动场所接受境外捐赠审批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县民族宗教局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《宗教事务条例》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《宗教事务部分行政许可项目实施办法》（国宗发〔2018〕11号）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民用枪支及枪支主要零部件、弹药配置许可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《中华人民共和国枪支管理法》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举行集会游行示威许可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《中华人民共和国集会游行示威法》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《中华人民共和国集会游行示威法实施条例》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大型群众性活动安全许可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《中华人民共和国消防法》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《大型群众性活动安全管理条例》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公章刻制业特种行业许可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《印铸刻字业暂行管理规则》</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《公安部关于深化娱乐服务场所和特种行业治安管理改革进一步依法加强事中事后监管的工作意见》（公治〔2017〕529号）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9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旅馆业特种行业许可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《旅馆业治安管理办法》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《公安部关于深化娱乐服务场所和特种行业治安管理改革进一步依法加强事中事后监管的工作意见》（公治〔2017〕529号）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互联网上网服务营业场所信息网络安全审核</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《互联网上网服务营业场所管理条例》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举办焰火晚会及其他大型焰火燃放活动许可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《烟花爆竹安全管理条例》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《公安部办公厅关于贯彻执行〈大型焰火燃放作业人员资格条件及管理〉和〈大型焰火燃放作业单位资质条件及管理〉有关事项的通知》（公治〔2010〕592号）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烟花爆竹道路运输许可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县公安局（运达地或者启运地）</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《烟花爆竹安全管理条例》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《关于优化烟花爆竹道路运输许可审批进一步深化烟花爆竹“放管服”改革工作的通知》（公治安明发〔2019〕218号）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民用爆炸物品购买许可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《民用爆炸物品安全管理条例》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民用爆炸物品运输许可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县公安局（运达地）</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《民用爆炸物品安全管理条例》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剧毒化学品购买许可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《危险化学品安全管理条例》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剧毒化学品道路运输通行许可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《危险化学品安全管理条例》</w:t>
            </w:r>
          </w:p>
          <w:p>
            <w:pPr>
              <w:autoSpaceDE w:val="0"/>
              <w:autoSpaceDN w:val="0"/>
              <w:snapToGrid w:val="0"/>
              <w:spacing w:line="240" w:lineRule="exact"/>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《剧毒化学品购买和公路运输许可证件管理办法》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放射性物品道路运输许可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《中华人民共和国核安全法》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《放射性物品运输安全管理条例》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运输危险化学品的车辆进入危险化学品运输车辆限制通行区域审批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《危险化学品安全管理条例》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易制毒化学品购买许可（除第一类中的药品类易制毒化学品外）</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《中华人民共和国禁毒法》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《易制毒化学品管理条例》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易制毒化学品运输许可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《中华人民共和国禁毒法》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《易制毒化学品管理条例》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金融机构营业场所和金库安全防范设施建设方案审批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《金融机构营业场所和金库安全防范设施建设许可实施办法》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金融机构营业场所和金库安全防范设施建设工程验收</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《金融机构营业场所和金库安全防范设施建设许可实施办法》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机动车登记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《中华人民共和国道路交通安全法》</w:t>
            </w:r>
          </w:p>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《中华人民共和国道路交通安全法实施条例》</w:t>
            </w:r>
          </w:p>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《机动车登记规定》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机动车临时通行牌证核发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《中华人民共和国道路交通安全法》</w:t>
            </w:r>
          </w:p>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《中华人民共和国道路交通安全法实施条例》</w:t>
            </w:r>
          </w:p>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《机动车登记规定》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机动车检验合格标志核发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《中华人民共和国道路交通安全法》</w:t>
            </w:r>
          </w:p>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《中华人民共和国道路交通安全法实施条例》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《机动车登记规定》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机动车驾驶证核发、审验</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《中华人民共和国道路交通安全法》</w:t>
            </w:r>
          </w:p>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《中华人民共和国道路交通安全法实施条例》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《机动车登记规定》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校车驾驶资格许可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《校车安全管理条例》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《机动车驾驶证申领和使用规定》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非机动车登记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《中华人民共和国道路交通安全法》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户口迁移审批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《中华人民共和国户口登记条例》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犬类准养证核发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《中华人民共和国动物防疫法》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《中华人民共和国传染病防治法实施办法》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普通护照签发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县公安局出入境管理大队（受国家移民局委托实施）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《中华人民共和国护照法》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出入境通行证签发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县公安局出入境管理大队（受国家移民局委托实施）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《中华人民共和国护照法》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《中国公民因私事往来香港地区或者澳门地区的暂行管理办法》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边境管理区通行证核发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内地居民前往港澳通行证、往来港澳通行证及签注签发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县公安局出入境管理大队（受中华人民共和国出入境管理局委托实施）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《中国公民因私事往来香港地区或者澳门地区的暂行管理办法》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港澳居民来往内地通行证签发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县公安局出入境管理大队（受中华人民共和国出入境管理局委托实施）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《中国公民因私事往来香港地区或者澳门地区的暂行管理办法》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大陆居民往来台湾通行证及签注签发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县公安局出入境管理大队（受中华人民共和国出入境管理局委托实施）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《中国公民往来台湾地区管理办法》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台湾居民来往大陆通行证签发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县公安局出入境管理大队（受中华人民共和国出入境管理局委托实施）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《中国公民往来台湾地区管理办法》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县民政局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社会团体成立、变更、注销登记及修改章程核准</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县民政局（实行登记管理机关和业务主管单位双重负责管理体制的，由有关业务主管单位实施前置审查）</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《社会团体登记管理条例》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县民政局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民办非企业单位成立、变更、注销登记及修改章程核准</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县民政局（实行登记管理机关和业务主管单位双重负责管理体制的，由有关业务主管单位实施前置审查）</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《民办非企业单位登记管理暂行条例》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3"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县民政局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宗教活动场所法人成立、变更、注销登记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县民政局（由县民宗局实施前置审查）</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《宗教事务条例》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县民政局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慈善组织公开募捐资格审批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县民政局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《中华人民共和国慈善法》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县民政局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殡葬设施建设审批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县政府，县民政局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《殡葬管理条例》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县民政局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地名命名、更名审批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县有关部门</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《地名管理条例》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县财政局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中介机构从事代理记账业务审批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县财政局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《中华人民共和国会计法》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《代理记账管理办法》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县人力资源和社会保障局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职业培训学校筹设审批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11"/>
                <w:kern w:val="0"/>
                <w:sz w:val="21"/>
                <w:szCs w:val="21"/>
              </w:rPr>
              <w:t>县人力资源社会保障局（负责民办职业培训学校办学许可）</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《中华人民共和国民办教育促进法》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《中华人民共和国中外合作办学条例》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县人力资源和社会保障局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职业培训学校办学许可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11"/>
                <w:kern w:val="0"/>
                <w:sz w:val="21"/>
                <w:szCs w:val="21"/>
              </w:rPr>
              <w:t>县人力资源社会保障局（负责民办职业培训学校办学许可）</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《中华人民共和国民办教育促进法》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《中华人民共和国中外合作办学条例》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县人力资源和社会保障局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人力资源服务许可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《中华人民共和国就业促进法》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《人力资源市场暂行条例》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县人力资源和社会保障局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劳务派遣经营许可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《中华人民共和国劳动合同法》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《劳务派遣行政许可实施办法》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县人力资源和社会保障局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企业实行不定时工作制和综合计算工时工作制审批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县人力资源社会保障局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《中华人民共和国劳动法》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《关于企业实行不定时工作制和综合计算工时工作制的审批办法》（劳部发〔1994〕503号）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3"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开采矿产资源审批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《中华人民共和国矿产资源法》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《中华人民共和国矿产资源法实施细则》</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《矿产资源开采登记管理办法》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法人或者其他组织需要利用属于国家秘密的基础测绘成果审批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《中华人民共和国测绘成果管理条例》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《涉密基础测绘成果提供使用管理办法》（自然资规〔2023〕3号）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建设项目用地预审与选址意见书核发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《中华人民共和国城乡规划法》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《中华人民共和国土地管理法》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《中华人民共和国土地管理法实施条例》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《建设项目用地预审管理办法》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国有建设用地使用权出让后土地使用权分割转让批准</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《中华人民共和国城镇国有土地使用权出让和转让暂行条例》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乡（镇）村企业使用集体建设用地审批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县政府（由县自然资源和规划局承办）</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《中华人民共和国土地管理法》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乡（镇）村公共设施、公益事业使用集体建设用地审批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县政府（由县自然资源和规划局承办）</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《中华人民共和国土地管理法》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临时用地审批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《中华人民共和国土地管理法》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建设用地、临时建设用地规划许可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《中华人民共和国城乡规划法》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开发未确定使用权的国有荒山、荒地、荒滩从事生产审查</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县政府（由县自然资源和规划局承办）</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《中华人民共和国土地管理法》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《中华人民共和国土地管理法实施条例》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林草种子生产经营许可证核发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《中华人民共和国种子法》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林草植物检疫证书核发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《植物检疫条例》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建设项目使用林地及在森林和野生动物类型国家级自然保护区建设审批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《中华人民共和国森林法》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《中华人民共和国森林法实施条例》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《森林和野生动物类型自然保护区管理办法》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建设项目使用草原审批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《中华人民共和国草原法》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林木采伐许可证核发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《中华人民共和国森林法》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《中华人民共和国森林法实施条例》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猎捕陆生野生动物审批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《中华人民共和国野生动物保护法》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《中华人民共和国陆生野生动物保护实施条例》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森林草原防火期内在森林草原防火区野外用火审批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w:t>
            </w:r>
            <w:r>
              <w:rPr>
                <w:rFonts w:hint="default" w:ascii="Times New Roman" w:hAnsi="Times New Roman" w:eastAsia="方正仿宋_GBK" w:cs="Times New Roman"/>
                <w:color w:val="000000"/>
                <w:kern w:val="0"/>
                <w:sz w:val="21"/>
                <w:szCs w:val="21"/>
              </w:rPr>
              <w:t>（由县自然资源和规划局承办）</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《森林防火条例》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《草原防火条例》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森林草原防火期内在森林草原防火区爆破、勘察和施工等活动审批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《森林防火条例》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《草原防火条例》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进入森林高火险区、草原防火管制区审批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w:t>
            </w:r>
            <w:r>
              <w:rPr>
                <w:rFonts w:hint="default" w:ascii="Times New Roman" w:hAnsi="Times New Roman" w:eastAsia="方正仿宋_GBK" w:cs="Times New Roman"/>
                <w:color w:val="000000"/>
                <w:kern w:val="0"/>
                <w:sz w:val="21"/>
                <w:szCs w:val="21"/>
              </w:rPr>
              <w:t>（由县自然资源和规划局承办）；</w:t>
            </w: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《森林防火条例》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《草原防火条例》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建设工程、临时建设工程规划许可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《中华人民共和国城乡规划法》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县自然资源和规划局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乡村建设规划许可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县自然资源和规划局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《中华人民共和国城乡规划法》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7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环境局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一般建设项目环境影响评价审批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宿迁市泗阳生态环境局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《中华人民共和国环境保护法》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《中华人民共和国环境影响评价法》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《中华人民共和国水污染防治法》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《中华人民共和国大气污染防治法》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《中华人民共和国土壤污染防治法》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《中华人民共和国固体废物污染环境防治法》</w:t>
            </w:r>
          </w:p>
          <w:p>
            <w:pPr>
              <w:autoSpaceDE w:val="0"/>
              <w:autoSpaceDN w:val="0"/>
              <w:snapToGrid w:val="0"/>
              <w:spacing w:line="280" w:lineRule="exact"/>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kern w:val="0"/>
                <w:sz w:val="21"/>
                <w:szCs w:val="21"/>
              </w:rPr>
              <w:t>《中华人民共和国噪声污染防治法》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《建设项目环境保护管理条例》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7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宿迁市泗阳生态环境局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排污许可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宿迁市泗阳生态环境局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《中华人民共和国环境保护法》</w:t>
            </w:r>
          </w:p>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《中华人民共和国水污染防治法》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《中华人民共和国大气污染防治法》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《中华人民共和国固体废物污染环境防治法》</w:t>
            </w:r>
          </w:p>
          <w:p>
            <w:pPr>
              <w:autoSpaceDE w:val="0"/>
              <w:autoSpaceDN w:val="0"/>
              <w:snapToGrid w:val="0"/>
              <w:spacing w:line="28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《中华人民共和国土壤污染防治法》</w:t>
            </w:r>
          </w:p>
          <w:p>
            <w:pPr>
              <w:autoSpaceDE w:val="0"/>
              <w:autoSpaceDN w:val="0"/>
              <w:snapToGrid w:val="0"/>
              <w:spacing w:line="280" w:lineRule="exact"/>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《中华人民共和国噪声污染防治法》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《排污许可管理条例》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宿迁市泗阳生态环境局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江河、湖泊新建、改建或者扩大排污口审批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宿迁市泗阳生态环境局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《中华人民共和国水法》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《中华人民共和国水污染防治法》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《中华人民共和国长江保护法》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《中央编办关于生态环境部流域生态环境监管机构设置有关事项的通知》（中央编办发〔2019〕26号）</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《国务院办公厅关于加强入河入海排污口监督管理工作的实施意见》（国办函〔2022〕17号）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环境局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危险废物经营许可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宿迁市泗阳生态环境局</w:t>
            </w:r>
            <w:r>
              <w:rPr>
                <w:rFonts w:hint="default" w:ascii="Times New Roman" w:hAnsi="Times New Roman" w:eastAsia="方正仿宋_GBK" w:cs="Times New Roman"/>
                <w:color w:val="000000"/>
                <w:kern w:val="0"/>
                <w:sz w:val="21"/>
                <w:szCs w:val="21"/>
              </w:rPr>
              <w:t>（机动车维修活动中产生的废矿物油和居民日常生活中产生的废镉镍电池的危险废物收集证审批）</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《中华人民共和国固体废物污染环境防治法》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《危险废物经营许可证管理办法》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环境局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延长危险废物贮存期限审批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宿迁市泗阳生态环境局</w:t>
            </w:r>
            <w:r>
              <w:rPr>
                <w:rFonts w:hint="default" w:ascii="Times New Roman" w:hAnsi="Times New Roman" w:eastAsia="方正仿宋_GBK" w:cs="Times New Roman"/>
                <w:color w:val="000000"/>
                <w:kern w:val="0"/>
                <w:sz w:val="21"/>
                <w:szCs w:val="21"/>
              </w:rPr>
              <w:t>（受市生态环境局委托实施）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《中华人民共和国固体废物污染环境防治法》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环境局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放射性核素排放许可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宿迁市泗阳生态环境局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《中华人民共和国放射性污染防治法》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建筑工程施工许可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《中华人民共和国建筑法》</w:t>
            </w:r>
          </w:p>
          <w:p>
            <w:pPr>
              <w:autoSpaceDE w:val="0"/>
              <w:autoSpaceDN w:val="0"/>
              <w:snapToGrid w:val="0"/>
              <w:spacing w:line="240" w:lineRule="exac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kern w:val="0"/>
                <w:sz w:val="21"/>
                <w:szCs w:val="21"/>
              </w:rPr>
              <w:t>《建</w:t>
            </w:r>
            <w:r>
              <w:rPr>
                <w:rFonts w:hint="default" w:ascii="Times New Roman" w:hAnsi="Times New Roman" w:eastAsia="方正仿宋_GBK" w:cs="Times New Roman"/>
                <w:color w:val="000000"/>
                <w:kern w:val="0"/>
                <w:sz w:val="21"/>
                <w:szCs w:val="21"/>
              </w:rPr>
              <w:t>筑工程施工许可管理办法》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color w:val="000000"/>
                <w:kern w:val="0"/>
                <w:sz w:val="21"/>
                <w:szCs w:val="21"/>
              </w:rPr>
              <w:t>《关于印发〈宿迁市机构改革方案〉的通知》（苏办〔2019〕11号）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商品房预售许可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《中华人民共和国城市房地产管理法》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城镇污水排入排水管网许可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《城镇排水与污水处理条例》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拆除、改动、迁移城市公共供水设施审核</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《城市供水条例》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拆除、改动城镇排水与污水处理设施审核</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《城镇排水与污水处理条例》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由于工程施工、设备维修等原因确需停止供水的审批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《城市供水条例》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right"/>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燃气经营许可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《城镇燃气管理条例》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燃气经营者改动市政燃气设施审批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《城镇燃气管理条例》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《国务院关于第六批取消和调整行政审批项目的决定》（国发〔2012〕52号）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市政设施建设类审批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《城市道路管理条例》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特殊车辆在城市道路上行驶审批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《城市道路管理条例》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改变绿化规划、绿化用地的使用性质审批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工程建设涉及城市绿地、树木审批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《城市绿化条例》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历史建筑实施原址保护审批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县住房和城乡建设局会同文化广电旅游局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《历史文化名城名镇名村保护条例》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历史文化街区、名镇、名村核心保护范围内拆除历史建筑以外的建筑物、构筑物或者其他设施审批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县住房和城乡建设局会同文化广电旅游局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《历史文化名城名镇名村保护条例》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历史建筑外部修缮装饰、添加设施以及改变历史建筑的结构或者使用性质审批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县住房和城乡建设局会同文化广电旅游局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《历史文化名城名镇名村保护条例》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color w:val="000000"/>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建设工程消防设计审查</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《中华人民共和国消防法》</w:t>
            </w:r>
          </w:p>
          <w:p>
            <w:pPr>
              <w:autoSpaceDE w:val="0"/>
              <w:autoSpaceDN w:val="0"/>
              <w:snapToGrid w:val="0"/>
              <w:spacing w:line="240" w:lineRule="exact"/>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《建设工程消防设计审查验收管理暂行规定》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建设工程消防验收</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《中华人民共和国消防法》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《建设工程消防设计审查验收管理暂行规定》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在村庄、集镇规划区内公共场所修建临时建筑等设施审批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乡（镇）政府</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《村庄和集镇规划建设管理条例》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建筑起重机械使用登记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《中华人民共和国特种设备安全法》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《建设工程安全生产管理条例》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应建防空地下室的民用建筑项目报建审批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《中共中央 国务院 中央军委关于加强人民防空工作的决定》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拆除人民防空工程审批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《中华人民共和国人民防空法》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关闭、闲置、拆除城市环境卫生设施许可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r>
              <w:rPr>
                <w:rFonts w:hint="default" w:ascii="Times New Roman" w:hAnsi="Times New Roman" w:eastAsia="方正仿宋_GBK" w:cs="Times New Roman"/>
                <w:kern w:val="0"/>
                <w:sz w:val="21"/>
                <w:szCs w:val="21"/>
              </w:rPr>
              <w:t>会同生态环境局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《中华人民共和国固体废物污染环境防治法》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拆除环境卫生设施许可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《城市市容和环境卫生管理条例》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从</w:t>
            </w:r>
            <w:r>
              <w:rPr>
                <w:rFonts w:hint="default" w:ascii="Times New Roman" w:hAnsi="Times New Roman" w:eastAsia="方正仿宋_GBK" w:cs="Times New Roman"/>
                <w:spacing w:val="-6"/>
                <w:kern w:val="0"/>
                <w:sz w:val="21"/>
                <w:szCs w:val="21"/>
              </w:rPr>
              <w:t>事城市生活垃圾经营性清扫、收集、运输、处理服务审批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城市建筑垃圾处置核准</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设置大型户外广告及在城市建筑物、设施上悬挂、张贴宣传品审批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《城市市容和环境卫生管理条例》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临时性建筑物搭建、堆放物料、占道施工审批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《城市市容和环境卫生管理条例》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公路建设项目设计文件审批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《中华人民共和国公路法》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《建设工程质量管理条例》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《建设工程勘察设计管理条例》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《农村公路建设管理办法》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公路建设项目施工许可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《中华人民共和国公路法》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《公路建设市场管理办法》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公路建设项目竣工验收</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《中华人民共和国公路法》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《收费公路管理条例》</w:t>
            </w:r>
          </w:p>
          <w:p>
            <w:pPr>
              <w:autoSpaceDE w:val="0"/>
              <w:autoSpaceDN w:val="0"/>
              <w:snapToGrid w:val="0"/>
              <w:spacing w:line="240" w:lineRule="exact"/>
              <w:rPr>
                <w:rFonts w:hint="default" w:ascii="Times New Roman" w:hAnsi="Times New Roman" w:eastAsia="方正仿宋_GBK" w:cs="Times New Roman"/>
                <w:strike/>
                <w:color w:val="FF0000"/>
                <w:kern w:val="0"/>
                <w:sz w:val="21"/>
                <w:szCs w:val="21"/>
              </w:rPr>
            </w:pPr>
            <w:r>
              <w:rPr>
                <w:rFonts w:hint="default" w:ascii="Times New Roman" w:hAnsi="Times New Roman" w:eastAsia="方正仿宋_GBK" w:cs="Times New Roman"/>
                <w:kern w:val="0"/>
                <w:sz w:val="21"/>
                <w:szCs w:val="21"/>
              </w:rPr>
              <w:t>《公路工程竣（交）工验收办法》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《农村公路建设管理办法》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公路超限运输许可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《中华人民共和国公路法》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《公路安全保护条例》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《超限运输车辆行驶公路管理规定》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涉路施工许可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《中华人民共和国公路法》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《公路安全保护条例》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《路政管理规定》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更新采伐护路林审批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《中华人民共和国公路法》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《公路安全保护条例》</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《路政管理规定》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道路旅客运输经营许可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《中华人民共和国道路运输条例》</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《道路旅客运输及客运站管理规定》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道路旅客运输站经营许可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《中华人民共和国道路运输条例》</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《道路旅客运输及客运站管理规定》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道路货物运输经营许可（除使用4500千克及以下普通货运车辆从事普通货运经营外）</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《中华人民共和国道路运输条例》</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《道路货物运输及站场管理规定》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出租汽车经营许可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p>
            <w:pPr>
              <w:autoSpaceDE w:val="0"/>
              <w:autoSpaceDN w:val="0"/>
              <w:snapToGrid w:val="0"/>
              <w:spacing w:line="230" w:lineRule="exact"/>
              <w:rPr>
                <w:rFonts w:hint="default" w:ascii="Times New Roman" w:hAnsi="Times New Roman" w:eastAsia="方正仿宋_GBK" w:cs="Times New Roman"/>
                <w:strike/>
                <w:color w:val="FF0000"/>
                <w:kern w:val="0"/>
                <w:sz w:val="21"/>
                <w:szCs w:val="21"/>
              </w:rPr>
            </w:pPr>
            <w:r>
              <w:rPr>
                <w:rFonts w:hint="default" w:ascii="Times New Roman" w:hAnsi="Times New Roman" w:eastAsia="方正仿宋_GBK" w:cs="Times New Roman"/>
                <w:kern w:val="0"/>
                <w:sz w:val="21"/>
                <w:szCs w:val="21"/>
              </w:rPr>
              <w:t>《巡游出租汽车经营服务管理规定》</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《网络预约出租汽车经营服务管理暂行办法》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出租汽车车辆运营证核发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p>
            <w:pPr>
              <w:autoSpaceDE w:val="0"/>
              <w:autoSpaceDN w:val="0"/>
              <w:snapToGrid w:val="0"/>
              <w:spacing w:line="230" w:lineRule="exact"/>
              <w:rPr>
                <w:rFonts w:hint="default" w:ascii="Times New Roman" w:hAnsi="Times New Roman" w:eastAsia="方正仿宋_GBK" w:cs="Times New Roman"/>
                <w:strike/>
                <w:color w:val="FF0000"/>
                <w:kern w:val="0"/>
                <w:sz w:val="21"/>
                <w:szCs w:val="21"/>
              </w:rPr>
            </w:pPr>
            <w:r>
              <w:rPr>
                <w:rFonts w:hint="default" w:ascii="Times New Roman" w:hAnsi="Times New Roman" w:eastAsia="方正仿宋_GBK" w:cs="Times New Roman"/>
                <w:kern w:val="0"/>
                <w:sz w:val="21"/>
                <w:szCs w:val="21"/>
              </w:rPr>
              <w:t>《巡游出租汽车经营服务管理规定</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《网络预约出租汽车经营服务管理暂行办法》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港口岸线使用审批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《中华人民共和国港口法》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《港口岸线使用审批管理办法》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水运建设项目设计文件审批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《中华人民共和国港口法》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《中华人民共和国航道法》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《中华人民共和国航道管理条例》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《建设工程质量管理条例》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《建设工程勘察设计管理条例》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《港口工程建设管理规定》</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《航道工程建设管理规定》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通航建筑物运行方案审批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《中华人民共和国航道法》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《通航建筑物运行管理办法》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航道通航条件影响评价审核</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《中华人民共和国航道法》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《航道通航条件影响评价审核管理办法》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水运工程建设项目竣工验收</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《中华人民共和国港口法》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《中华人民共和国航道法》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《中华人民共和国航道管理条例》</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w:t>
            </w:r>
            <w:r>
              <w:rPr>
                <w:rFonts w:hint="default" w:ascii="Times New Roman" w:hAnsi="Times New Roman" w:eastAsia="方正仿宋_GBK" w:cs="Times New Roman"/>
                <w:spacing w:val="-6"/>
                <w:kern w:val="0"/>
                <w:sz w:val="21"/>
                <w:szCs w:val="21"/>
              </w:rPr>
              <w:t>港口工程建设管理规定》</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《航道工程建设管理规定》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港口经营许可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《中华人民共和国港口法》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危险货物港口建设项目安全设施设计审查</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《中华人民共和国港口法》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《中华人民共和国安全生产法》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《港口危险货物安全管理规定》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11"/>
                <w:kern w:val="0"/>
                <w:sz w:val="21"/>
                <w:szCs w:val="21"/>
              </w:rPr>
              <w:t>港口采掘、爆破施工作业许可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《中华人民共和国港口法》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港口内进行危险货物的装卸、过驳作业许可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strike/>
                <w:color w:val="FF0000"/>
                <w:kern w:val="0"/>
                <w:sz w:val="21"/>
                <w:szCs w:val="21"/>
              </w:rPr>
            </w:pPr>
            <w:r>
              <w:rPr>
                <w:rFonts w:hint="default" w:ascii="Times New Roman" w:hAnsi="Times New Roman" w:eastAsia="方正仿宋_GBK" w:cs="Times New Roman"/>
                <w:kern w:val="0"/>
                <w:sz w:val="21"/>
                <w:szCs w:val="21"/>
              </w:rPr>
              <w:t>《中华人民共和国港口法》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《港口危险货物安全管理规定》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在内河通航水域载运、拖带超重</w:t>
            </w:r>
            <w:r>
              <w:rPr>
                <w:rFonts w:hint="default" w:ascii="Times New Roman" w:hAnsi="Times New Roman" w:eastAsia="方正仿宋_GBK" w:cs="Times New Roman"/>
                <w:spacing w:val="-6"/>
                <w:kern w:val="0"/>
                <w:sz w:val="21"/>
                <w:szCs w:val="21"/>
              </w:rPr>
              <w:t>、超长、超高、超宽、半潜物体或者拖放竹、木等物体许可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《中华人民共和国内河交通安全管理条例》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内河专用航标设置、撤除、位置移动和其他状况改变审批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《中华人民共和国航标条例》</w:t>
            </w:r>
          </w:p>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《中华人民共和国航道管理条例》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船舶进行散装液体污染危害性货物或者危险货物过驳作业许可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《中华人民共和国水污染防治法》</w:t>
            </w:r>
          </w:p>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《中华人民共和国海洋环境保护法》</w:t>
            </w:r>
          </w:p>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《中华人民共和国海上交通安全法》</w:t>
            </w:r>
          </w:p>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《中华人民共和国内河交通安全管理条例》</w:t>
            </w:r>
          </w:p>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《防治船舶污染海洋环境管理条例》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船舶载运污染危害性货物或者危险货物进出港口许可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《中华人民共和国海洋环境保护法》</w:t>
            </w:r>
          </w:p>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《中华人民共和国海上交通安全法》</w:t>
            </w:r>
          </w:p>
          <w:p>
            <w:pPr>
              <w:autoSpaceDE w:val="0"/>
              <w:autoSpaceDN w:val="0"/>
              <w:snapToGrid w:val="0"/>
              <w:spacing w:line="220" w:lineRule="exact"/>
              <w:rPr>
                <w:rFonts w:hint="default" w:ascii="Times New Roman" w:hAnsi="Times New Roman" w:eastAsia="方正仿宋_GBK" w:cs="Times New Roman"/>
                <w:strike/>
                <w:color w:val="FF0000"/>
                <w:kern w:val="0"/>
                <w:sz w:val="21"/>
                <w:szCs w:val="21"/>
              </w:rPr>
            </w:pPr>
            <w:r>
              <w:rPr>
                <w:rFonts w:hint="default" w:ascii="Times New Roman" w:hAnsi="Times New Roman" w:eastAsia="方正仿宋_GBK" w:cs="Times New Roman"/>
                <w:kern w:val="0"/>
                <w:sz w:val="21"/>
                <w:szCs w:val="21"/>
              </w:rPr>
              <w:t>《中华人民共和国内河交通安全管理条例》</w:t>
            </w:r>
          </w:p>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《防治船舶污染海洋环境管理条例》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海域或者内河通航水域、岸线施工作业许可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《中华人民共和国海上交通安全法》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《中华人民共和国内河交通安全管理条例》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设置或者撤销内河渡口审批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（由县交通运输局承办）</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《中华人民共和国内河交通安全管理条例》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船员适任证书核发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《中华人民共和国海上交通安全法》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《中华人民共和国船员条例》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《国家职业资格目录（2021年版）》</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占用国防交通控制范围土地审批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《中华人民共和国国防交通法》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《国防交通条例》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水利基建项目初步设计文件审批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取水许可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《中华人民共和国水法》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《取水许可和水资源费征收管理条例》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洪水影响评价类审批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《中华人民共和国水法》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《中华人民共和国防洪法》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《中华人民共和国河道管理条例》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《中华人民共和国水文条例》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6"/>
                <w:kern w:val="0"/>
                <w:sz w:val="21"/>
                <w:szCs w:val="21"/>
              </w:rPr>
              <w:t>河道管理范围内特定活动审批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《中华人民共和国河道管理条例》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河道采砂许可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《中华人民共和国水法》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《中华人民共和国长江保护法》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《中华人民共和国河道管理条例》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《长江河道采砂管理条例》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生产建设项目水土保持方案审批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《中华人民共和国水土保持法》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城市建设填堵水域、废除围堤审批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县政府（由水利局承办）</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《中华人民共和国防洪法》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占用农业灌溉水源、灌排工程设施审批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利用堤顶、戗台兼做公路审批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《中华人民共和国河道管理条例》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大坝管理和保护范围内修建码头、渔塘许可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县水利局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《水库大坝安全管理条例》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农药经营许可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《农药管理条例》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兽药经营许可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《兽药管理条例》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农作物种子生产经营许可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《中华人民共和国种子法》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《农业转基因生物安全管理条例》</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《农作物种子生产经营许可管理办法》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食用菌菌种生产经营许可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县农业农村局（受理），</w:t>
            </w:r>
          </w:p>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《中华人民共和国种子法》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《食用菌菌种管理办法》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使用低于国家或地方规定的种用标准的农作物种子审批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县政府（由农业农村局承办）</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《中华人民共和国种子法》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种畜禽生产经营许可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《中华人民共和国畜牧法》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《农业转基因生物安全管理条例》</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6"/>
                <w:kern w:val="0"/>
                <w:sz w:val="21"/>
                <w:szCs w:val="21"/>
              </w:rPr>
              <w:t>《</w:t>
            </w:r>
            <w:r>
              <w:rPr>
                <w:rFonts w:hint="default" w:ascii="Times New Roman" w:hAnsi="Times New Roman" w:eastAsia="方正仿宋_GBK" w:cs="Times New Roman"/>
                <w:spacing w:val="-11"/>
                <w:kern w:val="0"/>
                <w:sz w:val="21"/>
                <w:szCs w:val="21"/>
              </w:rPr>
              <w:t>养蜂管理办法（试行）》（农业部公告第1692号）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蚕种生产经营许可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县农业农村局（受理）</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《中华人民共和国畜牧法》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《蚕种管理办法》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农业植物检疫证书核发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《植物检疫条例》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农业植物产地检疫合格证签发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《植物检疫条例》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农业野生植物采集、出售、收购、野外考察审批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县农业农村局〔受理省农业农村厅部分委托宿迁市农业农村局实施事权事项（采集国家二级保护野生植物）〕</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《中华人民共和国野生植物保护条例》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动物及动物产品检疫合格证核发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《中华人民共和国动物防疫法》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《动物检疫管理办法》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动物防疫条件合格证核发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《中华人民共和国动物防疫法》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《动物防疫条件审查办法》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动物诊疗许可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《中华人民共和国动物防疫法》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《动物诊疗机构管理办法》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生鲜乳收购站许可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《乳品质量安全监督管理条例》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生鲜乳准运证明核发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《乳品质量安全监督管理条例》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拖拉机和联合收割机驾驶证核发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《中华人民共和国道路交通安全法》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《农业机械安全监督管理条例》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非涉农地区由设区的市级农业农村部门统筹负责。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拖拉机和联合收割机登记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《中华人民共和国道路交通安全法》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《农业机械安全监督管理条例》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非涉农地区由设区的市级农业农村部门统筹负责。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工商企业等社会资本通过流转取得土地经营权审批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县、乡（镇）政府</w:t>
            </w:r>
            <w:r>
              <w:rPr>
                <w:rFonts w:hint="default" w:ascii="Times New Roman" w:hAnsi="Times New Roman" w:eastAsia="方正仿宋_GBK" w:cs="Times New Roman"/>
                <w:color w:val="000000"/>
                <w:kern w:val="0"/>
                <w:sz w:val="21"/>
                <w:szCs w:val="21"/>
              </w:rPr>
              <w:t>（由农业农村局承办</w:t>
            </w:r>
            <w:r>
              <w:rPr>
                <w:rFonts w:hint="default" w:ascii="Times New Roman" w:hAnsi="Times New Roman" w:eastAsia="方正仿宋_GBK" w:cs="Times New Roman"/>
                <w:kern w:val="0"/>
                <w:sz w:val="21"/>
                <w:szCs w:val="21"/>
              </w:rPr>
              <w:t>）</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《中华人民共和国农村土地承包法》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《农村土地经营权流转管理办法》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农村村民宅基地审批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乡（镇）政府</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《中华人民共和国土地管理法》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渔业船舶船员证书核发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spacing w:val="-6"/>
                <w:kern w:val="0"/>
                <w:sz w:val="21"/>
                <w:szCs w:val="21"/>
              </w:rPr>
              <w:t>《中华人民共和国渔港水域交通安全管理条例》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《中华人民共和国渔业船员管理办法》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《国家职业资格目录（2021年版）》</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水产苗种生产经营审批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《中华人民共和国渔业法》</w:t>
            </w:r>
          </w:p>
          <w:p>
            <w:pPr>
              <w:autoSpaceDE w:val="0"/>
              <w:autoSpaceDN w:val="0"/>
              <w:snapToGrid w:val="0"/>
              <w:spacing w:line="240" w:lineRule="exact"/>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spacing w:val="-6"/>
                <w:kern w:val="0"/>
                <w:sz w:val="21"/>
                <w:szCs w:val="21"/>
              </w:rPr>
              <w:t>《水产苗种管理办法》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《农业转基因生物安全管理条例》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水域滩涂养殖证核发</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县政府（由农业农村局承办）</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《中华人民共和国渔业法》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渔业船网工具指标审批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《中华人民共和国渔业法》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《渔业捕捞许可管理规定》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渔业捕捞许可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《中华人民共和国渔业法》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《中华人民共和国渔业法实施细则》</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《渔业捕捞许可管理规定》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专用航标的设置、撤除、位置移动和其他状况改变审批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《中华人民共和国航标条例》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w:t>
            </w:r>
            <w:r>
              <w:rPr>
                <w:rFonts w:hint="default" w:ascii="Times New Roman" w:hAnsi="Times New Roman" w:eastAsia="方正仿宋_GBK" w:cs="Times New Roman"/>
                <w:spacing w:val="-6"/>
                <w:kern w:val="0"/>
                <w:sz w:val="21"/>
                <w:szCs w:val="21"/>
              </w:rPr>
              <w:t>渔业航标管理办法》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渔港内新建、改建、扩建设施或者其他水上、水下施工审批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spacing w:val="-6"/>
                <w:kern w:val="0"/>
                <w:sz w:val="21"/>
                <w:szCs w:val="21"/>
              </w:rPr>
              <w:t>《中华人民共和国渔港水域交通安全管理条例》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渔港内易燃、易爆、有毒等危险品装卸审批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spacing w:val="-6"/>
                <w:kern w:val="0"/>
                <w:sz w:val="21"/>
                <w:szCs w:val="21"/>
              </w:rPr>
              <w:t>《中华人民共和国渔港水域交通安全管理条例》《中华人民共和国内河交通安全管理条例》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渔业船舶国籍登记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《中华人民共和国船舶登记条例》</w:t>
            </w:r>
          </w:p>
          <w:p>
            <w:pPr>
              <w:autoSpaceDE w:val="0"/>
              <w:autoSpaceDN w:val="0"/>
              <w:snapToGrid w:val="0"/>
              <w:spacing w:line="240" w:lineRule="exact"/>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spacing w:val="-6"/>
                <w:kern w:val="0"/>
                <w:sz w:val="21"/>
                <w:szCs w:val="21"/>
              </w:rPr>
              <w:t>《中华人民共和国渔港水域交通安全管理条例》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《中华人民共和国渔业船舶登记办法》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文艺表演团体设立审批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《营业性演出管理条例》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营业性演出审批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2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《营业性演出管理条例》</w:t>
            </w:r>
          </w:p>
          <w:p>
            <w:pPr>
              <w:autoSpaceDE w:val="0"/>
              <w:autoSpaceDN w:val="0"/>
              <w:snapToGrid w:val="0"/>
              <w:spacing w:line="22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《营业性演出管理条例实施细则》</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娱乐场所经营活动审批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《娱乐场所管理条例》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互联网上网服务营业场所筹建审批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《互联网上网服务营业场所管理条例》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互联网上网服务经营活动审批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《互联网上网服务营业场所管理条例》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建设工程文物保护许可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2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县政府（由县文化广电和旅游局承办，征得省文物局同意）；县文化广电和旅游局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《中华人民共和国文物保护法》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文物保护单位原址保护措施审批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2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《中华人民共和国文物保护法》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核定为文物保护单位的属于国家所有的纪念建筑物或者古建筑改变用途审批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县政府（由本级文化广电旅游局承办，征得上一级文物局同意）</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《中华人民共和国文物保护法》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不可移动文物修缮审批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《中华人民共和国文物保护法》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非国有文物收藏单位和其他单位借用国有馆藏文物审批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《中华人民共和国文物保护法》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博物馆处理不够入藏标准、无保存价值的文物或标本审批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广播电视专用频段频率使用许可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县文化广电和旅游局（受理广电总局事权事项并逐级上报）</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《广播电视管理条例》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广播电台、电视台设立、终止审批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县文化广电和旅游局（受理广电总局事权事项并逐级上报）</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《广播电视管理条例》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广播电台、电视台变更台名、台标、节目设置范围或节目套数审批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县文化广电和旅游局（受理广电总局事权事项并逐级上报）</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《广播电视管理条例》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乡镇设立广播电视站和机关、部队、团体、企业事业单位设立有线广播电视站审批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spacing w:val="-6"/>
                <w:kern w:val="0"/>
                <w:sz w:val="21"/>
                <w:szCs w:val="21"/>
              </w:rPr>
              <w:t>文化广电和旅游局初审</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《广播电视管理条例》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《广播电视站审批管理暂行规定》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有线广播电视传输覆盖网工程验收审核</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《广播电视管理条例》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广播电视视频点播业务审批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县文化广电和旅游局受理并逐级上报</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《国务院对确需保留的行政审批项目设定行政许可的决定》</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《广播电视视频点播业务管理办法》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卫星电视广播地面接收设施安装服务许可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spacing w:val="-6"/>
                <w:kern w:val="0"/>
                <w:sz w:val="21"/>
                <w:szCs w:val="21"/>
              </w:rPr>
              <w:t>文化广电和旅游局初审</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《卫星电视广播地面接收设施管理规定》</w:t>
            </w:r>
          </w:p>
          <w:p>
            <w:pPr>
              <w:autoSpaceDE w:val="0"/>
              <w:autoSpaceDN w:val="0"/>
              <w:snapToGrid w:val="0"/>
              <w:spacing w:line="230" w:lineRule="exact"/>
              <w:rPr>
                <w:rFonts w:hint="default" w:ascii="Times New Roman" w:hAnsi="Times New Roman" w:eastAsia="方正仿宋_GBK" w:cs="Times New Roman"/>
                <w:strike/>
                <w:color w:val="FF0000"/>
                <w:kern w:val="0"/>
                <w:sz w:val="21"/>
                <w:szCs w:val="21"/>
              </w:rPr>
            </w:pPr>
            <w:r>
              <w:rPr>
                <w:rFonts w:hint="default" w:ascii="Times New Roman" w:hAnsi="Times New Roman" w:eastAsia="方正仿宋_GBK" w:cs="Times New Roman"/>
                <w:kern w:val="0"/>
                <w:sz w:val="21"/>
                <w:szCs w:val="21"/>
              </w:rPr>
              <w:t>《卫星电视广播地面接收设施安装服务暂行办法》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《广电总局关于设立卫星地面接收设施安装服务机构审批事项的通知》（广发〔2010〕24号）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设置卫星电视广播地面接收设施审批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县文化广电和旅游局初审</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《广播电视管理条例》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《卫星电视广播地面接收设施管理规定》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广播电台、电视台使用方言播音审批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县文化广电和旅游局（受省广电局委托实施）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《中华人民共和国国家通用语言文字法》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饮用水供水单位卫生许可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《中华人民共和国传染病防治法》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公共场所卫生许可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《公共场所卫生管理条例》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医疗机构建设项目放射性职业病危害预评价报告审核</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《中华人民共和国职业病防治法》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《放射诊疗管理规定》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医疗机构建设项目放射性职业病防护设施竣工验收</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《中华人民共和国职业病防治法》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《放射诊疗管理规定》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医疗机构设置审批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《医疗机构管理条例》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医疗机构执业登记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《医疗机构管理条例》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母婴保健技术服务机构执业许可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《中华人民共和国母婴保健法》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《中华人民共和国母婴保健法实施办法》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《母婴保健专项技术服务许可及人员资格管理办法》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放射源诊疗技术和医用辐射机构许可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《放射性同位素与射线装置安全和防护条例》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《放射诊疗管理规定》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单采血浆站设置审批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县卫生健康局（初审）</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《血液制品管理条例》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医师执业注册</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《中华人民共和国医师法》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《医师执业注册管理办法》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乡村医生执业注册</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《乡村医生从业管理条例》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母婴保健服务人员资格认定</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《中华人民共和国母婴保健法》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《中华人民共和国母婴保健法实施办法》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《母婴保健专项技术服务许可及人员资格管理办法》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《国家职业资格目录（2021年版）》</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护士执业注册</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《护士条例》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《国家职业资格目录（2021年版）》</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确有专长的中医医师资格认定</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县卫生健康局受理并逐级上报</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《中华人民共和国中医药法》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《中医医术确有专长人员医师资格考核注册管理暂行办法》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确有专长的中医医师执业注册</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《中华人民共和国中医药法》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《中医医术确有专长人员医师资格考核注册管理暂行办法》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中医医疗机构设置审批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《中华人民共和国中医药法》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《医疗机构管理条例》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中医医疗机构执业登记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县卫生健康局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《中华人民共和国中医药法》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《医疗机构管理条例》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石油天然气建设项目安全设施设计审查</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《中华人民共和国安全生产法》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《建设项目安全设施“三同时”监督管理办法》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《国家安全监管总局办公厅关于明确非煤矿山建设项目安全监管职责等事项的通知》（安监总厅管一〔2013〕143号）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金属冶炼建设项目安全设施设计审查</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《中华人民共和国安全生产法》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《建设项目安全设施“三同时”监督管理办法》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《冶金企业和有色金属企业安全生产规定》</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生产、储存危险化学品建设项目安全条件审查</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县应急管理局（受市应急管理局委托实施）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《危险化学品安全管理条例》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《危险化学品建设项目安全监督管理办法》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《市政府关于印发宿迁市工业企业全生命周期审批事项赋权工作方案的通知》（宿政发〔2020〕72号）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生产、储存危险化学品建设项目安全设施设计审查</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县应急管理局（受市应急管理局委托实施）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《中华人民共和国安全生产法》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《危险化学品建设项目安全监督管理办法》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《市政府关于印发宿迁市工业企业全生命周期审批事项赋权工作方案的通知》（宿政发〔2020〕72号）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危险化学品经营许可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《危险化学品安全管理条例》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《危险化学品经营许可证管理办法》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生产、储存烟花爆竹建设项目安全设施设计审查</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《中华人民共和国安全生产法》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《建设项目安全设施“三同时”监督管理办法》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烟花爆竹经营许可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《烟花爆竹安全管理条例》</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《烟花爆竹经营许可实施办法》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9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矿山建设项目安全设施设计审查</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县应急管理局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《中华人民共和国安全生产法》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《煤矿安全监察条例》</w:t>
            </w:r>
          </w:p>
          <w:p>
            <w:pPr>
              <w:autoSpaceDE w:val="0"/>
              <w:autoSpaceDN w:val="0"/>
              <w:snapToGrid w:val="0"/>
              <w:spacing w:line="230" w:lineRule="exact"/>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spacing w:val="-6"/>
                <w:kern w:val="0"/>
                <w:sz w:val="21"/>
                <w:szCs w:val="21"/>
              </w:rPr>
              <w:t>《煤矿建设项目安全设施监察规定》</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《建设项目安全设施“三同时”监督管理办法》《国家安全监管总局办公厅关于切实做好国家取消和下放投资审批有关建设项目安全监管工作的通知》（安监总厅政法〔2013〕120号）</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《国家安全监管总局办公厅关于明确非煤矿山建设项目安全监管职责等事项的通知》（安监总厅管一〔2013〕143号）</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11"/>
                <w:kern w:val="0"/>
                <w:sz w:val="21"/>
                <w:szCs w:val="21"/>
              </w:rPr>
              <w:t>《中华人民共和国应急管理部公告》（2021年第1号）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食品生产许可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《中华人民共和国食品安全法》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《食品生产许可管理办法》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食品添加剂生产许可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《中华人民共和国食品安全法》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《食品生产许可管理办法》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食品经营许可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《中华人民共和国食品安全法》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《食品经营许可管理办法》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特种设备使用登记</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县市场监管局（受市市场监管局委托实施）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《中华人民共和国特种设备安全法》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《特种设备安全监察条例》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《市政府关于印发宿迁市工</w:t>
            </w:r>
            <w:r>
              <w:rPr>
                <w:rFonts w:hint="default" w:ascii="Times New Roman" w:hAnsi="Times New Roman" w:eastAsia="方正仿宋_GBK" w:cs="Times New Roman"/>
                <w:spacing w:val="-6"/>
                <w:kern w:val="0"/>
                <w:sz w:val="21"/>
                <w:szCs w:val="21"/>
              </w:rPr>
              <w:t>业企业全生命周期审批事项赋权工作方案的通知》（宿政发〔2020〕72号）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特种设备安全管理和作业人员资格认定</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《中华人民共和国特种设备安全法》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《特种设备安全监察条例》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《特种设备作业人员监督管理办法》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《国家职业资格目录（2021年版）》</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计量标准器具核准</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《中华人民共和国计量法》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《中华人民共和国计量法实施细则》</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《计量标准考核办法》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承担国家法定计量检定机构任务授权</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《中华人民共和国计量法》</w:t>
            </w:r>
          </w:p>
          <w:p>
            <w:pPr>
              <w:autoSpaceDE w:val="0"/>
              <w:autoSpaceDN w:val="0"/>
              <w:snapToGrid w:val="0"/>
              <w:spacing w:line="23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《中华人民共和国计量法实施细则》</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1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企业登记注册</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县市场监督管理局（外资），县行政审批</w:t>
            </w:r>
            <w:r>
              <w:rPr>
                <w:rFonts w:hint="default" w:ascii="Times New Roman" w:hAnsi="Times New Roman" w:eastAsia="方正仿宋_GBK" w:cs="Times New Roman"/>
                <w:color w:val="000000"/>
                <w:kern w:val="0"/>
                <w:sz w:val="21"/>
                <w:szCs w:val="21"/>
              </w:rPr>
              <w:t>局（内资）</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《中华人民共和国公司法》</w:t>
            </w:r>
          </w:p>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《中华人民共和国合伙企业法》</w:t>
            </w:r>
          </w:p>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《中华人民共和国个人独资企业法》</w:t>
            </w:r>
          </w:p>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《中华人民共和国外商投资法》</w:t>
            </w:r>
          </w:p>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《中华人民共和国外商投资法实施条例》</w:t>
            </w:r>
          </w:p>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《中华人民共和国市场主体登记管理条例》《中华人民共和国市场主体登记管理条例实施细则》</w:t>
            </w:r>
          </w:p>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《关于印发〈宿迁市机构改革方案〉的通知》（苏办〔2019〕11号）</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个体工商户登记注册</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br w:type="page"/>
            </w:r>
            <w:r>
              <w:rPr>
                <w:rFonts w:hint="default" w:ascii="Times New Roman" w:hAnsi="Times New Roman" w:eastAsia="方正仿宋_GBK" w:cs="Times New Roman"/>
                <w:kern w:val="0"/>
                <w:sz w:val="21"/>
                <w:szCs w:val="21"/>
              </w:rPr>
              <w:t>《中华人民共和国市场主体登记管理条例》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《促进个体工商户发展条例》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《中华人民共和国市场主体登记管理条例实施细则》</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8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农民专业合作社登记注册</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《中华人民共和国农民专业合作社法》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《中华人民共和国市场主体登记管理条例》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《中华人民共和国市场主体登记管理条例实施细则》</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药品零售企业筹建审批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《中华人民共和国药品管理法》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《中华人民共和国药品管理法实施条例》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color w:val="FF0000"/>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药品零售企业经营许可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《中华人民共和国药品管理法》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《中华人民共和国药品管理法实施条例》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color w:val="FF0000"/>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科研和教学用毒性药品购买审批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《医疗用毒性药品管理办法》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5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第三类医疗器械经营许可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县市场监管局（受市行政审批局委托实施）</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《医疗器械监督管理条例》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6"/>
                <w:kern w:val="0"/>
                <w:sz w:val="21"/>
                <w:szCs w:val="21"/>
              </w:rPr>
              <w:t>《市委办公室 市政府办公室关于印发〈宿迁市行政审批局职能配置、内设机构和人员编制规定〉的通知（宿办〔2019〕52号）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县体育局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举办健身气功活动及设立站点审批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kern w:val="0"/>
                <w:sz w:val="21"/>
                <w:szCs w:val="21"/>
              </w:rPr>
              <w:t>《国务院对确需保留的行政审批项目设定行政许</w:t>
            </w:r>
            <w:r>
              <w:rPr>
                <w:rFonts w:hint="default" w:ascii="Times New Roman" w:hAnsi="Times New Roman" w:eastAsia="方正仿宋_GBK" w:cs="Times New Roman"/>
                <w:spacing w:val="-6"/>
                <w:kern w:val="0"/>
                <w:sz w:val="21"/>
                <w:szCs w:val="21"/>
              </w:rPr>
              <w:t>可的决定》</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6"/>
                <w:kern w:val="0"/>
                <w:sz w:val="21"/>
                <w:szCs w:val="21"/>
              </w:rPr>
              <w:t>《健身气功管理办法》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3"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县体育局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高危险性体育项目经营许可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《中华人民共和国体育法》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《全民健身条例》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4"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县体育局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临时占用公共体育场地设施审批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《中华人民共和国体育法》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县体育局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举办高危险性体育赛事活动许可</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县体育局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《中华人民共和国体育法》</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县消防救援大队</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公众聚集场所投入使用、营业前消防安全检查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县消防救援大队</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《中华人民共和国消防法》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3"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人民银行泗阳县中心支行</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银行账户开户许可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人民银行泗阳县中心支行</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《国务院对确需保留的行政审批项目设定行政许可的决定》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人民银行泗阳县中心支行</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国库集中收付代理银行资格认定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人民银行泗阳县中心支行</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《国务院对确需保留的行政审批项目设定行政许可的决定》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县税务局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增值税防伪税控系统最高开票限额审批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6"/>
                <w:kern w:val="0"/>
                <w:sz w:val="21"/>
                <w:szCs w:val="21"/>
              </w:rPr>
              <w:t>县税</w:t>
            </w:r>
            <w:r>
              <w:rPr>
                <w:rFonts w:hint="default" w:ascii="Times New Roman" w:hAnsi="Times New Roman" w:eastAsia="方正仿宋_GBK" w:cs="Times New Roman"/>
                <w:color w:val="000000"/>
                <w:spacing w:val="-6"/>
                <w:kern w:val="0"/>
                <w:sz w:val="21"/>
                <w:szCs w:val="21"/>
              </w:rPr>
              <w:t>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《国务院对确需保留的行政审批项目设定行政许可的决定》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0"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县气象局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雷电防护装置设计审核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县气象局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《气象灾害防御条例》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县气象局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雷电防护装置竣工验收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县气象局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《气象灾害防御条例》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3"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县气象局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升放无人驾驶自由气球或者系留气球活动审批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县气象局会同城市管理、飞行管制等有关部门</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《通用航空飞行管制条例》</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《国务院关于第六批取消和调整行政审批项目的决定》（国发〔2012〕52号）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9"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县烟草专卖局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烟草专卖零售许可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县烟草专卖局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《中华人民共和国烟草专卖法》</w:t>
            </w:r>
          </w:p>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《中华人民共和国烟草专卖法实施条例》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燃气场站工程、市政中高压燃气管道工程的初步设计文件审批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《江苏省燃气管理条例》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临时占用道路以及其他公共场地摆摊经营许可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《江苏省城市市容和环境卫生管理条例》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3"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建筑垃圾消纳场地设置审批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w:t>
            </w:r>
            <w:r>
              <w:rPr>
                <w:rFonts w:hint="default" w:ascii="Times New Roman" w:hAnsi="Times New Roman" w:eastAsia="方正仿宋_GBK" w:cs="Times New Roman"/>
                <w:color w:val="000000"/>
                <w:kern w:val="0"/>
                <w:sz w:val="21"/>
                <w:szCs w:val="21"/>
              </w:rPr>
              <w:t>城市管理局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《江苏省固体废物污染环境防治条例》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移植城市树木审批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《江苏省城市绿化管理条例》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城市公共汽车客运经营许可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《江苏省道路运输条例》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2"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道路货物运输代理、货运信息服务经营许可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县交通运输局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《江苏省道路运输条例》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8"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渔业港口经营许可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县农业农村局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《江苏省渔业港口和渔业船舶管理条例》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1"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县文化广电和</w:t>
            </w:r>
          </w:p>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旅游局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尚未核定公布为文物保护单位的不可移动文物需要迁移、拆除的批准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县行政审批局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《江苏省文物保护条例》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《县政府办公室关于向县行政审批局划转行政审批事项的通知》（泗政办发〔2019〕95号）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numPr>
                <w:ilvl w:val="0"/>
                <w:numId w:val="1"/>
              </w:numPr>
              <w:jc w:val="center"/>
              <w:textAlignment w:val="bottom"/>
              <w:rPr>
                <w:rFonts w:hint="default" w:ascii="Times New Roman" w:hAnsi="Times New Roman" w:eastAsia="方正仿宋_GBK" w:cs="Times New Roman"/>
                <w:kern w:val="0"/>
                <w:sz w:val="21"/>
                <w:szCs w:val="21"/>
              </w:rPr>
            </w:pP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食品生产加工小作坊登记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县市场监管局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《江苏省食品小作坊和食品摊贩管理条例》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6"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lang w:val="en-US" w:eastAsia="zh-CN"/>
              </w:rPr>
            </w:pPr>
            <w:r>
              <w:rPr>
                <w:rFonts w:hint="default" w:ascii="Times New Roman" w:hAnsi="Times New Roman" w:eastAsia="方正仿宋_GBK" w:cs="Times New Roman"/>
                <w:spacing w:val="-11"/>
                <w:kern w:val="0"/>
                <w:sz w:val="21"/>
                <w:szCs w:val="21"/>
                <w:lang w:val="en-US" w:eastAsia="zh-CN"/>
              </w:rPr>
              <w:t>266</w:t>
            </w:r>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spacing w:val="-11"/>
                <w:kern w:val="0"/>
                <w:sz w:val="21"/>
                <w:szCs w:val="21"/>
              </w:rPr>
            </w:pPr>
            <w:r>
              <w:rPr>
                <w:rFonts w:hint="default" w:ascii="Times New Roman" w:hAnsi="Times New Roman" w:eastAsia="方正仿宋_GBK" w:cs="Times New Roman"/>
                <w:spacing w:val="-11"/>
                <w:kern w:val="0"/>
                <w:sz w:val="21"/>
                <w:szCs w:val="21"/>
              </w:rPr>
              <w:t>县住房和城乡建设局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改造、报废人民防空工程审批 </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center"/>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县住房和城乡建设局</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 xml:space="preserve">《江苏省实施&lt;中华人民共和国人民防空法&gt;办法》 </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40" w:lineRule="exact"/>
              <w:jc w:val="left"/>
              <w:rPr>
                <w:rFonts w:hint="default" w:ascii="Times New Roman" w:hAnsi="Times New Roman" w:eastAsia="方正仿宋_GBK"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5" w:hRule="atLeast"/>
          <w:jc w:val="center"/>
        </w:trPr>
        <w:tc>
          <w:tcPr>
            <w:tcW w:w="6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numPr>
                <w:ilvl w:val="0"/>
                <w:numId w:val="0"/>
              </w:numPr>
              <w:autoSpaceDE w:val="0"/>
              <w:autoSpaceDN w:val="0"/>
              <w:snapToGrid w:val="0"/>
              <w:spacing w:line="270" w:lineRule="exact"/>
              <w:ind w:leftChars="0"/>
              <w:jc w:val="center"/>
              <w:rPr>
                <w:rFonts w:hint="default" w:ascii="Times New Roman" w:hAnsi="Times New Roman" w:eastAsia="方正仿宋_GBK" w:cs="Times New Roman"/>
                <w:kern w:val="0"/>
                <w:sz w:val="21"/>
                <w:szCs w:val="21"/>
                <w:lang w:val="en-US" w:eastAsia="zh-CN"/>
              </w:rPr>
            </w:pPr>
            <w:bookmarkStart w:id="0" w:name="_GoBack"/>
            <w:r>
              <w:rPr>
                <w:rFonts w:hint="default" w:ascii="Times New Roman" w:hAnsi="Times New Roman" w:eastAsia="方正仿宋_GBK" w:cs="Times New Roman"/>
                <w:kern w:val="0"/>
                <w:sz w:val="21"/>
                <w:szCs w:val="21"/>
                <w:lang w:val="en-US" w:eastAsia="zh-CN"/>
              </w:rPr>
              <w:t>267</w:t>
            </w:r>
            <w:bookmarkEnd w:id="0"/>
          </w:p>
        </w:tc>
        <w:tc>
          <w:tcPr>
            <w:tcW w:w="182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70" w:lineRule="exact"/>
              <w:jc w:val="center"/>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kern w:val="0"/>
                <w:sz w:val="21"/>
                <w:szCs w:val="21"/>
              </w:rPr>
              <w:t>县自然资源和规划局</w:t>
            </w:r>
            <w:r>
              <w:rPr>
                <w:rFonts w:hint="default" w:ascii="Times New Roman" w:hAnsi="Times New Roman" w:eastAsia="方正仿宋_GBK" w:cs="Times New Roman"/>
                <w:sz w:val="21"/>
                <w:szCs w:val="21"/>
              </w:rPr>
              <w:t>、县农业农村局</w:t>
            </w:r>
          </w:p>
        </w:tc>
        <w:tc>
          <w:tcPr>
            <w:tcW w:w="2666"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z w:val="21"/>
                <w:szCs w:val="21"/>
              </w:rPr>
              <w:t>外国人对省重点保护野生动物和国务院野生动物保护行政主管部门公布的重要生态、科学、社会价值的野生动物进行野外考察或在野外拍摄电影、录像审批</w:t>
            </w:r>
          </w:p>
        </w:tc>
        <w:tc>
          <w:tcPr>
            <w:tcW w:w="267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z w:val="21"/>
                <w:szCs w:val="21"/>
              </w:rPr>
              <w:t>县</w:t>
            </w:r>
            <w:r>
              <w:rPr>
                <w:rFonts w:hint="default" w:ascii="Times New Roman" w:hAnsi="Times New Roman" w:eastAsia="方正仿宋_GBK" w:cs="Times New Roman"/>
                <w:color w:val="000000"/>
                <w:sz w:val="21"/>
                <w:szCs w:val="21"/>
              </w:rPr>
              <w:t>自然资源和规划局</w:t>
            </w:r>
            <w:r>
              <w:rPr>
                <w:rFonts w:hint="default" w:ascii="Times New Roman" w:hAnsi="Times New Roman" w:eastAsia="方正仿宋_GBK" w:cs="Times New Roman"/>
                <w:sz w:val="21"/>
                <w:szCs w:val="21"/>
              </w:rPr>
              <w:t>受理（省重点保护陆生野生动物和国务院野生动物保护行政主管部门公布的有重要生态、科学、社会价值的陆生野生动物）交由省林业局审批；县农业农村局受理（省重点保护水生野生动物）交由省农业农村厅审批</w:t>
            </w:r>
          </w:p>
        </w:tc>
        <w:tc>
          <w:tcPr>
            <w:tcW w:w="440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70" w:lineRule="exact"/>
              <w:jc w:val="left"/>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z w:val="21"/>
                <w:szCs w:val="21"/>
              </w:rPr>
              <w:t>《江苏省野生动物保护条例》</w:t>
            </w:r>
          </w:p>
        </w:tc>
        <w:tc>
          <w:tcPr>
            <w:tcW w:w="223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autoSpaceDE w:val="0"/>
              <w:autoSpaceDN w:val="0"/>
              <w:snapToGrid w:val="0"/>
              <w:spacing w:line="270" w:lineRule="exact"/>
              <w:jc w:val="left"/>
              <w:rPr>
                <w:rFonts w:hint="default" w:ascii="Times New Roman" w:hAnsi="Times New Roman" w:eastAsia="方正仿宋_GBK" w:cs="Times New Roman"/>
                <w:color w:val="FF0000"/>
                <w:kern w:val="0"/>
                <w:sz w:val="21"/>
                <w:szCs w:val="21"/>
              </w:rPr>
            </w:pPr>
          </w:p>
        </w:tc>
      </w:tr>
    </w:tbl>
    <w:p>
      <w:pPr>
        <w:widowControl/>
        <w:jc w:val="left"/>
        <w:rPr>
          <w:rFonts w:hint="default" w:ascii="Times New Roman" w:hAnsi="Times New Roman" w:cs="Times New Roman"/>
          <w:sz w:val="30"/>
          <w:szCs w:val="30"/>
        </w:rPr>
        <w:sectPr>
          <w:pgSz w:w="16840" w:h="11907" w:orient="landscape"/>
          <w:pgMar w:top="1417" w:right="1417" w:bottom="1417" w:left="1417" w:header="851" w:footer="992" w:gutter="0"/>
          <w:pgNumType w:fmt="decimal"/>
          <w:cols w:space="720" w:num="1"/>
          <w:docGrid w:type="lines" w:linePitch="312" w:charSpace="0"/>
        </w:sectPr>
      </w:pPr>
    </w:p>
    <w:p>
      <w:pPr>
        <w:spacing w:line="560" w:lineRule="exact"/>
        <w:ind w:right="2240"/>
        <w:rPr>
          <w:rFonts w:hint="default" w:ascii="Times New Roman" w:hAnsi="Times New Roman" w:eastAsia="仿宋_GB2312" w:cs="Times New Roman"/>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ind w:firstLine="276" w:firstLineChars="100"/>
        <w:jc w:val="left"/>
        <w:rPr>
          <w:rFonts w:hint="default" w:ascii="Times New Roman" w:hAnsi="Times New Roman" w:eastAsia="仿宋_GB2312" w:cs="Times New Roman"/>
          <w:snapToGrid w:val="0"/>
          <w:color w:val="000000"/>
          <w:spacing w:val="-20"/>
          <w:w w:val="99"/>
          <w:kern w:val="0"/>
          <w:sz w:val="32"/>
          <w:szCs w:val="32"/>
        </w:rPr>
      </w:pPr>
    </w:p>
    <w:p>
      <w:pPr>
        <w:spacing w:before="312" w:beforeLines="100" w:line="560" w:lineRule="exact"/>
        <w:jc w:val="left"/>
        <w:rPr>
          <w:rFonts w:hint="default" w:ascii="Times New Roman" w:hAnsi="Times New Roman" w:eastAsia="仿宋_GB2312" w:cs="Times New Roman"/>
          <w:color w:val="FF0000"/>
          <w:sz w:val="28"/>
          <w:szCs w:val="28"/>
        </w:rPr>
      </w:pPr>
      <w:r>
        <w:rPr>
          <w:rFonts w:hint="default" w:ascii="Times New Roman" w:hAnsi="Times New Roman" w:eastAsia="仿宋_GB2312" w:cs="Times New Roman"/>
          <w:snapToGrid w:val="0"/>
          <w:color w:val="000000"/>
          <w:spacing w:val="-20"/>
          <w:w w:val="99"/>
          <w:kern w:val="0"/>
          <w:sz w:val="28"/>
          <w:szCs w:val="28"/>
        </w:rPr>
        <mc:AlternateContent>
          <mc:Choice Requires="wps">
            <w:drawing>
              <wp:anchor distT="0" distB="0" distL="114300" distR="114300" simplePos="0" relativeHeight="251662336" behindDoc="0" locked="0" layoutInCell="1" allowOverlap="1">
                <wp:simplePos x="0" y="0"/>
                <wp:positionH relativeFrom="column">
                  <wp:posOffset>-46990</wp:posOffset>
                </wp:positionH>
                <wp:positionV relativeFrom="paragraph">
                  <wp:posOffset>576580</wp:posOffset>
                </wp:positionV>
                <wp:extent cx="553148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5314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7pt;margin-top:45.4pt;height:0pt;width:435.55pt;z-index:251662336;mso-width-relative:page;mso-height-relative:page;" filled="f" stroked="t" coordsize="21600,21600" o:gfxdata="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7z8mgdUAAAAIAQAA&#10;DwAAAAAAAAABACAAAAAiAAAAZHJzL2Rvd25yZXYueG1sUEsBAhQAFAAAAAgAh07iQKm+rwfjAQAA&#10;sQMAAA4AAAAAAAAAAQAgAAAAJAEAAGRycy9lMm9Eb2MueG1sUEsFBgAAAAAGAAYAWQEAAHkFAAAA&#10;AA==&#10;">
                <v:fill on="f" focussize="0,0"/>
                <v:stroke weight="0.5pt" color="#000000 [3200]" miterlimit="8" joinstyle="miter"/>
                <v:imagedata o:title=""/>
                <o:lock v:ext="edit" aspectratio="f"/>
              </v:line>
            </w:pict>
          </mc:Fallback>
        </mc:AlternateContent>
      </w:r>
      <w:r>
        <w:rPr>
          <w:rFonts w:hint="default" w:ascii="Times New Roman" w:hAnsi="Times New Roman" w:eastAsia="仿宋_GB2312" w:cs="Times New Roman"/>
          <w:snapToGrid w:val="0"/>
          <w:color w:val="000000"/>
          <w:spacing w:val="-20"/>
          <w:w w:val="99"/>
          <w:kern w:val="0"/>
          <w:sz w:val="28"/>
          <w:szCs w:val="28"/>
        </w:rPr>
        <mc:AlternateContent>
          <mc:Choice Requires="wps">
            <w:drawing>
              <wp:anchor distT="0" distB="0" distL="114300" distR="114300" simplePos="0" relativeHeight="251661312" behindDoc="0" locked="0" layoutInCell="1" allowOverlap="1">
                <wp:simplePos x="0" y="0"/>
                <wp:positionH relativeFrom="column">
                  <wp:posOffset>-45720</wp:posOffset>
                </wp:positionH>
                <wp:positionV relativeFrom="paragraph">
                  <wp:posOffset>270510</wp:posOffset>
                </wp:positionV>
                <wp:extent cx="5531485" cy="0"/>
                <wp:effectExtent l="0" t="0" r="0" b="0"/>
                <wp:wrapNone/>
                <wp:docPr id="6" name="直接连接符 6"/>
                <wp:cNvGraphicFramePr/>
                <a:graphic xmlns:a="http://schemas.openxmlformats.org/drawingml/2006/main">
                  <a:graphicData uri="http://schemas.microsoft.com/office/word/2010/wordprocessingShape">
                    <wps:wsp>
                      <wps:cNvCnPr/>
                      <wps:spPr>
                        <a:xfrm>
                          <a:off x="905510" y="9178925"/>
                          <a:ext cx="55314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6pt;margin-top:21.3pt;height:0pt;width:435.55pt;z-index:251661312;mso-width-relative:page;mso-height-relative:page;" filled="f" stroked="t" coordsize="21600,21600" o:gfxdata="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1X8f31gAAAAgBAAAPAAAAAAAAAAEAIAAAACIAAABkcnMvZG93bnJldi54bWxQSwECFAAUAAAA&#10;CACHTuJAYuMaK/ABAAC8AwAADgAAAAAAAAABACAAAAAlAQAAZHJzL2Uyb0RvYy54bWxQSwUGAAAA&#10;AAYABgBZAQAAhwUAAAAA&#10;">
                <v:fill on="f" focussize="0,0"/>
                <v:stroke weight="0.5pt" color="#000000 [3200]" miterlimit="8" joinstyle="miter"/>
                <v:imagedata o:title=""/>
                <o:lock v:ext="edit" aspectratio="f"/>
              </v:line>
            </w:pict>
          </mc:Fallback>
        </mc:AlternateContent>
      </w:r>
      <w:r>
        <w:rPr>
          <w:rFonts w:hint="default" w:ascii="Times New Roman" w:hAnsi="Times New Roman" w:eastAsia="仿宋_GB2312" w:cs="Times New Roman"/>
          <w:snapToGrid w:val="0"/>
          <w:color w:val="000000"/>
          <w:spacing w:val="-20"/>
          <w:w w:val="99"/>
          <w:kern w:val="0"/>
          <w:sz w:val="28"/>
          <w:szCs w:val="28"/>
        </w:rPr>
        <w:t xml:space="preserve">泗阳县人民政府办公室                    </w:t>
      </w:r>
      <w:r>
        <w:rPr>
          <w:rFonts w:hint="default" w:ascii="Times New Roman" w:hAnsi="Times New Roman" w:eastAsia="仿宋_GB2312" w:cs="Times New Roman"/>
          <w:snapToGrid w:val="0"/>
          <w:color w:val="000000"/>
          <w:spacing w:val="-20"/>
          <w:w w:val="99"/>
          <w:kern w:val="0"/>
          <w:sz w:val="28"/>
          <w:szCs w:val="28"/>
          <w:lang w:val="en-US" w:eastAsia="zh-CN"/>
        </w:rPr>
        <w:t xml:space="preserve">                </w:t>
      </w:r>
      <w:r>
        <w:rPr>
          <w:rFonts w:hint="default" w:ascii="Times New Roman" w:hAnsi="Times New Roman" w:eastAsia="仿宋_GB2312" w:cs="Times New Roman"/>
          <w:snapToGrid w:val="0"/>
          <w:color w:val="000000"/>
          <w:spacing w:val="-20"/>
          <w:w w:val="99"/>
          <w:kern w:val="0"/>
          <w:sz w:val="28"/>
          <w:szCs w:val="28"/>
        </w:rPr>
        <w:t xml:space="preserve"> 2023年7月31日印发</w:t>
      </w: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方正楷体_GBK">
    <w:panose1 w:val="03000509000000000000"/>
    <w:charset w:val="86"/>
    <w:family w:val="script"/>
    <w:pitch w:val="default"/>
    <w:sig w:usb0="00000001" w:usb1="080E0000" w:usb2="00000000" w:usb3="00000000" w:csb0="00040000" w:csb1="00000000"/>
  </w:font>
  <w:font w:name="Book Antiqua">
    <w:panose1 w:val="02040602050305030304"/>
    <w:charset w:val="00"/>
    <w:family w:val="roman"/>
    <w:pitch w:val="default"/>
    <w:sig w:usb0="00000287" w:usb1="00000000" w:usb2="00000000" w:usb3="00000000" w:csb0="2000009F" w:csb1="DFD7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8571C"/>
    <w:multiLevelType w:val="multilevel"/>
    <w:tmpl w:val="3A28571C"/>
    <w:lvl w:ilvl="0" w:tentative="0">
      <w:start w:val="1"/>
      <w:numFmt w:val="decimal"/>
      <w:lvlText w:val="%1"/>
      <w:lvlJc w:val="left"/>
      <w:pPr>
        <w:tabs>
          <w:tab w:val="left" w:pos="420"/>
        </w:tabs>
        <w:ind w:left="425" w:hanging="425"/>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diZThiMzg4M2U2MTIwMWFhMDU1NWI2NTQ1ZjhmMzAifQ=="/>
  </w:docVars>
  <w:rsids>
    <w:rsidRoot w:val="00127738"/>
    <w:rsid w:val="000D2CF6"/>
    <w:rsid w:val="00127738"/>
    <w:rsid w:val="00182182"/>
    <w:rsid w:val="001A21B8"/>
    <w:rsid w:val="001C3F83"/>
    <w:rsid w:val="001D7ACD"/>
    <w:rsid w:val="001E0F0F"/>
    <w:rsid w:val="001E705B"/>
    <w:rsid w:val="00201852"/>
    <w:rsid w:val="00297847"/>
    <w:rsid w:val="0033552B"/>
    <w:rsid w:val="0037289D"/>
    <w:rsid w:val="003C405B"/>
    <w:rsid w:val="003F55C3"/>
    <w:rsid w:val="00454F53"/>
    <w:rsid w:val="004D2B11"/>
    <w:rsid w:val="004E65B4"/>
    <w:rsid w:val="004F6B92"/>
    <w:rsid w:val="005A20DC"/>
    <w:rsid w:val="005D10BC"/>
    <w:rsid w:val="005F2F9A"/>
    <w:rsid w:val="006C2FA4"/>
    <w:rsid w:val="007E593F"/>
    <w:rsid w:val="00883A2D"/>
    <w:rsid w:val="00A46415"/>
    <w:rsid w:val="00A70408"/>
    <w:rsid w:val="00A71CB0"/>
    <w:rsid w:val="00AB2BA3"/>
    <w:rsid w:val="00B82281"/>
    <w:rsid w:val="00B87107"/>
    <w:rsid w:val="00BB4EE7"/>
    <w:rsid w:val="00C16B1D"/>
    <w:rsid w:val="00C3292C"/>
    <w:rsid w:val="00C43318"/>
    <w:rsid w:val="00C671D1"/>
    <w:rsid w:val="00C822A7"/>
    <w:rsid w:val="00C90D7B"/>
    <w:rsid w:val="00D11F9D"/>
    <w:rsid w:val="00DA0836"/>
    <w:rsid w:val="00E50284"/>
    <w:rsid w:val="00E77D03"/>
    <w:rsid w:val="00EA44F7"/>
    <w:rsid w:val="00F161E9"/>
    <w:rsid w:val="00F45AF3"/>
    <w:rsid w:val="0542343F"/>
    <w:rsid w:val="07C84A57"/>
    <w:rsid w:val="0A6F38B0"/>
    <w:rsid w:val="0BE27694"/>
    <w:rsid w:val="11261C36"/>
    <w:rsid w:val="13520892"/>
    <w:rsid w:val="245D7B6D"/>
    <w:rsid w:val="27D019DA"/>
    <w:rsid w:val="30FA1876"/>
    <w:rsid w:val="341B3FDD"/>
    <w:rsid w:val="3A900B55"/>
    <w:rsid w:val="3B3A499D"/>
    <w:rsid w:val="3ECF7E9E"/>
    <w:rsid w:val="59EF3692"/>
    <w:rsid w:val="5B2D1660"/>
    <w:rsid w:val="5CD04602"/>
    <w:rsid w:val="620F042E"/>
    <w:rsid w:val="66A04723"/>
    <w:rsid w:val="66F45E44"/>
    <w:rsid w:val="6D400035"/>
    <w:rsid w:val="775776BE"/>
    <w:rsid w:val="7DA10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link w:val="12"/>
    <w:qFormat/>
    <w:uiPriority w:val="99"/>
    <w:pPr>
      <w:spacing w:beforeLines="100" w:afterLines="100"/>
      <w:outlineLvl w:val="2"/>
    </w:pPr>
    <w:rPr>
      <w:rFonts w:ascii="Calibri" w:hAnsi="Calibri" w:eastAsia="宋体" w:cs="Times New Roman"/>
      <w:b/>
      <w:bCs/>
      <w:sz w:val="30"/>
      <w:szCs w:val="30"/>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qFormat/>
    <w:uiPriority w:val="10"/>
    <w:pPr>
      <w:spacing w:before="240" w:after="60"/>
      <w:jc w:val="center"/>
      <w:outlineLvl w:val="0"/>
    </w:pPr>
    <w:rPr>
      <w:rFonts w:ascii="Cambria" w:hAnsi="Cambria" w:eastAsia="宋体" w:cs="Times New Roman"/>
      <w:b/>
      <w:bCs/>
      <w:szCs w:val="32"/>
    </w:rPr>
  </w:style>
  <w:style w:type="paragraph" w:styleId="3">
    <w:name w:val="Body Text Indent"/>
    <w:basedOn w:val="1"/>
    <w:next w:val="1"/>
    <w:qFormat/>
    <w:uiPriority w:val="0"/>
    <w:pPr>
      <w:spacing w:line="570" w:lineRule="exact"/>
      <w:ind w:firstLine="616" w:firstLineChars="200"/>
    </w:pPr>
    <w:rPr>
      <w:spacing w:val="-6"/>
    </w:rPr>
  </w:style>
  <w:style w:type="paragraph" w:styleId="5">
    <w:name w:val="Body Text"/>
    <w:basedOn w:val="1"/>
    <w:next w:val="1"/>
    <w:link w:val="14"/>
    <w:unhideWhenUsed/>
    <w:qFormat/>
    <w:uiPriority w:val="99"/>
    <w:rPr>
      <w:rFonts w:ascii="宋体" w:hAnsi="宋体" w:eastAsia="宋体" w:cs="Times New Roman"/>
      <w:sz w:val="30"/>
      <w:szCs w:val="30"/>
    </w:r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tabs>
        <w:tab w:val="center" w:pos="4153"/>
        <w:tab w:val="right" w:pos="8306"/>
      </w:tabs>
      <w:snapToGrid w:val="0"/>
      <w:jc w:val="center"/>
    </w:pPr>
    <w:rPr>
      <w:sz w:val="18"/>
      <w:szCs w:val="18"/>
    </w:rPr>
  </w:style>
  <w:style w:type="character" w:customStyle="1" w:styleId="10">
    <w:name w:val="页眉 字符"/>
    <w:basedOn w:val="9"/>
    <w:link w:val="7"/>
    <w:qFormat/>
    <w:uiPriority w:val="99"/>
    <w:rPr>
      <w:sz w:val="18"/>
      <w:szCs w:val="18"/>
    </w:rPr>
  </w:style>
  <w:style w:type="character" w:customStyle="1" w:styleId="11">
    <w:name w:val="页脚 字符"/>
    <w:basedOn w:val="9"/>
    <w:link w:val="6"/>
    <w:qFormat/>
    <w:uiPriority w:val="99"/>
    <w:rPr>
      <w:sz w:val="18"/>
      <w:szCs w:val="18"/>
    </w:rPr>
  </w:style>
  <w:style w:type="character" w:customStyle="1" w:styleId="12">
    <w:name w:val="标题 3 字符"/>
    <w:basedOn w:val="9"/>
    <w:link w:val="4"/>
    <w:qFormat/>
    <w:uiPriority w:val="99"/>
    <w:rPr>
      <w:rFonts w:ascii="Calibri" w:hAnsi="Calibri" w:eastAsia="宋体" w:cs="Times New Roman"/>
      <w:b/>
      <w:bCs/>
      <w:sz w:val="30"/>
      <w:szCs w:val="30"/>
    </w:rPr>
  </w:style>
  <w:style w:type="paragraph" w:customStyle="1" w:styleId="13">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4">
    <w:name w:val="正文文本 字符"/>
    <w:basedOn w:val="9"/>
    <w:link w:val="5"/>
    <w:qFormat/>
    <w:uiPriority w:val="99"/>
    <w:rPr>
      <w:rFonts w:ascii="宋体" w:hAnsi="宋体" w:eastAsia="宋体" w:cs="Times New Roman"/>
      <w:sz w:val="30"/>
      <w:szCs w:val="30"/>
    </w:rPr>
  </w:style>
  <w:style w:type="paragraph" w:customStyle="1" w:styleId="15">
    <w:name w:val="BodyText"/>
    <w:basedOn w:val="1"/>
    <w:next w:val="1"/>
    <w:qFormat/>
    <w:uiPriority w:val="0"/>
    <w:pPr>
      <w:spacing w:before="100" w:beforeAutospacing="1" w:after="120"/>
      <w:textAlignment w:val="baseline"/>
    </w:pPr>
    <w:rPr>
      <w:rFonts w:ascii="Calibri" w:hAnsi="Calibri" w:eastAsia="宋体" w:cs="Times New Roman"/>
      <w:szCs w:val="21"/>
    </w:rPr>
  </w:style>
  <w:style w:type="paragraph" w:customStyle="1" w:styleId="16">
    <w:name w:val="BodyText1I"/>
    <w:basedOn w:val="15"/>
    <w:qFormat/>
    <w:uiPriority w:val="0"/>
    <w:pPr>
      <w:ind w:firstLine="420" w:firstLineChars="100"/>
    </w:pPr>
  </w:style>
  <w:style w:type="paragraph" w:customStyle="1" w:styleId="17">
    <w:name w:val="标题2"/>
    <w:basedOn w:val="1"/>
    <w:next w:val="1"/>
    <w:qFormat/>
    <w:uiPriority w:val="0"/>
    <w:pPr>
      <w:overflowPunct w:val="0"/>
      <w:snapToGrid w:val="0"/>
      <w:spacing w:line="590" w:lineRule="exact"/>
      <w:jc w:val="center"/>
    </w:pPr>
    <w:rPr>
      <w:rFonts w:ascii="方正楷体_GBK" w:hAnsi="Book Antiqua" w:eastAsia="方正楷体_GBK" w:cs="Times New Roman"/>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17614</Words>
  <Characters>17891</Characters>
  <Lines>142</Lines>
  <Paragraphs>40</Paragraphs>
  <TotalTime>7</TotalTime>
  <ScaleCrop>false</ScaleCrop>
  <LinksUpToDate>false</LinksUpToDate>
  <CharactersWithSpaces>17967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2023-07-21T09:45:00Z</dcterms:created>
  <dc:creator>gong jucheng</dc:creator>
  <cp:lastModifiedBy>Administrator</cp:lastModifiedBy>
  <cp:lastPrinted>2023-08-23T02:59:00Z</cp:lastPrinted>
  <dcterms:modified xsi:type="dcterms:W3CDTF">2023-08-23T03:24:35Z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7829E67A7A244E70A144A7DDC033E15A_12</vt:lpwstr>
  </property>
</Properties>
</file>