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146A31">
      <w:pPr>
        <w:rPr>
          <w:rFonts w:eastAsia="仿宋_GB2312" w:cs="仿宋_GB2312"/>
          <w:sz w:val="36"/>
          <w:szCs w:val="36"/>
        </w:rPr>
      </w:pPr>
    </w:p>
    <w:p w14:paraId="2D3AC6AC">
      <w:pPr>
        <w:rPr>
          <w:rFonts w:eastAsia="仿宋_GB2312" w:cs="仿宋_GB2312"/>
          <w:sz w:val="36"/>
          <w:szCs w:val="36"/>
        </w:rPr>
      </w:pPr>
    </w:p>
    <w:p w14:paraId="42E48B67">
      <w:pPr>
        <w:rPr>
          <w:rFonts w:eastAsia="仿宋_GB2312" w:cs="仿宋_GB2312"/>
          <w:sz w:val="36"/>
          <w:szCs w:val="36"/>
        </w:rPr>
      </w:pPr>
    </w:p>
    <w:p w14:paraId="54C4BCDE">
      <w:pPr>
        <w:rPr>
          <w:rFonts w:eastAsia="仿宋_GB2312" w:cs="仿宋_GB2312"/>
          <w:sz w:val="36"/>
          <w:szCs w:val="36"/>
        </w:rPr>
      </w:pPr>
    </w:p>
    <w:p w14:paraId="1A8E714F">
      <w:pPr>
        <w:rPr>
          <w:rFonts w:eastAsia="仿宋_GB2312" w:cs="仿宋_GB2312"/>
          <w:sz w:val="36"/>
          <w:szCs w:val="36"/>
        </w:rPr>
      </w:pPr>
    </w:p>
    <w:p w14:paraId="659DA350">
      <w:pPr>
        <w:adjustRightInd w:val="0"/>
        <w:snapToGrid w:val="0"/>
        <w:jc w:val="center"/>
        <w:outlineLvl w:val="0"/>
        <w:rPr>
          <w:rFonts w:eastAsia="方正小标宋_GBK"/>
          <w:bCs/>
          <w:sz w:val="72"/>
          <w:szCs w:val="72"/>
        </w:rPr>
      </w:pPr>
      <w:bookmarkStart w:id="0" w:name="_Toc22131"/>
      <w:r>
        <w:rPr>
          <w:rFonts w:hint="eastAsia" w:eastAsia="方正小标宋_GBK"/>
          <w:bCs/>
          <w:sz w:val="72"/>
          <w:szCs w:val="72"/>
        </w:rPr>
        <w:t>建设项目环境影响报告表</w:t>
      </w:r>
      <w:bookmarkEnd w:id="0"/>
    </w:p>
    <w:p w14:paraId="6B8F1611">
      <w:pPr>
        <w:adjustRightInd w:val="0"/>
        <w:snapToGrid w:val="0"/>
        <w:spacing w:before="192" w:beforeLines="80"/>
        <w:jc w:val="center"/>
        <w:rPr>
          <w:rFonts w:eastAsia="楷体_GB2312"/>
          <w:bCs/>
          <w:sz w:val="48"/>
          <w:szCs w:val="48"/>
        </w:rPr>
      </w:pPr>
      <w:r>
        <w:rPr>
          <w:rFonts w:hint="eastAsia" w:eastAsia="楷体_GB2312"/>
          <w:bCs/>
          <w:sz w:val="48"/>
          <w:szCs w:val="48"/>
        </w:rPr>
        <w:t>（污染影响类）</w:t>
      </w:r>
    </w:p>
    <w:p w14:paraId="6B4E7A7E">
      <w:pPr>
        <w:adjustRightInd w:val="0"/>
        <w:snapToGrid w:val="0"/>
        <w:spacing w:line="288" w:lineRule="auto"/>
        <w:jc w:val="center"/>
        <w:rPr>
          <w:rFonts w:eastAsia="华文仿宋" w:cs="华文仿宋"/>
          <w:kern w:val="44"/>
          <w:sz w:val="44"/>
          <w:szCs w:val="44"/>
        </w:rPr>
      </w:pPr>
    </w:p>
    <w:p w14:paraId="3CBE1867">
      <w:pPr>
        <w:jc w:val="center"/>
        <w:rPr>
          <w:rFonts w:eastAsia="仿宋"/>
          <w:sz w:val="52"/>
          <w:szCs w:val="52"/>
        </w:rPr>
      </w:pPr>
    </w:p>
    <w:p w14:paraId="63BAFF28">
      <w:pPr>
        <w:rPr>
          <w:rFonts w:eastAsia="仿宋"/>
          <w:sz w:val="44"/>
          <w:szCs w:val="44"/>
        </w:rPr>
      </w:pPr>
    </w:p>
    <w:p w14:paraId="17DB9646">
      <w:pPr>
        <w:rPr>
          <w:rFonts w:eastAsia="仿宋"/>
          <w:sz w:val="44"/>
          <w:szCs w:val="44"/>
        </w:rPr>
      </w:pPr>
    </w:p>
    <w:p w14:paraId="5E20AEC1">
      <w:pPr>
        <w:rPr>
          <w:rFonts w:eastAsia="仿宋"/>
          <w:sz w:val="44"/>
          <w:szCs w:val="44"/>
        </w:rPr>
      </w:pPr>
    </w:p>
    <w:p w14:paraId="26DD0C37">
      <w:pPr>
        <w:rPr>
          <w:rFonts w:eastAsia="仿宋"/>
          <w:sz w:val="44"/>
          <w:szCs w:val="44"/>
        </w:rPr>
      </w:pPr>
    </w:p>
    <w:p w14:paraId="092A5541">
      <w:pPr>
        <w:adjustRightInd w:val="0"/>
        <w:snapToGrid w:val="0"/>
        <w:spacing w:line="288" w:lineRule="auto"/>
        <w:ind w:left="1800" w:hanging="1800" w:hangingChars="500"/>
        <w:jc w:val="center"/>
        <w:rPr>
          <w:rFonts w:hint="eastAsia" w:ascii="仿宋" w:hAnsi="仿宋" w:eastAsia="仿宋" w:cs="仿宋"/>
          <w:sz w:val="36"/>
          <w:szCs w:val="36"/>
          <w:u w:val="single"/>
        </w:rPr>
      </w:pPr>
      <w:r>
        <w:rPr>
          <w:rFonts w:hint="eastAsia" w:eastAsia="仿宋_GB2312"/>
          <w:sz w:val="36"/>
          <w:szCs w:val="36"/>
        </w:rPr>
        <w:t>项目名称：</w:t>
      </w:r>
      <w:r>
        <w:rPr>
          <w:rFonts w:hint="eastAsia" w:ascii="仿宋" w:hAnsi="仿宋" w:eastAsia="仿宋" w:cs="仿宋"/>
          <w:sz w:val="36"/>
          <w:szCs w:val="36"/>
          <w:u w:val="single"/>
        </w:rPr>
        <w:t>年产4500万只中高档玻璃制品激光内雕、2000万中高档玻璃酒瓶直印深加工与800万中高档玻璃酒瓶热转印加工项目</w:t>
      </w:r>
    </w:p>
    <w:p w14:paraId="381545BA">
      <w:pPr>
        <w:adjustRightInd w:val="0"/>
        <w:snapToGrid w:val="0"/>
        <w:spacing w:line="288" w:lineRule="auto"/>
        <w:rPr>
          <w:rFonts w:eastAsia="仿宋_GB2312"/>
          <w:sz w:val="36"/>
          <w:szCs w:val="36"/>
          <w:u w:val="single"/>
        </w:rPr>
      </w:pPr>
      <w:r>
        <w:rPr>
          <w:rFonts w:hint="eastAsia" w:eastAsia="仿宋_GB2312"/>
          <w:sz w:val="36"/>
          <w:szCs w:val="36"/>
        </w:rPr>
        <w:t>建设单位（盖章）：</w:t>
      </w:r>
      <w:r>
        <w:rPr>
          <w:rFonts w:hint="eastAsia" w:eastAsia="仿宋_GB2312"/>
          <w:sz w:val="36"/>
          <w:szCs w:val="36"/>
          <w:u w:val="single"/>
        </w:rPr>
        <w:t xml:space="preserve"> </w:t>
      </w:r>
      <w:r>
        <w:rPr>
          <w:rFonts w:eastAsia="仿宋_GB2312"/>
          <w:sz w:val="36"/>
          <w:szCs w:val="36"/>
          <w:u w:val="single"/>
        </w:rPr>
        <w:t xml:space="preserve">   </w:t>
      </w:r>
      <w:r>
        <w:rPr>
          <w:rFonts w:hint="eastAsia" w:eastAsia="仿宋_GB2312"/>
          <w:sz w:val="36"/>
          <w:szCs w:val="36"/>
          <w:u w:val="single"/>
        </w:rPr>
        <w:t xml:space="preserve"> 江苏晶瑞玻璃有限公司      </w:t>
      </w:r>
    </w:p>
    <w:p w14:paraId="2320C35E">
      <w:pPr>
        <w:adjustRightInd w:val="0"/>
        <w:snapToGrid w:val="0"/>
        <w:spacing w:line="288" w:lineRule="auto"/>
        <w:rPr>
          <w:rFonts w:eastAsia="仿宋_GB2312"/>
          <w:sz w:val="36"/>
          <w:szCs w:val="36"/>
          <w:u w:val="single"/>
        </w:rPr>
      </w:pPr>
      <w:r>
        <w:rPr>
          <w:rFonts w:hint="eastAsia" w:eastAsia="仿宋_GB2312"/>
          <w:sz w:val="36"/>
          <w:szCs w:val="36"/>
        </w:rPr>
        <w:t>编制日期：</w:t>
      </w:r>
      <w:r>
        <w:rPr>
          <w:rFonts w:hint="eastAsia" w:eastAsia="仿宋_GB2312"/>
          <w:sz w:val="36"/>
          <w:szCs w:val="36"/>
          <w:u w:val="single"/>
        </w:rPr>
        <w:t xml:space="preserve"> </w:t>
      </w:r>
      <w:r>
        <w:rPr>
          <w:rFonts w:eastAsia="仿宋_GB2312"/>
          <w:sz w:val="36"/>
          <w:szCs w:val="36"/>
          <w:u w:val="single"/>
        </w:rPr>
        <w:t xml:space="preserve">            </w:t>
      </w:r>
      <w:r>
        <w:rPr>
          <w:rFonts w:hint="eastAsia" w:eastAsia="仿宋_GB2312"/>
          <w:sz w:val="36"/>
          <w:szCs w:val="36"/>
          <w:u w:val="single"/>
        </w:rPr>
        <w:t xml:space="preserve">  2025年</w:t>
      </w:r>
      <w:r>
        <w:rPr>
          <w:rFonts w:hint="eastAsia" w:eastAsia="仿宋_GB2312"/>
          <w:sz w:val="36"/>
          <w:szCs w:val="36"/>
          <w:u w:val="single"/>
          <w:lang w:val="en-US" w:eastAsia="zh-CN"/>
        </w:rPr>
        <w:t>11</w:t>
      </w:r>
      <w:r>
        <w:rPr>
          <w:rFonts w:hint="eastAsia" w:eastAsia="仿宋_GB2312"/>
          <w:sz w:val="36"/>
          <w:szCs w:val="36"/>
          <w:u w:val="single"/>
        </w:rPr>
        <w:t>月</w:t>
      </w:r>
      <w:r>
        <w:rPr>
          <w:rFonts w:eastAsia="仿宋_GB2312"/>
          <w:sz w:val="36"/>
          <w:szCs w:val="36"/>
          <w:u w:val="single"/>
        </w:rPr>
        <w:t xml:space="preserve">          </w:t>
      </w:r>
      <w:r>
        <w:rPr>
          <w:rFonts w:hint="eastAsia" w:eastAsia="仿宋_GB2312"/>
          <w:sz w:val="36"/>
          <w:szCs w:val="36"/>
          <w:u w:val="single"/>
        </w:rPr>
        <w:t xml:space="preserve"> </w:t>
      </w:r>
      <w:r>
        <w:rPr>
          <w:rFonts w:eastAsia="仿宋_GB2312"/>
          <w:sz w:val="36"/>
          <w:szCs w:val="36"/>
          <w:u w:val="single"/>
        </w:rPr>
        <w:t xml:space="preserve"> </w:t>
      </w:r>
      <w:r>
        <w:rPr>
          <w:rFonts w:hint="eastAsia" w:eastAsia="仿宋_GB2312"/>
          <w:sz w:val="36"/>
          <w:szCs w:val="36"/>
          <w:u w:val="single"/>
        </w:rPr>
        <w:t xml:space="preserve"> </w:t>
      </w:r>
    </w:p>
    <w:p w14:paraId="3AF3BBF9">
      <w:pPr>
        <w:adjustRightInd w:val="0"/>
        <w:snapToGrid w:val="0"/>
        <w:spacing w:line="288" w:lineRule="auto"/>
        <w:rPr>
          <w:rFonts w:eastAsia="仿宋_GB2312"/>
          <w:sz w:val="36"/>
          <w:szCs w:val="36"/>
          <w:u w:val="single"/>
        </w:rPr>
      </w:pPr>
      <w:bookmarkStart w:id="1" w:name="_Hlk57884087"/>
    </w:p>
    <w:p w14:paraId="337F1C98">
      <w:pPr>
        <w:adjustRightInd w:val="0"/>
        <w:snapToGrid w:val="0"/>
        <w:spacing w:line="288" w:lineRule="auto"/>
        <w:rPr>
          <w:rFonts w:eastAsia="仿宋_GB2312"/>
          <w:sz w:val="36"/>
          <w:szCs w:val="36"/>
        </w:rPr>
      </w:pPr>
    </w:p>
    <w:p w14:paraId="2E78C498">
      <w:pPr>
        <w:adjustRightInd w:val="0"/>
        <w:snapToGrid w:val="0"/>
        <w:spacing w:line="288" w:lineRule="auto"/>
        <w:rPr>
          <w:rFonts w:eastAsia="仿宋_GB2312"/>
          <w:sz w:val="36"/>
          <w:szCs w:val="36"/>
        </w:rPr>
      </w:pPr>
    </w:p>
    <w:p w14:paraId="6A1AB8BC">
      <w:pPr>
        <w:adjustRightInd w:val="0"/>
        <w:snapToGrid w:val="0"/>
        <w:spacing w:line="288" w:lineRule="auto"/>
        <w:rPr>
          <w:rFonts w:eastAsia="仿宋_GB2312"/>
          <w:sz w:val="36"/>
          <w:szCs w:val="36"/>
        </w:rPr>
      </w:pPr>
    </w:p>
    <w:p w14:paraId="1E2DE302">
      <w:pPr>
        <w:adjustRightInd w:val="0"/>
        <w:snapToGrid w:val="0"/>
        <w:spacing w:line="288" w:lineRule="auto"/>
        <w:rPr>
          <w:rFonts w:eastAsia="仿宋_GB2312"/>
          <w:sz w:val="36"/>
          <w:szCs w:val="36"/>
        </w:rPr>
      </w:pPr>
    </w:p>
    <w:bookmarkEnd w:id="1"/>
    <w:p w14:paraId="1DE0413C">
      <w:pPr>
        <w:adjustRightInd w:val="0"/>
        <w:snapToGrid w:val="0"/>
        <w:spacing w:line="288" w:lineRule="auto"/>
        <w:ind w:firstLine="720"/>
        <w:jc w:val="center"/>
        <w:rPr>
          <w:rFonts w:hint="eastAsia" w:eastAsia="楷体_GB2312"/>
          <w:sz w:val="36"/>
          <w:szCs w:val="36"/>
        </w:rPr>
        <w:sectPr>
          <w:footerReference r:id="rId3" w:type="default"/>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r>
        <w:rPr>
          <w:rFonts w:hint="eastAsia" w:eastAsia="楷体_GB2312"/>
          <w:sz w:val="36"/>
          <w:szCs w:val="36"/>
        </w:rPr>
        <w:t>中华人民共和国生态环境部制</w:t>
      </w:r>
    </w:p>
    <w:p w14:paraId="288B66B0">
      <w:pPr>
        <w:adjustRightInd w:val="0"/>
        <w:snapToGrid w:val="0"/>
        <w:spacing w:line="288" w:lineRule="auto"/>
        <w:jc w:val="both"/>
        <w:rPr>
          <w:rFonts w:hint="eastAsia" w:eastAsia="楷体_GB2312"/>
          <w:sz w:val="36"/>
          <w:szCs w:val="36"/>
        </w:rPr>
        <w:sectPr>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sdt>
      <w:sdtPr>
        <w:rPr>
          <w:rFonts w:ascii="宋体" w:hAnsi="宋体"/>
          <w:kern w:val="0"/>
          <w:sz w:val="20"/>
          <w:szCs w:val="20"/>
        </w:rPr>
        <w:id w:val="147457143"/>
        <w15:color w:val="DBDBDB"/>
        <w:docPartObj>
          <w:docPartGallery w:val="Table of Contents"/>
          <w:docPartUnique/>
        </w:docPartObj>
      </w:sdtPr>
      <w:sdtEndPr>
        <w:rPr>
          <w:rFonts w:ascii="宋体" w:hAnsi="宋体"/>
          <w:kern w:val="0"/>
          <w:sz w:val="20"/>
          <w:szCs w:val="20"/>
        </w:rPr>
      </w:sdtEndPr>
      <w:sdtContent>
        <w:p w14:paraId="4FD5B03F">
          <w:pPr>
            <w:jc w:val="center"/>
          </w:pPr>
          <w:r>
            <w:rPr>
              <w:rFonts w:hint="eastAsia" w:ascii="黑体" w:hAnsi="黑体" w:eastAsia="黑体" w:cs="黑体"/>
              <w:sz w:val="36"/>
              <w:szCs w:val="36"/>
            </w:rPr>
            <w:t>目录</w:t>
          </w:r>
        </w:p>
        <w:p w14:paraId="04DD6D43">
          <w:pPr>
            <w:pStyle w:val="96"/>
            <w:tabs>
              <w:tab w:val="right" w:leader="dot" w:pos="8844"/>
            </w:tabs>
            <w:spacing w:line="336" w:lineRule="auto"/>
            <w:jc w:val="both"/>
            <w:rPr>
              <w:rFonts w:eastAsia="黑体"/>
              <w:sz w:val="24"/>
              <w:szCs w:val="24"/>
            </w:rPr>
          </w:pPr>
          <w:r>
            <w:rPr>
              <w:rFonts w:eastAsia="黑体"/>
              <w:sz w:val="24"/>
              <w:szCs w:val="24"/>
            </w:rPr>
            <w:fldChar w:fldCharType="begin"/>
          </w:r>
          <w:r>
            <w:rPr>
              <w:rFonts w:eastAsia="黑体"/>
              <w:sz w:val="24"/>
              <w:szCs w:val="24"/>
            </w:rPr>
            <w:instrText xml:space="preserve">TOC \o "1-1" \h \u </w:instrText>
          </w:r>
          <w:r>
            <w:rPr>
              <w:rFonts w:eastAsia="黑体"/>
              <w:sz w:val="24"/>
              <w:szCs w:val="24"/>
            </w:rPr>
            <w:fldChar w:fldCharType="separate"/>
          </w:r>
          <w:r>
            <w:fldChar w:fldCharType="begin"/>
          </w:r>
          <w:r>
            <w:instrText xml:space="preserve"> HYPERLINK \l "_Toc11984" </w:instrText>
          </w:r>
          <w:r>
            <w:fldChar w:fldCharType="separate"/>
          </w:r>
          <w:r>
            <w:rPr>
              <w:rFonts w:eastAsia="黑体"/>
              <w:snapToGrid w:val="0"/>
              <w:sz w:val="24"/>
              <w:szCs w:val="40"/>
            </w:rPr>
            <w:t>一、建设项目基本情况</w:t>
          </w:r>
          <w:r>
            <w:rPr>
              <w:rFonts w:eastAsia="黑体"/>
              <w:sz w:val="24"/>
              <w:szCs w:val="24"/>
            </w:rPr>
            <w:tab/>
          </w:r>
          <w:r>
            <w:rPr>
              <w:rFonts w:eastAsia="黑体"/>
              <w:sz w:val="24"/>
              <w:szCs w:val="24"/>
            </w:rPr>
            <w:fldChar w:fldCharType="begin"/>
          </w:r>
          <w:r>
            <w:rPr>
              <w:rFonts w:eastAsia="黑体"/>
              <w:sz w:val="24"/>
              <w:szCs w:val="24"/>
            </w:rPr>
            <w:instrText xml:space="preserve"> PAGEREF _Toc11984 \h </w:instrText>
          </w:r>
          <w:r>
            <w:rPr>
              <w:rFonts w:eastAsia="黑体"/>
              <w:sz w:val="24"/>
              <w:szCs w:val="24"/>
            </w:rPr>
            <w:fldChar w:fldCharType="separate"/>
          </w:r>
          <w:r>
            <w:rPr>
              <w:rFonts w:eastAsia="黑体"/>
              <w:sz w:val="24"/>
              <w:szCs w:val="24"/>
            </w:rPr>
            <w:t>1</w:t>
          </w:r>
          <w:r>
            <w:rPr>
              <w:rFonts w:eastAsia="黑体"/>
              <w:sz w:val="24"/>
              <w:szCs w:val="24"/>
            </w:rPr>
            <w:fldChar w:fldCharType="end"/>
          </w:r>
          <w:r>
            <w:rPr>
              <w:rFonts w:eastAsia="黑体"/>
              <w:sz w:val="24"/>
              <w:szCs w:val="24"/>
            </w:rPr>
            <w:fldChar w:fldCharType="end"/>
          </w:r>
        </w:p>
        <w:p w14:paraId="3DB54C53">
          <w:pPr>
            <w:pStyle w:val="96"/>
            <w:tabs>
              <w:tab w:val="right" w:leader="dot" w:pos="8844"/>
            </w:tabs>
            <w:spacing w:line="336" w:lineRule="auto"/>
            <w:jc w:val="both"/>
            <w:rPr>
              <w:rFonts w:eastAsia="黑体"/>
              <w:sz w:val="24"/>
              <w:szCs w:val="24"/>
            </w:rPr>
          </w:pPr>
          <w:r>
            <w:fldChar w:fldCharType="begin"/>
          </w:r>
          <w:r>
            <w:instrText xml:space="preserve"> HYPERLINK \l "_Toc21976" </w:instrText>
          </w:r>
          <w:r>
            <w:fldChar w:fldCharType="separate"/>
          </w:r>
          <w:r>
            <w:rPr>
              <w:rFonts w:eastAsia="黑体"/>
              <w:snapToGrid w:val="0"/>
              <w:sz w:val="24"/>
              <w:szCs w:val="40"/>
            </w:rPr>
            <w:t>二、建设项目工程分析</w:t>
          </w:r>
          <w:r>
            <w:rPr>
              <w:rFonts w:eastAsia="黑体"/>
              <w:sz w:val="24"/>
              <w:szCs w:val="24"/>
            </w:rPr>
            <w:tab/>
          </w:r>
          <w:r>
            <w:rPr>
              <w:rFonts w:eastAsia="黑体"/>
              <w:sz w:val="24"/>
              <w:szCs w:val="24"/>
            </w:rPr>
            <w:fldChar w:fldCharType="begin"/>
          </w:r>
          <w:r>
            <w:rPr>
              <w:rFonts w:eastAsia="黑体"/>
              <w:sz w:val="24"/>
              <w:szCs w:val="24"/>
            </w:rPr>
            <w:instrText xml:space="preserve"> PAGEREF _Toc21976 \h </w:instrText>
          </w:r>
          <w:r>
            <w:rPr>
              <w:rFonts w:eastAsia="黑体"/>
              <w:sz w:val="24"/>
              <w:szCs w:val="24"/>
            </w:rPr>
            <w:fldChar w:fldCharType="separate"/>
          </w:r>
          <w:r>
            <w:rPr>
              <w:rFonts w:eastAsia="黑体"/>
              <w:sz w:val="24"/>
              <w:szCs w:val="24"/>
            </w:rPr>
            <w:t>10</w:t>
          </w:r>
          <w:r>
            <w:rPr>
              <w:rFonts w:eastAsia="黑体"/>
              <w:sz w:val="24"/>
              <w:szCs w:val="24"/>
            </w:rPr>
            <w:fldChar w:fldCharType="end"/>
          </w:r>
          <w:r>
            <w:rPr>
              <w:rFonts w:eastAsia="黑体"/>
              <w:sz w:val="24"/>
              <w:szCs w:val="24"/>
            </w:rPr>
            <w:fldChar w:fldCharType="end"/>
          </w:r>
        </w:p>
        <w:p w14:paraId="6F3DF3B3">
          <w:pPr>
            <w:pStyle w:val="96"/>
            <w:tabs>
              <w:tab w:val="right" w:leader="dot" w:pos="8844"/>
            </w:tabs>
            <w:spacing w:line="336" w:lineRule="auto"/>
            <w:jc w:val="both"/>
            <w:rPr>
              <w:rFonts w:eastAsia="黑体"/>
              <w:sz w:val="24"/>
              <w:szCs w:val="24"/>
            </w:rPr>
          </w:pPr>
          <w:r>
            <w:fldChar w:fldCharType="begin"/>
          </w:r>
          <w:r>
            <w:instrText xml:space="preserve"> HYPERLINK \l "_Toc25794" </w:instrText>
          </w:r>
          <w:r>
            <w:fldChar w:fldCharType="separate"/>
          </w:r>
          <w:r>
            <w:rPr>
              <w:rFonts w:eastAsia="黑体"/>
              <w:snapToGrid w:val="0"/>
              <w:sz w:val="24"/>
              <w:szCs w:val="40"/>
            </w:rPr>
            <w:t>三、区域环境质量现状、环境保护目标及评价标准</w:t>
          </w:r>
          <w:r>
            <w:rPr>
              <w:rFonts w:eastAsia="黑体"/>
              <w:sz w:val="24"/>
              <w:szCs w:val="24"/>
            </w:rPr>
            <w:tab/>
          </w:r>
          <w:r>
            <w:rPr>
              <w:rFonts w:eastAsia="黑体"/>
              <w:sz w:val="24"/>
              <w:szCs w:val="24"/>
            </w:rPr>
            <w:fldChar w:fldCharType="begin"/>
          </w:r>
          <w:r>
            <w:rPr>
              <w:rFonts w:eastAsia="黑体"/>
              <w:sz w:val="24"/>
              <w:szCs w:val="24"/>
            </w:rPr>
            <w:instrText xml:space="preserve"> PAGEREF _Toc25794 \h </w:instrText>
          </w:r>
          <w:r>
            <w:rPr>
              <w:rFonts w:eastAsia="黑体"/>
              <w:sz w:val="24"/>
              <w:szCs w:val="24"/>
            </w:rPr>
            <w:fldChar w:fldCharType="separate"/>
          </w:r>
          <w:r>
            <w:rPr>
              <w:rFonts w:eastAsia="黑体"/>
              <w:sz w:val="24"/>
              <w:szCs w:val="24"/>
            </w:rPr>
            <w:t>32</w:t>
          </w:r>
          <w:r>
            <w:rPr>
              <w:rFonts w:eastAsia="黑体"/>
              <w:sz w:val="24"/>
              <w:szCs w:val="24"/>
            </w:rPr>
            <w:fldChar w:fldCharType="end"/>
          </w:r>
          <w:r>
            <w:rPr>
              <w:rFonts w:eastAsia="黑体"/>
              <w:sz w:val="24"/>
              <w:szCs w:val="24"/>
            </w:rPr>
            <w:fldChar w:fldCharType="end"/>
          </w:r>
        </w:p>
        <w:p w14:paraId="36BB1B48">
          <w:pPr>
            <w:pStyle w:val="96"/>
            <w:tabs>
              <w:tab w:val="right" w:leader="dot" w:pos="8844"/>
            </w:tabs>
            <w:spacing w:line="336" w:lineRule="auto"/>
            <w:jc w:val="both"/>
            <w:rPr>
              <w:rFonts w:eastAsia="黑体"/>
              <w:sz w:val="24"/>
              <w:szCs w:val="24"/>
            </w:rPr>
          </w:pPr>
          <w:r>
            <w:fldChar w:fldCharType="begin"/>
          </w:r>
          <w:r>
            <w:instrText xml:space="preserve"> HYPERLINK \l "_Toc23988" </w:instrText>
          </w:r>
          <w:r>
            <w:fldChar w:fldCharType="separate"/>
          </w:r>
          <w:r>
            <w:rPr>
              <w:rFonts w:eastAsia="黑体"/>
              <w:snapToGrid w:val="0"/>
              <w:sz w:val="24"/>
              <w:szCs w:val="40"/>
            </w:rPr>
            <w:t>四、主要环境影响和保护措施</w:t>
          </w:r>
          <w:r>
            <w:rPr>
              <w:rFonts w:eastAsia="黑体"/>
              <w:sz w:val="24"/>
              <w:szCs w:val="24"/>
            </w:rPr>
            <w:tab/>
          </w:r>
          <w:r>
            <w:rPr>
              <w:rFonts w:eastAsia="黑体"/>
              <w:sz w:val="24"/>
              <w:szCs w:val="24"/>
            </w:rPr>
            <w:fldChar w:fldCharType="begin"/>
          </w:r>
          <w:r>
            <w:rPr>
              <w:rFonts w:eastAsia="黑体"/>
              <w:sz w:val="24"/>
              <w:szCs w:val="24"/>
            </w:rPr>
            <w:instrText xml:space="preserve"> PAGEREF _Toc23988 \h </w:instrText>
          </w:r>
          <w:r>
            <w:rPr>
              <w:rFonts w:eastAsia="黑体"/>
              <w:sz w:val="24"/>
              <w:szCs w:val="24"/>
            </w:rPr>
            <w:fldChar w:fldCharType="separate"/>
          </w:r>
          <w:r>
            <w:rPr>
              <w:rFonts w:eastAsia="黑体"/>
              <w:sz w:val="24"/>
              <w:szCs w:val="24"/>
            </w:rPr>
            <w:t>37</w:t>
          </w:r>
          <w:r>
            <w:rPr>
              <w:rFonts w:eastAsia="黑体"/>
              <w:sz w:val="24"/>
              <w:szCs w:val="24"/>
            </w:rPr>
            <w:fldChar w:fldCharType="end"/>
          </w:r>
          <w:r>
            <w:rPr>
              <w:rFonts w:eastAsia="黑体"/>
              <w:sz w:val="24"/>
              <w:szCs w:val="24"/>
            </w:rPr>
            <w:fldChar w:fldCharType="end"/>
          </w:r>
        </w:p>
        <w:p w14:paraId="4312595F">
          <w:pPr>
            <w:pStyle w:val="96"/>
            <w:tabs>
              <w:tab w:val="right" w:leader="dot" w:pos="8844"/>
            </w:tabs>
            <w:spacing w:line="336" w:lineRule="auto"/>
            <w:jc w:val="both"/>
            <w:rPr>
              <w:rFonts w:eastAsia="黑体"/>
              <w:sz w:val="24"/>
              <w:szCs w:val="24"/>
            </w:rPr>
          </w:pPr>
          <w:r>
            <w:fldChar w:fldCharType="begin"/>
          </w:r>
          <w:r>
            <w:instrText xml:space="preserve"> HYPERLINK \l "_Toc9173" </w:instrText>
          </w:r>
          <w:r>
            <w:fldChar w:fldCharType="separate"/>
          </w:r>
          <w:r>
            <w:rPr>
              <w:rFonts w:eastAsia="黑体"/>
              <w:snapToGrid w:val="0"/>
              <w:sz w:val="24"/>
              <w:szCs w:val="40"/>
            </w:rPr>
            <w:t>五、环境保护措施监督检查清单</w:t>
          </w:r>
          <w:r>
            <w:rPr>
              <w:rFonts w:eastAsia="黑体"/>
              <w:sz w:val="24"/>
              <w:szCs w:val="24"/>
            </w:rPr>
            <w:tab/>
          </w:r>
          <w:r>
            <w:rPr>
              <w:rFonts w:eastAsia="黑体"/>
              <w:sz w:val="24"/>
              <w:szCs w:val="24"/>
            </w:rPr>
            <w:fldChar w:fldCharType="begin"/>
          </w:r>
          <w:r>
            <w:rPr>
              <w:rFonts w:eastAsia="黑体"/>
              <w:sz w:val="24"/>
              <w:szCs w:val="24"/>
            </w:rPr>
            <w:instrText xml:space="preserve"> PAGEREF _Toc9173 \h </w:instrText>
          </w:r>
          <w:r>
            <w:rPr>
              <w:rFonts w:eastAsia="黑体"/>
              <w:sz w:val="24"/>
              <w:szCs w:val="24"/>
            </w:rPr>
            <w:fldChar w:fldCharType="separate"/>
          </w:r>
          <w:r>
            <w:rPr>
              <w:rFonts w:eastAsia="黑体"/>
              <w:sz w:val="24"/>
              <w:szCs w:val="24"/>
            </w:rPr>
            <w:t>70</w:t>
          </w:r>
          <w:r>
            <w:rPr>
              <w:rFonts w:eastAsia="黑体"/>
              <w:sz w:val="24"/>
              <w:szCs w:val="24"/>
            </w:rPr>
            <w:fldChar w:fldCharType="end"/>
          </w:r>
          <w:r>
            <w:rPr>
              <w:rFonts w:eastAsia="黑体"/>
              <w:sz w:val="24"/>
              <w:szCs w:val="24"/>
            </w:rPr>
            <w:fldChar w:fldCharType="end"/>
          </w:r>
        </w:p>
        <w:p w14:paraId="31FB5E8A">
          <w:pPr>
            <w:pStyle w:val="96"/>
            <w:tabs>
              <w:tab w:val="right" w:leader="dot" w:pos="8844"/>
            </w:tabs>
            <w:spacing w:line="336" w:lineRule="auto"/>
            <w:jc w:val="both"/>
            <w:rPr>
              <w:rFonts w:eastAsia="黑体"/>
              <w:sz w:val="24"/>
              <w:szCs w:val="24"/>
            </w:rPr>
          </w:pPr>
          <w:r>
            <w:fldChar w:fldCharType="begin"/>
          </w:r>
          <w:r>
            <w:instrText xml:space="preserve"> HYPERLINK \l "_Toc4414" </w:instrText>
          </w:r>
          <w:r>
            <w:fldChar w:fldCharType="separate"/>
          </w:r>
          <w:r>
            <w:rPr>
              <w:rFonts w:eastAsia="黑体"/>
              <w:snapToGrid w:val="0"/>
              <w:sz w:val="24"/>
              <w:szCs w:val="40"/>
            </w:rPr>
            <w:t>六、结论</w:t>
          </w:r>
          <w:r>
            <w:rPr>
              <w:rFonts w:eastAsia="黑体"/>
              <w:sz w:val="24"/>
              <w:szCs w:val="24"/>
            </w:rPr>
            <w:tab/>
          </w:r>
          <w:r>
            <w:rPr>
              <w:rFonts w:eastAsia="黑体"/>
              <w:sz w:val="24"/>
              <w:szCs w:val="24"/>
            </w:rPr>
            <w:fldChar w:fldCharType="begin"/>
          </w:r>
          <w:r>
            <w:rPr>
              <w:rFonts w:eastAsia="黑体"/>
              <w:sz w:val="24"/>
              <w:szCs w:val="24"/>
            </w:rPr>
            <w:instrText xml:space="preserve"> PAGEREF _Toc4414 \h </w:instrText>
          </w:r>
          <w:r>
            <w:rPr>
              <w:rFonts w:eastAsia="黑体"/>
              <w:sz w:val="24"/>
              <w:szCs w:val="24"/>
            </w:rPr>
            <w:fldChar w:fldCharType="separate"/>
          </w:r>
          <w:r>
            <w:rPr>
              <w:rFonts w:eastAsia="黑体"/>
              <w:sz w:val="24"/>
              <w:szCs w:val="24"/>
            </w:rPr>
            <w:t>72</w:t>
          </w:r>
          <w:r>
            <w:rPr>
              <w:rFonts w:eastAsia="黑体"/>
              <w:sz w:val="24"/>
              <w:szCs w:val="24"/>
            </w:rPr>
            <w:fldChar w:fldCharType="end"/>
          </w:r>
          <w:r>
            <w:rPr>
              <w:rFonts w:eastAsia="黑体"/>
              <w:sz w:val="24"/>
              <w:szCs w:val="24"/>
            </w:rPr>
            <w:fldChar w:fldCharType="end"/>
          </w:r>
        </w:p>
        <w:p w14:paraId="1366A37C">
          <w:pPr>
            <w:pStyle w:val="96"/>
            <w:tabs>
              <w:tab w:val="right" w:leader="dot" w:pos="8844"/>
            </w:tabs>
            <w:spacing w:line="336" w:lineRule="auto"/>
            <w:jc w:val="both"/>
          </w:pPr>
          <w:r>
            <w:fldChar w:fldCharType="begin"/>
          </w:r>
          <w:r>
            <w:instrText xml:space="preserve"> HYPERLINK \l "_Toc13121" </w:instrText>
          </w:r>
          <w:r>
            <w:fldChar w:fldCharType="separate"/>
          </w:r>
          <w:r>
            <w:rPr>
              <w:rFonts w:eastAsia="黑体"/>
              <w:snapToGrid w:val="0"/>
              <w:sz w:val="24"/>
              <w:szCs w:val="44"/>
            </w:rPr>
            <w:t>附表</w:t>
          </w:r>
          <w:r>
            <w:rPr>
              <w:rFonts w:eastAsia="黑体"/>
              <w:sz w:val="24"/>
              <w:szCs w:val="24"/>
            </w:rPr>
            <w:tab/>
          </w:r>
          <w:r>
            <w:rPr>
              <w:rFonts w:eastAsia="黑体"/>
              <w:sz w:val="24"/>
              <w:szCs w:val="24"/>
            </w:rPr>
            <w:fldChar w:fldCharType="begin"/>
          </w:r>
          <w:r>
            <w:rPr>
              <w:rFonts w:eastAsia="黑体"/>
              <w:sz w:val="24"/>
              <w:szCs w:val="24"/>
            </w:rPr>
            <w:instrText xml:space="preserve"> PAGEREF _Toc13121 \h </w:instrText>
          </w:r>
          <w:r>
            <w:rPr>
              <w:rFonts w:eastAsia="黑体"/>
              <w:sz w:val="24"/>
              <w:szCs w:val="24"/>
            </w:rPr>
            <w:fldChar w:fldCharType="separate"/>
          </w:r>
          <w:r>
            <w:rPr>
              <w:rFonts w:eastAsia="黑体"/>
              <w:sz w:val="24"/>
              <w:szCs w:val="24"/>
            </w:rPr>
            <w:t>73</w:t>
          </w:r>
          <w:r>
            <w:rPr>
              <w:rFonts w:eastAsia="黑体"/>
              <w:sz w:val="24"/>
              <w:szCs w:val="24"/>
            </w:rPr>
            <w:fldChar w:fldCharType="end"/>
          </w:r>
          <w:r>
            <w:rPr>
              <w:rFonts w:eastAsia="黑体"/>
              <w:sz w:val="24"/>
              <w:szCs w:val="24"/>
            </w:rPr>
            <w:fldChar w:fldCharType="end"/>
          </w:r>
          <w:r>
            <w:rPr>
              <w:rFonts w:eastAsia="黑体"/>
              <w:sz w:val="24"/>
              <w:szCs w:val="24"/>
            </w:rPr>
            <w:fldChar w:fldCharType="end"/>
          </w:r>
        </w:p>
      </w:sdtContent>
    </w:sdt>
    <w:p w14:paraId="724B21E3">
      <w:pPr>
        <w:spacing w:line="360" w:lineRule="auto"/>
        <w:rPr>
          <w:rFonts w:hint="eastAsia"/>
          <w:b/>
          <w:bCs/>
          <w:color w:val="000000"/>
          <w:szCs w:val="21"/>
        </w:rPr>
      </w:pPr>
    </w:p>
    <w:p w14:paraId="385AE0BA">
      <w:pPr>
        <w:spacing w:line="360" w:lineRule="auto"/>
        <w:rPr>
          <w:rFonts w:hint="eastAsia"/>
          <w:b/>
          <w:bCs/>
          <w:color w:val="000000"/>
          <w:szCs w:val="21"/>
        </w:rPr>
      </w:pPr>
    </w:p>
    <w:p w14:paraId="639A8D3C">
      <w:pPr>
        <w:spacing w:line="360" w:lineRule="auto"/>
        <w:rPr>
          <w:rFonts w:hint="eastAsia" w:ascii="黑体" w:hAnsi="黑体" w:eastAsia="黑体" w:cs="黑体"/>
          <w:b/>
          <w:bCs/>
          <w:color w:val="000000"/>
          <w:sz w:val="24"/>
          <w:szCs w:val="24"/>
        </w:rPr>
      </w:pPr>
      <w:r>
        <w:rPr>
          <w:rFonts w:hint="eastAsia" w:ascii="黑体" w:hAnsi="黑体" w:eastAsia="黑体" w:cs="黑体"/>
          <w:b/>
          <w:bCs/>
          <w:color w:val="000000"/>
          <w:sz w:val="24"/>
          <w:szCs w:val="24"/>
        </w:rPr>
        <w:t>附件：</w:t>
      </w:r>
    </w:p>
    <w:p w14:paraId="3B2911AF">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eastAsia" w:ascii="黑体" w:hAnsi="黑体" w:eastAsia="黑体" w:cs="黑体"/>
          <w:color w:val="000000"/>
          <w:sz w:val="24"/>
          <w:szCs w:val="24"/>
        </w:rPr>
      </w:pPr>
      <w:r>
        <w:rPr>
          <w:rFonts w:hint="default" w:ascii="Times New Roman" w:hAnsi="Times New Roman" w:eastAsia="黑体" w:cs="Times New Roman"/>
          <w:color w:val="000000"/>
          <w:sz w:val="24"/>
          <w:szCs w:val="24"/>
        </w:rPr>
        <w:t>附件1 备案证</w:t>
      </w:r>
    </w:p>
    <w:p w14:paraId="31984D14">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default" w:ascii="Times New Roman" w:hAnsi="Times New Roman" w:eastAsia="黑体" w:cs="Times New Roman"/>
          <w:color w:val="000000"/>
          <w:sz w:val="24"/>
          <w:szCs w:val="24"/>
        </w:rPr>
      </w:pPr>
      <w:r>
        <w:rPr>
          <w:rFonts w:hint="eastAsia" w:ascii="Times New Roman" w:hAnsi="Times New Roman" w:eastAsia="黑体" w:cs="Times New Roman"/>
          <w:color w:val="000000"/>
          <w:sz w:val="24"/>
          <w:szCs w:val="24"/>
        </w:rPr>
        <w:t>附件2 委托书</w:t>
      </w:r>
    </w:p>
    <w:p w14:paraId="3AD1BE53">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default" w:ascii="Times New Roman" w:hAnsi="Times New Roman" w:eastAsia="黑体" w:cs="Times New Roman"/>
          <w:color w:val="000000"/>
          <w:sz w:val="24"/>
          <w:szCs w:val="24"/>
        </w:rPr>
      </w:pPr>
      <w:r>
        <w:rPr>
          <w:rFonts w:hint="eastAsia" w:ascii="Times New Roman" w:hAnsi="Times New Roman" w:eastAsia="黑体" w:cs="Times New Roman"/>
          <w:color w:val="000000"/>
          <w:sz w:val="24"/>
          <w:szCs w:val="24"/>
        </w:rPr>
        <w:t>附件3 环评合同</w:t>
      </w:r>
    </w:p>
    <w:p w14:paraId="1B7F49A0">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default" w:ascii="Times New Roman" w:hAnsi="Times New Roman" w:eastAsia="黑体" w:cs="Times New Roman"/>
          <w:color w:val="000000"/>
          <w:sz w:val="24"/>
          <w:szCs w:val="24"/>
        </w:rPr>
      </w:pPr>
      <w:r>
        <w:rPr>
          <w:rFonts w:hint="eastAsia" w:ascii="Times New Roman" w:hAnsi="Times New Roman" w:eastAsia="黑体" w:cs="Times New Roman"/>
          <w:color w:val="000000"/>
          <w:sz w:val="24"/>
          <w:szCs w:val="24"/>
        </w:rPr>
        <w:t>附件4 信用承诺书</w:t>
      </w:r>
    </w:p>
    <w:p w14:paraId="7D383FEF">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default" w:ascii="Times New Roman" w:hAnsi="Times New Roman" w:eastAsia="黑体" w:cs="Times New Roman"/>
          <w:color w:val="000000"/>
          <w:sz w:val="24"/>
          <w:szCs w:val="24"/>
        </w:rPr>
      </w:pPr>
      <w:bookmarkStart w:id="2" w:name="_Toc32284"/>
      <w:r>
        <w:rPr>
          <w:rFonts w:hint="eastAsia" w:ascii="Times New Roman" w:hAnsi="Times New Roman" w:eastAsia="黑体" w:cs="Times New Roman"/>
          <w:color w:val="000000"/>
          <w:sz w:val="24"/>
          <w:szCs w:val="24"/>
        </w:rPr>
        <w:t>附件5 企业承诺书</w:t>
      </w:r>
    </w:p>
    <w:bookmarkEnd w:id="2"/>
    <w:p w14:paraId="71F9B898">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default" w:ascii="Times New Roman" w:hAnsi="Times New Roman" w:eastAsia="黑体" w:cs="Times New Roman"/>
          <w:color w:val="000000"/>
          <w:sz w:val="24"/>
          <w:szCs w:val="24"/>
        </w:rPr>
      </w:pPr>
      <w:r>
        <w:rPr>
          <w:rFonts w:hint="eastAsia" w:ascii="Times New Roman" w:hAnsi="Times New Roman" w:eastAsia="黑体" w:cs="Times New Roman"/>
          <w:color w:val="000000"/>
          <w:sz w:val="24"/>
          <w:szCs w:val="24"/>
        </w:rPr>
        <w:t>附件6 危废处置合同</w:t>
      </w:r>
    </w:p>
    <w:p w14:paraId="142B9A54">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default" w:ascii="Times New Roman" w:hAnsi="Times New Roman" w:eastAsia="黑体" w:cs="Times New Roman"/>
          <w:color w:val="000000"/>
          <w:sz w:val="24"/>
          <w:szCs w:val="24"/>
        </w:rPr>
      </w:pPr>
      <w:r>
        <w:rPr>
          <w:rFonts w:hint="eastAsia" w:ascii="Times New Roman" w:hAnsi="Times New Roman" w:eastAsia="黑体" w:cs="Times New Roman"/>
          <w:color w:val="000000"/>
          <w:sz w:val="24"/>
          <w:szCs w:val="24"/>
        </w:rPr>
        <w:t>附件7 土地不动产权证</w:t>
      </w:r>
    </w:p>
    <w:p w14:paraId="5398D4D0">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default" w:ascii="Times New Roman" w:hAnsi="Times New Roman" w:eastAsia="黑体" w:cs="Times New Roman"/>
          <w:color w:val="000000"/>
          <w:sz w:val="24"/>
          <w:szCs w:val="24"/>
        </w:rPr>
      </w:pPr>
      <w:r>
        <w:rPr>
          <w:rFonts w:hint="eastAsia" w:ascii="Times New Roman" w:hAnsi="Times New Roman" w:eastAsia="黑体" w:cs="Times New Roman"/>
          <w:color w:val="000000"/>
          <w:sz w:val="24"/>
          <w:szCs w:val="24"/>
        </w:rPr>
        <w:t>附件</w:t>
      </w:r>
      <w:r>
        <w:rPr>
          <w:rFonts w:hint="eastAsia" w:ascii="Times New Roman" w:hAnsi="Times New Roman" w:eastAsia="黑体" w:cs="Times New Roman"/>
          <w:color w:val="000000"/>
          <w:sz w:val="24"/>
          <w:szCs w:val="24"/>
          <w:lang w:val="en-US" w:eastAsia="zh-CN"/>
        </w:rPr>
        <w:t>8</w:t>
      </w:r>
      <w:r>
        <w:rPr>
          <w:rFonts w:hint="eastAsia" w:ascii="Times New Roman" w:hAnsi="Times New Roman" w:eastAsia="黑体" w:cs="Times New Roman"/>
          <w:color w:val="000000"/>
          <w:sz w:val="24"/>
          <w:szCs w:val="24"/>
        </w:rPr>
        <w:t xml:space="preserve"> 建设单位营业执照和法人身份证</w:t>
      </w:r>
    </w:p>
    <w:p w14:paraId="292904FC">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eastAsia" w:ascii="Times New Roman" w:hAnsi="Times New Roman" w:eastAsia="黑体" w:cs="Times New Roman"/>
          <w:color w:val="000000"/>
          <w:sz w:val="24"/>
          <w:szCs w:val="24"/>
        </w:rPr>
      </w:pPr>
      <w:r>
        <w:rPr>
          <w:rFonts w:hint="eastAsia" w:ascii="Times New Roman" w:hAnsi="Times New Roman" w:eastAsia="黑体" w:cs="Times New Roman"/>
          <w:color w:val="000000"/>
          <w:sz w:val="24"/>
          <w:szCs w:val="24"/>
        </w:rPr>
        <w:t>附件</w:t>
      </w:r>
      <w:r>
        <w:rPr>
          <w:rFonts w:hint="eastAsia" w:ascii="Times New Roman" w:hAnsi="Times New Roman" w:eastAsia="黑体" w:cs="Times New Roman"/>
          <w:color w:val="000000"/>
          <w:sz w:val="24"/>
          <w:szCs w:val="24"/>
          <w:lang w:val="en-US" w:eastAsia="zh-CN"/>
        </w:rPr>
        <w:t>9</w:t>
      </w:r>
      <w:r>
        <w:rPr>
          <w:rFonts w:hint="eastAsia" w:ascii="Times New Roman" w:hAnsi="Times New Roman" w:eastAsia="黑体" w:cs="Times New Roman"/>
          <w:color w:val="000000"/>
          <w:sz w:val="24"/>
          <w:szCs w:val="24"/>
        </w:rPr>
        <w:t xml:space="preserve"> 建设项目环境影响评价现场踏勘记录表</w:t>
      </w:r>
    </w:p>
    <w:p w14:paraId="181008AE">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eastAsia" w:ascii="Times New Roman" w:hAnsi="Times New Roman" w:eastAsia="黑体" w:cs="Times New Roman"/>
          <w:color w:val="000000"/>
          <w:sz w:val="24"/>
          <w:szCs w:val="24"/>
          <w:lang w:val="en-US" w:eastAsia="zh-CN"/>
        </w:rPr>
      </w:pPr>
      <w:r>
        <w:rPr>
          <w:rFonts w:hint="eastAsia" w:ascii="Times New Roman" w:hAnsi="Times New Roman" w:eastAsia="黑体" w:cs="Times New Roman"/>
          <w:color w:val="000000"/>
          <w:sz w:val="24"/>
          <w:szCs w:val="24"/>
          <w:lang w:val="en-US" w:eastAsia="zh-CN"/>
        </w:rPr>
        <w:t>附件10 现有项目环评批复</w:t>
      </w:r>
    </w:p>
    <w:p w14:paraId="1027BDEA">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eastAsia" w:ascii="Times New Roman" w:hAnsi="Times New Roman" w:eastAsia="黑体" w:cs="Times New Roman"/>
          <w:color w:val="000000"/>
          <w:sz w:val="24"/>
          <w:szCs w:val="24"/>
          <w:lang w:val="en-US" w:eastAsia="zh-CN"/>
        </w:rPr>
      </w:pPr>
      <w:r>
        <w:rPr>
          <w:rFonts w:hint="eastAsia" w:ascii="Times New Roman" w:hAnsi="Times New Roman" w:eastAsia="黑体" w:cs="Times New Roman"/>
          <w:color w:val="000000"/>
          <w:sz w:val="24"/>
          <w:szCs w:val="24"/>
          <w:lang w:val="en-US" w:eastAsia="zh-CN"/>
        </w:rPr>
        <w:t>附件11 现有项目验收意见</w:t>
      </w:r>
    </w:p>
    <w:p w14:paraId="07B182CC">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eastAsia" w:ascii="Times New Roman" w:hAnsi="Times New Roman" w:eastAsia="黑体" w:cs="Times New Roman"/>
          <w:color w:val="000000"/>
          <w:sz w:val="24"/>
          <w:szCs w:val="24"/>
          <w:lang w:val="en-US" w:eastAsia="zh-CN"/>
        </w:rPr>
      </w:pPr>
      <w:r>
        <w:rPr>
          <w:rFonts w:hint="eastAsia" w:ascii="Times New Roman" w:hAnsi="Times New Roman" w:eastAsia="黑体" w:cs="Times New Roman"/>
          <w:color w:val="000000"/>
          <w:sz w:val="24"/>
          <w:szCs w:val="24"/>
          <w:lang w:val="en-US" w:eastAsia="zh-CN"/>
        </w:rPr>
        <w:t>附件12 现有项目排污</w:t>
      </w:r>
      <w:r>
        <w:rPr>
          <w:rFonts w:hint="eastAsia" w:eastAsia="黑体" w:cs="Times New Roman"/>
          <w:color w:val="000000"/>
          <w:sz w:val="24"/>
          <w:szCs w:val="24"/>
          <w:lang w:val="en-US" w:eastAsia="zh-CN"/>
        </w:rPr>
        <w:t>许可</w:t>
      </w:r>
    </w:p>
    <w:p w14:paraId="2DE83C66">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eastAsia" w:ascii="Times New Roman" w:hAnsi="Times New Roman" w:eastAsia="黑体" w:cs="Times New Roman"/>
          <w:color w:val="000000"/>
          <w:sz w:val="24"/>
          <w:szCs w:val="24"/>
          <w:lang w:val="en-US" w:eastAsia="zh-CN"/>
        </w:rPr>
      </w:pPr>
      <w:r>
        <w:rPr>
          <w:rFonts w:hint="eastAsia" w:ascii="Times New Roman" w:hAnsi="Times New Roman" w:eastAsia="黑体" w:cs="Times New Roman"/>
          <w:color w:val="000000"/>
          <w:sz w:val="24"/>
          <w:szCs w:val="24"/>
          <w:lang w:val="en-US" w:eastAsia="zh-CN"/>
        </w:rPr>
        <w:t>附件13 现有项目</w:t>
      </w:r>
      <w:r>
        <w:rPr>
          <w:rFonts w:hint="eastAsia" w:eastAsia="黑体" w:cs="Times New Roman"/>
          <w:color w:val="000000"/>
          <w:sz w:val="24"/>
          <w:szCs w:val="24"/>
          <w:lang w:val="en-US" w:eastAsia="zh-CN"/>
        </w:rPr>
        <w:t>检测报告</w:t>
      </w:r>
    </w:p>
    <w:p w14:paraId="0995526A">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default"/>
          <w:lang w:val="en-US" w:eastAsia="zh-CN"/>
        </w:rPr>
      </w:pPr>
      <w:r>
        <w:rPr>
          <w:rFonts w:hint="eastAsia" w:ascii="Times New Roman" w:hAnsi="Times New Roman" w:eastAsia="黑体" w:cs="Times New Roman"/>
          <w:color w:val="000000"/>
          <w:sz w:val="24"/>
          <w:szCs w:val="24"/>
          <w:lang w:val="en-US" w:eastAsia="zh-CN"/>
        </w:rPr>
        <w:t>附件1</w:t>
      </w:r>
      <w:r>
        <w:rPr>
          <w:rFonts w:hint="eastAsia" w:eastAsia="黑体" w:cs="Times New Roman"/>
          <w:color w:val="000000"/>
          <w:sz w:val="24"/>
          <w:szCs w:val="24"/>
          <w:lang w:val="en-US" w:eastAsia="zh-CN"/>
        </w:rPr>
        <w:t>4</w:t>
      </w:r>
      <w:r>
        <w:rPr>
          <w:rFonts w:hint="eastAsia" w:ascii="Times New Roman" w:hAnsi="Times New Roman" w:eastAsia="黑体" w:cs="Times New Roman"/>
          <w:color w:val="000000"/>
          <w:sz w:val="24"/>
          <w:szCs w:val="24"/>
          <w:lang w:val="en-US" w:eastAsia="zh-CN"/>
        </w:rPr>
        <w:t xml:space="preserve"> </w:t>
      </w:r>
      <w:r>
        <w:rPr>
          <w:rFonts w:hint="eastAsia" w:eastAsia="黑体" w:cs="Times New Roman"/>
          <w:color w:val="000000"/>
          <w:sz w:val="24"/>
          <w:szCs w:val="24"/>
          <w:lang w:val="en-US" w:eastAsia="zh-CN"/>
        </w:rPr>
        <w:t>建设项目环境影响登记表</w:t>
      </w:r>
    </w:p>
    <w:p w14:paraId="5B39643F">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eastAsia" w:eastAsia="黑体" w:cs="Times New Roman"/>
          <w:color w:val="000000"/>
          <w:sz w:val="24"/>
          <w:szCs w:val="24"/>
          <w:lang w:val="en-US" w:eastAsia="zh-CN"/>
        </w:rPr>
      </w:pPr>
      <w:r>
        <w:rPr>
          <w:rFonts w:hint="eastAsia" w:eastAsia="黑体" w:cs="Times New Roman"/>
          <w:color w:val="000000"/>
          <w:sz w:val="24"/>
          <w:szCs w:val="24"/>
          <w:lang w:val="en-US" w:eastAsia="zh-CN"/>
        </w:rPr>
        <w:t>附件15 油墨不可替代证明</w:t>
      </w:r>
    </w:p>
    <w:p w14:paraId="18CE9AB8">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eastAsia" w:eastAsia="黑体" w:cs="Times New Roman"/>
          <w:color w:val="000000"/>
          <w:sz w:val="24"/>
          <w:szCs w:val="24"/>
          <w:lang w:val="en-US" w:eastAsia="zh-CN"/>
        </w:rPr>
      </w:pPr>
      <w:r>
        <w:rPr>
          <w:rFonts w:hint="eastAsia" w:eastAsia="黑体" w:cs="Times New Roman"/>
          <w:color w:val="000000"/>
          <w:sz w:val="24"/>
          <w:szCs w:val="24"/>
          <w:lang w:val="en-US" w:eastAsia="zh-CN"/>
        </w:rPr>
        <w:t xml:space="preserve">附件16 </w:t>
      </w:r>
      <w:r>
        <w:rPr>
          <w:rFonts w:hint="eastAsia" w:ascii="Times New Roman" w:hAnsi="Times New Roman" w:eastAsia="黑体" w:cs="Times New Roman"/>
          <w:color w:val="000000"/>
          <w:sz w:val="24"/>
          <w:szCs w:val="24"/>
          <w:lang w:val="en-US" w:eastAsia="zh-CN"/>
        </w:rPr>
        <w:t>油墨SDS及检测报告</w:t>
      </w:r>
    </w:p>
    <w:p w14:paraId="5AE1D86A">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default" w:eastAsia="黑体" w:cs="Times New Roman"/>
          <w:color w:val="000000"/>
          <w:sz w:val="24"/>
          <w:szCs w:val="24"/>
          <w:lang w:val="en-US" w:eastAsia="zh-CN"/>
        </w:rPr>
      </w:pPr>
      <w:r>
        <w:rPr>
          <w:rFonts w:hint="eastAsia" w:eastAsia="黑体" w:cs="Times New Roman"/>
          <w:color w:val="000000"/>
          <w:sz w:val="24"/>
          <w:szCs w:val="24"/>
          <w:lang w:val="en-US" w:eastAsia="zh-CN"/>
        </w:rPr>
        <w:t>附件17 切削液SDS</w:t>
      </w:r>
    </w:p>
    <w:p w14:paraId="189A72BC">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default" w:ascii="Times New Roman" w:hAnsi="Times New Roman" w:eastAsia="黑体" w:cs="Times New Roman"/>
          <w:color w:val="000000"/>
          <w:sz w:val="24"/>
          <w:szCs w:val="24"/>
          <w:lang w:val="en-US" w:eastAsia="zh-CN"/>
        </w:rPr>
      </w:pPr>
      <w:r>
        <w:rPr>
          <w:rFonts w:hint="eastAsia" w:eastAsia="黑体" w:cs="Times New Roman"/>
          <w:color w:val="000000"/>
          <w:sz w:val="24"/>
          <w:szCs w:val="24"/>
          <w:lang w:val="en-US" w:eastAsia="zh-CN"/>
        </w:rPr>
        <w:t>附件18 总量凭证</w:t>
      </w:r>
    </w:p>
    <w:p w14:paraId="04B6205C">
      <w:pPr>
        <w:spacing w:line="360" w:lineRule="auto"/>
        <w:rPr>
          <w:rFonts w:hint="eastAsia"/>
          <w:b/>
          <w:bCs/>
          <w:color w:val="000000"/>
          <w:sz w:val="24"/>
          <w:szCs w:val="24"/>
        </w:rPr>
      </w:pPr>
    </w:p>
    <w:p w14:paraId="25B0EDB9">
      <w:pPr>
        <w:spacing w:line="360" w:lineRule="auto"/>
        <w:rPr>
          <w:rFonts w:hint="eastAsia" w:ascii="黑体" w:hAnsi="黑体" w:eastAsia="黑体" w:cs="黑体"/>
          <w:b/>
          <w:bCs/>
          <w:color w:val="000000"/>
          <w:sz w:val="24"/>
          <w:szCs w:val="24"/>
        </w:rPr>
      </w:pPr>
      <w:r>
        <w:rPr>
          <w:rFonts w:hint="eastAsia" w:ascii="黑体" w:hAnsi="黑体" w:eastAsia="黑体" w:cs="黑体"/>
          <w:b/>
          <w:bCs/>
          <w:color w:val="000000"/>
          <w:sz w:val="24"/>
          <w:szCs w:val="24"/>
        </w:rPr>
        <w:t>附图：</w:t>
      </w:r>
    </w:p>
    <w:p w14:paraId="0F9C9233">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eastAsia" w:ascii="Times New Roman" w:hAnsi="Times New Roman" w:eastAsia="黑体" w:cs="Times New Roman"/>
          <w:color w:val="000000"/>
          <w:sz w:val="24"/>
          <w:szCs w:val="24"/>
        </w:rPr>
      </w:pPr>
      <w:r>
        <w:rPr>
          <w:rFonts w:hint="eastAsia" w:ascii="Times New Roman" w:hAnsi="Times New Roman" w:eastAsia="黑体" w:cs="Times New Roman"/>
          <w:color w:val="000000"/>
          <w:sz w:val="24"/>
          <w:szCs w:val="24"/>
        </w:rPr>
        <w:t>附图1</w:t>
      </w:r>
      <w:r>
        <w:rPr>
          <w:rFonts w:hint="eastAsia" w:ascii="Times New Roman" w:hAnsi="Times New Roman" w:eastAsia="黑体" w:cs="Times New Roman"/>
          <w:color w:val="000000"/>
          <w:sz w:val="24"/>
          <w:szCs w:val="24"/>
          <w:lang w:val="en-US" w:eastAsia="zh-CN"/>
        </w:rPr>
        <w:t xml:space="preserve"> </w:t>
      </w:r>
      <w:r>
        <w:rPr>
          <w:rFonts w:hint="eastAsia" w:ascii="Times New Roman" w:hAnsi="Times New Roman" w:eastAsia="黑体" w:cs="Times New Roman"/>
          <w:color w:val="000000"/>
          <w:sz w:val="24"/>
          <w:szCs w:val="24"/>
        </w:rPr>
        <w:t>项目地理位置图</w:t>
      </w:r>
    </w:p>
    <w:p w14:paraId="04A166A7">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eastAsia" w:ascii="Times New Roman" w:hAnsi="Times New Roman" w:eastAsia="黑体" w:cs="Times New Roman"/>
          <w:color w:val="000000"/>
          <w:sz w:val="24"/>
          <w:szCs w:val="24"/>
        </w:rPr>
      </w:pPr>
      <w:r>
        <w:rPr>
          <w:rFonts w:hint="eastAsia" w:ascii="Times New Roman" w:hAnsi="Times New Roman" w:eastAsia="黑体" w:cs="Times New Roman"/>
          <w:color w:val="000000"/>
          <w:sz w:val="24"/>
          <w:szCs w:val="24"/>
        </w:rPr>
        <w:t>附图2</w:t>
      </w:r>
      <w:r>
        <w:rPr>
          <w:rFonts w:hint="eastAsia" w:ascii="Times New Roman" w:hAnsi="Times New Roman" w:eastAsia="黑体" w:cs="Times New Roman"/>
          <w:color w:val="000000"/>
          <w:sz w:val="24"/>
          <w:szCs w:val="24"/>
          <w:lang w:val="en-US" w:eastAsia="zh-CN"/>
        </w:rPr>
        <w:t xml:space="preserve"> </w:t>
      </w:r>
      <w:r>
        <w:rPr>
          <w:rFonts w:hint="eastAsia" w:ascii="Times New Roman" w:hAnsi="Times New Roman" w:eastAsia="黑体" w:cs="Times New Roman"/>
          <w:color w:val="000000"/>
          <w:sz w:val="24"/>
          <w:szCs w:val="24"/>
        </w:rPr>
        <w:t>项目所在地环境管控单元图</w:t>
      </w:r>
    </w:p>
    <w:p w14:paraId="3EEBCA04">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eastAsia" w:ascii="Times New Roman" w:hAnsi="Times New Roman" w:eastAsia="黑体" w:cs="Times New Roman"/>
          <w:color w:val="000000"/>
          <w:sz w:val="24"/>
          <w:szCs w:val="24"/>
        </w:rPr>
      </w:pPr>
      <w:r>
        <w:rPr>
          <w:rFonts w:hint="eastAsia" w:ascii="Times New Roman" w:hAnsi="Times New Roman" w:eastAsia="黑体" w:cs="Times New Roman"/>
          <w:color w:val="000000"/>
          <w:sz w:val="24"/>
          <w:szCs w:val="24"/>
        </w:rPr>
        <w:t>附图3</w:t>
      </w:r>
      <w:r>
        <w:rPr>
          <w:rFonts w:hint="eastAsia" w:ascii="Times New Roman" w:hAnsi="Times New Roman" w:eastAsia="黑体" w:cs="Times New Roman"/>
          <w:color w:val="000000"/>
          <w:sz w:val="24"/>
          <w:szCs w:val="24"/>
          <w:lang w:val="en-US" w:eastAsia="zh-CN"/>
        </w:rPr>
        <w:t xml:space="preserve"> </w:t>
      </w:r>
      <w:r>
        <w:rPr>
          <w:rFonts w:hint="eastAsia" w:ascii="Times New Roman" w:hAnsi="Times New Roman" w:eastAsia="黑体" w:cs="Times New Roman"/>
          <w:color w:val="000000"/>
          <w:sz w:val="24"/>
          <w:szCs w:val="24"/>
        </w:rPr>
        <w:t>项目周边状况图</w:t>
      </w:r>
    </w:p>
    <w:p w14:paraId="76B1E1E1">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eastAsia" w:ascii="Times New Roman" w:hAnsi="Times New Roman" w:eastAsia="黑体" w:cs="Times New Roman"/>
          <w:color w:val="000000"/>
          <w:sz w:val="24"/>
          <w:szCs w:val="24"/>
        </w:rPr>
      </w:pPr>
      <w:r>
        <w:rPr>
          <w:rFonts w:hint="eastAsia" w:ascii="Times New Roman" w:hAnsi="Times New Roman" w:eastAsia="黑体" w:cs="Times New Roman"/>
          <w:color w:val="000000"/>
          <w:sz w:val="24"/>
          <w:szCs w:val="24"/>
        </w:rPr>
        <w:t>附图4</w:t>
      </w:r>
      <w:r>
        <w:rPr>
          <w:rFonts w:hint="eastAsia" w:ascii="Times New Roman" w:hAnsi="Times New Roman" w:eastAsia="黑体" w:cs="Times New Roman"/>
          <w:color w:val="000000"/>
          <w:sz w:val="24"/>
          <w:szCs w:val="24"/>
          <w:lang w:val="en-US" w:eastAsia="zh-CN"/>
        </w:rPr>
        <w:t xml:space="preserve"> </w:t>
      </w:r>
      <w:r>
        <w:rPr>
          <w:rFonts w:hint="eastAsia" w:ascii="Times New Roman" w:hAnsi="Times New Roman" w:eastAsia="黑体" w:cs="Times New Roman"/>
          <w:color w:val="000000"/>
          <w:sz w:val="24"/>
          <w:szCs w:val="24"/>
        </w:rPr>
        <w:t>生态空间管控区域分布图</w:t>
      </w:r>
    </w:p>
    <w:p w14:paraId="21335A32">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eastAsia" w:ascii="Times New Roman" w:hAnsi="Times New Roman" w:eastAsia="黑体" w:cs="Times New Roman"/>
          <w:color w:val="000000"/>
          <w:sz w:val="24"/>
          <w:szCs w:val="24"/>
        </w:rPr>
      </w:pPr>
      <w:r>
        <w:rPr>
          <w:rFonts w:hint="eastAsia" w:ascii="Times New Roman" w:hAnsi="Times New Roman" w:eastAsia="黑体" w:cs="Times New Roman"/>
          <w:color w:val="000000"/>
          <w:sz w:val="24"/>
          <w:szCs w:val="24"/>
        </w:rPr>
        <w:t>附图5</w:t>
      </w:r>
      <w:r>
        <w:rPr>
          <w:rFonts w:hint="eastAsia" w:ascii="Times New Roman" w:hAnsi="Times New Roman" w:eastAsia="黑体" w:cs="Times New Roman"/>
          <w:color w:val="000000"/>
          <w:sz w:val="24"/>
          <w:szCs w:val="24"/>
          <w:lang w:val="en-US" w:eastAsia="zh-CN"/>
        </w:rPr>
        <w:t xml:space="preserve"> </w:t>
      </w:r>
      <w:r>
        <w:rPr>
          <w:rFonts w:hint="eastAsia" w:ascii="Times New Roman" w:hAnsi="Times New Roman" w:eastAsia="黑体" w:cs="Times New Roman"/>
          <w:color w:val="000000"/>
          <w:sz w:val="24"/>
          <w:szCs w:val="24"/>
        </w:rPr>
        <w:t>项目水系图</w:t>
      </w:r>
    </w:p>
    <w:p w14:paraId="4A17E18B">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eastAsia" w:ascii="Times New Roman" w:hAnsi="Times New Roman" w:eastAsia="黑体" w:cs="Times New Roman"/>
          <w:color w:val="000000"/>
          <w:sz w:val="24"/>
          <w:szCs w:val="24"/>
        </w:rPr>
      </w:pPr>
      <w:r>
        <w:rPr>
          <w:rFonts w:hint="eastAsia" w:ascii="Times New Roman" w:hAnsi="Times New Roman" w:eastAsia="黑体" w:cs="Times New Roman"/>
          <w:color w:val="000000"/>
          <w:sz w:val="24"/>
          <w:szCs w:val="24"/>
        </w:rPr>
        <w:t>附图6</w:t>
      </w:r>
      <w:r>
        <w:rPr>
          <w:rFonts w:hint="eastAsia" w:ascii="Times New Roman" w:hAnsi="Times New Roman" w:eastAsia="黑体" w:cs="Times New Roman"/>
          <w:color w:val="000000"/>
          <w:sz w:val="24"/>
          <w:szCs w:val="24"/>
          <w:lang w:val="en-US" w:eastAsia="zh-CN"/>
        </w:rPr>
        <w:t xml:space="preserve"> </w:t>
      </w:r>
      <w:r>
        <w:rPr>
          <w:rFonts w:hint="eastAsia" w:ascii="Times New Roman" w:hAnsi="Times New Roman" w:eastAsia="黑体" w:cs="Times New Roman"/>
          <w:color w:val="000000"/>
          <w:sz w:val="24"/>
          <w:szCs w:val="24"/>
        </w:rPr>
        <w:t>厂区平面图</w:t>
      </w:r>
    </w:p>
    <w:p w14:paraId="11345FE0">
      <w:pPr>
        <w:pStyle w:val="10"/>
        <w:keepNext w:val="0"/>
        <w:keepLines w:val="0"/>
        <w:pageBreakBefore w:val="0"/>
        <w:kinsoku/>
        <w:wordWrap/>
        <w:overflowPunct/>
        <w:topLinePunct w:val="0"/>
        <w:autoSpaceDE/>
        <w:autoSpaceDN/>
        <w:bidi w:val="0"/>
        <w:adjustRightInd/>
        <w:spacing w:before="0" w:after="0" w:line="360" w:lineRule="auto"/>
        <w:ind w:right="0"/>
        <w:textAlignment w:val="auto"/>
        <w:rPr>
          <w:rFonts w:hint="eastAsia" w:ascii="Times New Roman" w:hAnsi="Times New Roman" w:eastAsia="黑体" w:cs="Times New Roman"/>
          <w:color w:val="000000"/>
          <w:sz w:val="24"/>
          <w:szCs w:val="24"/>
        </w:rPr>
      </w:pPr>
      <w:r>
        <w:rPr>
          <w:rFonts w:hint="eastAsia" w:ascii="Times New Roman" w:hAnsi="Times New Roman" w:eastAsia="黑体" w:cs="Times New Roman"/>
          <w:color w:val="000000"/>
          <w:sz w:val="24"/>
          <w:szCs w:val="24"/>
        </w:rPr>
        <w:t>附图7</w:t>
      </w:r>
      <w:r>
        <w:rPr>
          <w:rFonts w:hint="eastAsia" w:ascii="Times New Roman" w:hAnsi="Times New Roman" w:eastAsia="黑体" w:cs="Times New Roman"/>
          <w:color w:val="000000"/>
          <w:sz w:val="24"/>
          <w:szCs w:val="24"/>
          <w:lang w:val="en-US" w:eastAsia="zh-CN"/>
        </w:rPr>
        <w:t xml:space="preserve"> </w:t>
      </w:r>
      <w:r>
        <w:rPr>
          <w:rFonts w:hint="eastAsia" w:ascii="Times New Roman" w:hAnsi="Times New Roman" w:eastAsia="黑体" w:cs="Times New Roman"/>
          <w:color w:val="000000"/>
          <w:sz w:val="24"/>
          <w:szCs w:val="24"/>
        </w:rPr>
        <w:t>项目所在地</w:t>
      </w:r>
      <w:r>
        <w:rPr>
          <w:rFonts w:hint="eastAsia" w:eastAsia="黑体" w:cs="Times New Roman"/>
          <w:color w:val="000000"/>
          <w:sz w:val="24"/>
          <w:szCs w:val="24"/>
          <w:lang w:val="en-US" w:eastAsia="zh-CN"/>
        </w:rPr>
        <w:t>土地</w:t>
      </w:r>
      <w:r>
        <w:rPr>
          <w:rFonts w:hint="eastAsia" w:ascii="Times New Roman" w:hAnsi="Times New Roman" w:eastAsia="黑体" w:cs="Times New Roman"/>
          <w:color w:val="000000"/>
          <w:sz w:val="24"/>
          <w:szCs w:val="24"/>
        </w:rPr>
        <w:t>规划图</w:t>
      </w:r>
    </w:p>
    <w:p w14:paraId="719CD98C">
      <w:pPr>
        <w:pStyle w:val="29"/>
        <w:ind w:left="0" w:leftChars="0" w:firstLine="0" w:firstLineChars="0"/>
        <w:sectPr>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66500820">
      <w:pPr>
        <w:pStyle w:val="27"/>
        <w:ind w:firstLine="600"/>
        <w:jc w:val="center"/>
        <w:outlineLvl w:val="0"/>
        <w:rPr>
          <w:rFonts w:ascii="Times New Roman" w:hAnsi="Times New Roman" w:eastAsia="黑体"/>
          <w:snapToGrid w:val="0"/>
          <w:sz w:val="30"/>
          <w:szCs w:val="30"/>
        </w:rPr>
      </w:pPr>
      <w:bookmarkStart w:id="3" w:name="_Toc11984"/>
      <w:r>
        <w:rPr>
          <w:rFonts w:hint="eastAsia" w:ascii="Times New Roman" w:hAnsi="Times New Roman" w:eastAsia="黑体"/>
          <w:snapToGrid w:val="0"/>
          <w:sz w:val="30"/>
          <w:szCs w:val="30"/>
        </w:rPr>
        <w:t>一、建设项目基本情况</w:t>
      </w:r>
      <w:bookmarkEnd w:id="3"/>
    </w:p>
    <w:tbl>
      <w:tblPr>
        <w:tblStyle w:val="30"/>
        <w:tblW w:w="969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690"/>
        <w:gridCol w:w="1024"/>
        <w:gridCol w:w="2975"/>
        <w:gridCol w:w="1909"/>
        <w:gridCol w:w="3093"/>
      </w:tblGrid>
      <w:tr w14:paraId="4F0C7E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9" w:hRule="atLeast"/>
          <w:jc w:val="center"/>
        </w:trPr>
        <w:tc>
          <w:tcPr>
            <w:tcW w:w="1714" w:type="dxa"/>
            <w:gridSpan w:val="2"/>
            <w:tcMar>
              <w:top w:w="16" w:type="dxa"/>
              <w:left w:w="16" w:type="dxa"/>
              <w:right w:w="16" w:type="dxa"/>
            </w:tcMar>
            <w:vAlign w:val="center"/>
          </w:tcPr>
          <w:p w14:paraId="27549542">
            <w:pPr>
              <w:adjustRightInd w:val="0"/>
              <w:snapToGrid w:val="0"/>
              <w:jc w:val="center"/>
              <w:rPr>
                <w:rFonts w:cs="宋体"/>
                <w:szCs w:val="21"/>
              </w:rPr>
            </w:pPr>
            <w:r>
              <w:rPr>
                <w:rFonts w:hint="eastAsia" w:cs="宋体"/>
                <w:szCs w:val="21"/>
              </w:rPr>
              <w:t>建设项目名称</w:t>
            </w:r>
          </w:p>
        </w:tc>
        <w:tc>
          <w:tcPr>
            <w:tcW w:w="7977" w:type="dxa"/>
            <w:gridSpan w:val="3"/>
            <w:vAlign w:val="center"/>
          </w:tcPr>
          <w:p w14:paraId="72EED273">
            <w:pPr>
              <w:adjustRightInd w:val="0"/>
              <w:snapToGrid w:val="0"/>
              <w:jc w:val="center"/>
              <w:rPr>
                <w:rFonts w:cs="宋体"/>
                <w:szCs w:val="21"/>
              </w:rPr>
            </w:pPr>
            <w:r>
              <w:rPr>
                <w:rFonts w:hint="eastAsia"/>
                <w:bCs/>
                <w:szCs w:val="21"/>
              </w:rPr>
              <w:t>年产4500万只中高档玻璃制品激光内雕、2000万中高档玻璃酒瓶直印深加工与800万中高档玻璃酒瓶热转印加工项目</w:t>
            </w:r>
          </w:p>
        </w:tc>
      </w:tr>
      <w:tr w14:paraId="1439E8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14" w:type="dxa"/>
            <w:gridSpan w:val="2"/>
            <w:tcMar>
              <w:top w:w="16" w:type="dxa"/>
              <w:left w:w="16" w:type="dxa"/>
              <w:right w:w="16" w:type="dxa"/>
            </w:tcMar>
            <w:vAlign w:val="center"/>
          </w:tcPr>
          <w:p w14:paraId="2D6E8C17">
            <w:pPr>
              <w:adjustRightInd w:val="0"/>
              <w:snapToGrid w:val="0"/>
              <w:jc w:val="center"/>
              <w:rPr>
                <w:rFonts w:cs="宋体"/>
                <w:szCs w:val="21"/>
              </w:rPr>
            </w:pPr>
            <w:r>
              <w:rPr>
                <w:rFonts w:hint="eastAsia" w:cs="宋体"/>
                <w:szCs w:val="21"/>
              </w:rPr>
              <w:t>项目代码</w:t>
            </w:r>
          </w:p>
        </w:tc>
        <w:tc>
          <w:tcPr>
            <w:tcW w:w="7977" w:type="dxa"/>
            <w:gridSpan w:val="3"/>
            <w:vAlign w:val="center"/>
          </w:tcPr>
          <w:p w14:paraId="05010C1A">
            <w:pPr>
              <w:adjustRightInd w:val="0"/>
              <w:snapToGrid w:val="0"/>
              <w:jc w:val="center"/>
              <w:rPr>
                <w:rFonts w:cs="宋体"/>
                <w:szCs w:val="21"/>
              </w:rPr>
            </w:pPr>
            <w:r>
              <w:rPr>
                <w:rFonts w:hint="eastAsia"/>
                <w:szCs w:val="21"/>
              </w:rPr>
              <w:t>2509-321362-89-01-624417</w:t>
            </w:r>
          </w:p>
        </w:tc>
      </w:tr>
      <w:tr w14:paraId="082D1B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14" w:type="dxa"/>
            <w:gridSpan w:val="2"/>
            <w:tcMar>
              <w:top w:w="16" w:type="dxa"/>
              <w:left w:w="16" w:type="dxa"/>
              <w:right w:w="16" w:type="dxa"/>
            </w:tcMar>
            <w:vAlign w:val="center"/>
          </w:tcPr>
          <w:p w14:paraId="0C92E923">
            <w:pPr>
              <w:adjustRightInd w:val="0"/>
              <w:snapToGrid w:val="0"/>
              <w:jc w:val="center"/>
              <w:rPr>
                <w:rFonts w:cs="宋体"/>
                <w:szCs w:val="21"/>
              </w:rPr>
            </w:pPr>
            <w:r>
              <w:rPr>
                <w:rFonts w:hint="eastAsia" w:cs="宋体"/>
                <w:szCs w:val="21"/>
              </w:rPr>
              <w:t>建设单位联系人</w:t>
            </w:r>
          </w:p>
        </w:tc>
        <w:tc>
          <w:tcPr>
            <w:tcW w:w="2975" w:type="dxa"/>
            <w:vAlign w:val="center"/>
          </w:tcPr>
          <w:p w14:paraId="7B069889">
            <w:pPr>
              <w:adjustRightInd w:val="0"/>
              <w:snapToGrid w:val="0"/>
              <w:jc w:val="center"/>
              <w:rPr>
                <w:rFonts w:cs="宋体"/>
                <w:szCs w:val="21"/>
              </w:rPr>
            </w:pPr>
            <w:r>
              <w:rPr>
                <w:rFonts w:hint="eastAsia" w:cs="宋体"/>
                <w:szCs w:val="21"/>
              </w:rPr>
              <w:t>周辉</w:t>
            </w:r>
          </w:p>
        </w:tc>
        <w:tc>
          <w:tcPr>
            <w:tcW w:w="1909" w:type="dxa"/>
            <w:vAlign w:val="center"/>
          </w:tcPr>
          <w:p w14:paraId="4716C225">
            <w:pPr>
              <w:adjustRightInd w:val="0"/>
              <w:snapToGrid w:val="0"/>
              <w:jc w:val="center"/>
              <w:rPr>
                <w:rFonts w:cs="宋体"/>
                <w:szCs w:val="21"/>
              </w:rPr>
            </w:pPr>
            <w:r>
              <w:rPr>
                <w:rFonts w:hint="eastAsia" w:cs="宋体"/>
                <w:szCs w:val="21"/>
              </w:rPr>
              <w:t>联系方式</w:t>
            </w:r>
          </w:p>
        </w:tc>
        <w:tc>
          <w:tcPr>
            <w:tcW w:w="3093" w:type="dxa"/>
            <w:vAlign w:val="center"/>
          </w:tcPr>
          <w:p w14:paraId="4F22E161">
            <w:pPr>
              <w:adjustRightInd w:val="0"/>
              <w:snapToGrid w:val="0"/>
              <w:jc w:val="center"/>
              <w:rPr>
                <w:rFonts w:cs="宋体"/>
                <w:szCs w:val="21"/>
              </w:rPr>
            </w:pPr>
            <w:r>
              <w:rPr>
                <w:rFonts w:hint="eastAsia"/>
              </w:rPr>
              <w:t>18261111089</w:t>
            </w:r>
          </w:p>
        </w:tc>
      </w:tr>
      <w:tr w14:paraId="4A3A1E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14" w:type="dxa"/>
            <w:gridSpan w:val="2"/>
            <w:tcMar>
              <w:top w:w="16" w:type="dxa"/>
              <w:left w:w="16" w:type="dxa"/>
              <w:right w:w="16" w:type="dxa"/>
            </w:tcMar>
            <w:vAlign w:val="center"/>
          </w:tcPr>
          <w:p w14:paraId="45799958">
            <w:pPr>
              <w:adjustRightInd w:val="0"/>
              <w:snapToGrid w:val="0"/>
              <w:jc w:val="center"/>
              <w:rPr>
                <w:rFonts w:cs="宋体"/>
                <w:szCs w:val="21"/>
              </w:rPr>
            </w:pPr>
            <w:r>
              <w:rPr>
                <w:rFonts w:hint="eastAsia" w:cs="宋体"/>
                <w:szCs w:val="21"/>
              </w:rPr>
              <w:t>建设地点</w:t>
            </w:r>
          </w:p>
        </w:tc>
        <w:tc>
          <w:tcPr>
            <w:tcW w:w="7977" w:type="dxa"/>
            <w:gridSpan w:val="3"/>
            <w:vAlign w:val="center"/>
          </w:tcPr>
          <w:p w14:paraId="64FC9DAF">
            <w:pPr>
              <w:adjustRightInd w:val="0"/>
              <w:snapToGrid w:val="0"/>
              <w:jc w:val="center"/>
              <w:rPr>
                <w:rFonts w:cs="宋体"/>
                <w:szCs w:val="21"/>
              </w:rPr>
            </w:pPr>
            <w:r>
              <w:rPr>
                <w:rFonts w:hint="eastAsia" w:cs="宋体"/>
                <w:szCs w:val="21"/>
              </w:rPr>
              <w:t>江苏省宿迁市泗阳经济开发区众兴东路282号</w:t>
            </w:r>
          </w:p>
        </w:tc>
      </w:tr>
      <w:tr w14:paraId="7C6AA0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14" w:type="dxa"/>
            <w:gridSpan w:val="2"/>
            <w:tcMar>
              <w:top w:w="16" w:type="dxa"/>
              <w:left w:w="16" w:type="dxa"/>
              <w:right w:w="16" w:type="dxa"/>
            </w:tcMar>
            <w:vAlign w:val="center"/>
          </w:tcPr>
          <w:p w14:paraId="32BCDC0B">
            <w:pPr>
              <w:adjustRightInd w:val="0"/>
              <w:snapToGrid w:val="0"/>
              <w:jc w:val="center"/>
              <w:rPr>
                <w:rFonts w:cs="宋体"/>
                <w:szCs w:val="21"/>
              </w:rPr>
            </w:pPr>
            <w:r>
              <w:rPr>
                <w:rFonts w:hint="eastAsia" w:cs="宋体"/>
                <w:szCs w:val="21"/>
              </w:rPr>
              <w:t>地理坐标</w:t>
            </w:r>
          </w:p>
        </w:tc>
        <w:tc>
          <w:tcPr>
            <w:tcW w:w="7977" w:type="dxa"/>
            <w:gridSpan w:val="3"/>
            <w:vAlign w:val="center"/>
          </w:tcPr>
          <w:p w14:paraId="12525A9B">
            <w:pPr>
              <w:jc w:val="center"/>
              <w:rPr>
                <w:rFonts w:cs="宋体"/>
                <w:szCs w:val="21"/>
                <w:highlight w:val="yellow"/>
              </w:rPr>
            </w:pPr>
            <w:r>
              <w:rPr>
                <w:rFonts w:hint="eastAsia" w:cs="宋体"/>
                <w:szCs w:val="21"/>
              </w:rPr>
              <w:t>（东经</w:t>
            </w:r>
            <w:r>
              <w:rPr>
                <w:rFonts w:cs="宋体"/>
                <w:szCs w:val="21"/>
                <w:u w:val="single"/>
              </w:rPr>
              <w:t>118</w:t>
            </w:r>
            <w:r>
              <w:rPr>
                <w:rFonts w:hint="eastAsia" w:cs="宋体"/>
                <w:szCs w:val="21"/>
              </w:rPr>
              <w:t>度</w:t>
            </w:r>
            <w:r>
              <w:rPr>
                <w:rFonts w:hint="eastAsia" w:cs="宋体"/>
                <w:szCs w:val="21"/>
                <w:u w:val="single"/>
              </w:rPr>
              <w:t>46</w:t>
            </w:r>
            <w:r>
              <w:rPr>
                <w:rFonts w:hint="eastAsia" w:cs="宋体"/>
                <w:szCs w:val="21"/>
              </w:rPr>
              <w:t>分</w:t>
            </w:r>
            <w:r>
              <w:rPr>
                <w:rFonts w:hint="eastAsia" w:cs="宋体"/>
                <w:szCs w:val="21"/>
                <w:u w:val="single"/>
              </w:rPr>
              <w:t>15.798</w:t>
            </w:r>
            <w:r>
              <w:rPr>
                <w:rFonts w:hint="eastAsia" w:cs="宋体"/>
                <w:szCs w:val="21"/>
              </w:rPr>
              <w:t>秒，北纬</w:t>
            </w:r>
            <w:r>
              <w:rPr>
                <w:rFonts w:cs="宋体"/>
                <w:szCs w:val="21"/>
                <w:u w:val="single"/>
              </w:rPr>
              <w:t>33</w:t>
            </w:r>
            <w:r>
              <w:rPr>
                <w:rFonts w:hint="eastAsia" w:cs="宋体"/>
                <w:szCs w:val="21"/>
              </w:rPr>
              <w:t>度</w:t>
            </w:r>
            <w:r>
              <w:rPr>
                <w:rFonts w:hint="eastAsia" w:cs="宋体"/>
                <w:szCs w:val="21"/>
                <w:u w:val="single"/>
              </w:rPr>
              <w:t>41</w:t>
            </w:r>
            <w:r>
              <w:rPr>
                <w:rFonts w:hint="eastAsia" w:cs="宋体"/>
                <w:szCs w:val="21"/>
              </w:rPr>
              <w:t>分</w:t>
            </w:r>
            <w:r>
              <w:rPr>
                <w:rFonts w:hint="eastAsia" w:cs="宋体"/>
                <w:szCs w:val="21"/>
                <w:u w:val="single"/>
              </w:rPr>
              <w:t>44.685</w:t>
            </w:r>
            <w:r>
              <w:rPr>
                <w:rFonts w:hint="eastAsia" w:cs="宋体"/>
                <w:szCs w:val="21"/>
              </w:rPr>
              <w:t>秒）</w:t>
            </w:r>
          </w:p>
        </w:tc>
      </w:tr>
      <w:tr w14:paraId="11858B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9" w:hRule="atLeast"/>
          <w:jc w:val="center"/>
        </w:trPr>
        <w:tc>
          <w:tcPr>
            <w:tcW w:w="1714" w:type="dxa"/>
            <w:gridSpan w:val="2"/>
            <w:tcMar>
              <w:top w:w="16" w:type="dxa"/>
              <w:left w:w="16" w:type="dxa"/>
              <w:right w:w="16" w:type="dxa"/>
            </w:tcMar>
            <w:vAlign w:val="center"/>
          </w:tcPr>
          <w:p w14:paraId="218F130C">
            <w:pPr>
              <w:adjustRightInd w:val="0"/>
              <w:snapToGrid w:val="0"/>
              <w:jc w:val="center"/>
              <w:rPr>
                <w:rFonts w:cs="宋体"/>
                <w:szCs w:val="21"/>
              </w:rPr>
            </w:pPr>
            <w:r>
              <w:rPr>
                <w:rFonts w:hint="eastAsia" w:cs="宋体"/>
                <w:szCs w:val="21"/>
              </w:rPr>
              <w:t>国民经济</w:t>
            </w:r>
          </w:p>
          <w:p w14:paraId="08DA7839">
            <w:pPr>
              <w:adjustRightInd w:val="0"/>
              <w:snapToGrid w:val="0"/>
              <w:jc w:val="center"/>
              <w:rPr>
                <w:rFonts w:cs="宋体"/>
                <w:szCs w:val="21"/>
              </w:rPr>
            </w:pPr>
            <w:r>
              <w:rPr>
                <w:rFonts w:hint="eastAsia" w:cs="宋体"/>
                <w:szCs w:val="21"/>
              </w:rPr>
              <w:t>行业类别</w:t>
            </w:r>
          </w:p>
        </w:tc>
        <w:tc>
          <w:tcPr>
            <w:tcW w:w="2975" w:type="dxa"/>
            <w:vAlign w:val="center"/>
          </w:tcPr>
          <w:p w14:paraId="4042D369">
            <w:pPr>
              <w:adjustRightInd w:val="0"/>
              <w:snapToGrid w:val="0"/>
              <w:jc w:val="center"/>
              <w:rPr>
                <w:rFonts w:cs="宋体"/>
                <w:szCs w:val="21"/>
              </w:rPr>
            </w:pPr>
            <w:r>
              <w:rPr>
                <w:rFonts w:hint="eastAsia"/>
                <w:kern w:val="0"/>
                <w:szCs w:val="21"/>
              </w:rPr>
              <w:t>C3055</w:t>
            </w:r>
            <w:r>
              <w:rPr>
                <w:rFonts w:hint="eastAsia" w:ascii="宋体" w:hAnsi="宋体" w:cs="宋体"/>
                <w:kern w:val="0"/>
                <w:szCs w:val="21"/>
              </w:rPr>
              <w:t>玻璃包装容器制造</w:t>
            </w:r>
          </w:p>
        </w:tc>
        <w:tc>
          <w:tcPr>
            <w:tcW w:w="1909" w:type="dxa"/>
            <w:vAlign w:val="center"/>
          </w:tcPr>
          <w:p w14:paraId="5EB53F88">
            <w:pPr>
              <w:adjustRightInd w:val="0"/>
              <w:snapToGrid w:val="0"/>
              <w:jc w:val="center"/>
              <w:rPr>
                <w:rFonts w:cs="宋体"/>
                <w:szCs w:val="21"/>
              </w:rPr>
            </w:pPr>
            <w:bookmarkStart w:id="4" w:name="_Hlk49843745"/>
            <w:r>
              <w:rPr>
                <w:rFonts w:hint="eastAsia" w:cs="宋体"/>
                <w:szCs w:val="21"/>
              </w:rPr>
              <w:t>建设项目行业类别</w:t>
            </w:r>
            <w:bookmarkEnd w:id="4"/>
          </w:p>
        </w:tc>
        <w:tc>
          <w:tcPr>
            <w:tcW w:w="3093" w:type="dxa"/>
            <w:vAlign w:val="center"/>
          </w:tcPr>
          <w:p w14:paraId="6A531CD2">
            <w:pPr>
              <w:adjustRightInd w:val="0"/>
              <w:snapToGrid w:val="0"/>
              <w:jc w:val="center"/>
              <w:rPr>
                <w:szCs w:val="21"/>
              </w:rPr>
            </w:pPr>
            <w:r>
              <w:rPr>
                <w:rFonts w:hint="eastAsia"/>
                <w:szCs w:val="21"/>
              </w:rPr>
              <w:t>二十七、非金属矿物制品业30-57玻璃制品制造305</w:t>
            </w:r>
          </w:p>
        </w:tc>
      </w:tr>
      <w:tr w14:paraId="561013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714" w:type="dxa"/>
            <w:gridSpan w:val="2"/>
            <w:tcMar>
              <w:top w:w="16" w:type="dxa"/>
              <w:left w:w="16" w:type="dxa"/>
              <w:right w:w="16" w:type="dxa"/>
            </w:tcMar>
            <w:vAlign w:val="center"/>
          </w:tcPr>
          <w:p w14:paraId="4B32F36A">
            <w:pPr>
              <w:adjustRightInd w:val="0"/>
              <w:snapToGrid w:val="0"/>
              <w:jc w:val="center"/>
              <w:rPr>
                <w:rFonts w:cs="宋体"/>
                <w:szCs w:val="21"/>
              </w:rPr>
            </w:pPr>
            <w:r>
              <w:rPr>
                <w:rFonts w:hint="eastAsia" w:cs="宋体"/>
                <w:szCs w:val="21"/>
              </w:rPr>
              <w:t>建设性质</w:t>
            </w:r>
          </w:p>
        </w:tc>
        <w:tc>
          <w:tcPr>
            <w:tcW w:w="2975" w:type="dxa"/>
            <w:vAlign w:val="center"/>
          </w:tcPr>
          <w:p w14:paraId="7CB116FA">
            <w:pPr>
              <w:jc w:val="left"/>
              <w:rPr>
                <w:rFonts w:cs="宋体"/>
                <w:szCs w:val="21"/>
              </w:rPr>
            </w:pPr>
            <w:r>
              <w:rPr>
                <w:rFonts w:hint="eastAsia" w:cs="宋体"/>
                <w:szCs w:val="21"/>
              </w:rPr>
              <w:t>□新建（迁建）</w:t>
            </w:r>
          </w:p>
          <w:p w14:paraId="30CB5D1F">
            <w:pPr>
              <w:jc w:val="left"/>
              <w:rPr>
                <w:rFonts w:cs="宋体"/>
                <w:szCs w:val="21"/>
              </w:rPr>
            </w:pPr>
            <w:r>
              <w:rPr>
                <w:rFonts w:hint="eastAsia" w:cs="宋体"/>
                <w:szCs w:val="21"/>
              </w:rPr>
              <w:t>□改建</w:t>
            </w:r>
          </w:p>
          <w:p w14:paraId="04C0421C">
            <w:pPr>
              <w:jc w:val="left"/>
              <w:rPr>
                <w:rFonts w:cs="宋体"/>
                <w:szCs w:val="21"/>
              </w:rPr>
            </w:pPr>
            <w:r>
              <w:rPr>
                <w:rFonts w:hint="eastAsia" w:cs="宋体"/>
                <w:szCs w:val="21"/>
              </w:rPr>
              <w:t>☑扩建</w:t>
            </w:r>
          </w:p>
          <w:p w14:paraId="5EB4E976">
            <w:pPr>
              <w:jc w:val="left"/>
              <w:rPr>
                <w:rFonts w:cs="宋体"/>
                <w:szCs w:val="21"/>
              </w:rPr>
            </w:pPr>
            <w:r>
              <w:rPr>
                <w:rFonts w:hint="eastAsia" w:cs="宋体"/>
                <w:szCs w:val="21"/>
              </w:rPr>
              <w:t>□技术改造</w:t>
            </w:r>
          </w:p>
        </w:tc>
        <w:tc>
          <w:tcPr>
            <w:tcW w:w="1909" w:type="dxa"/>
            <w:vAlign w:val="center"/>
          </w:tcPr>
          <w:p w14:paraId="5D6D4409">
            <w:pPr>
              <w:adjustRightInd w:val="0"/>
              <w:snapToGrid w:val="0"/>
              <w:jc w:val="center"/>
              <w:rPr>
                <w:rFonts w:cs="宋体"/>
                <w:szCs w:val="21"/>
              </w:rPr>
            </w:pPr>
            <w:r>
              <w:rPr>
                <w:rFonts w:hint="eastAsia" w:cs="宋体"/>
                <w:szCs w:val="21"/>
              </w:rPr>
              <w:t>建设项目申报情形</w:t>
            </w:r>
          </w:p>
        </w:tc>
        <w:tc>
          <w:tcPr>
            <w:tcW w:w="3093" w:type="dxa"/>
            <w:vAlign w:val="center"/>
          </w:tcPr>
          <w:p w14:paraId="43D7E3E3">
            <w:pPr>
              <w:jc w:val="left"/>
              <w:rPr>
                <w:rFonts w:cs="宋体"/>
                <w:szCs w:val="21"/>
              </w:rPr>
            </w:pPr>
            <w:r>
              <w:rPr>
                <w:rFonts w:hint="eastAsia" w:cs="宋体"/>
                <w:szCs w:val="21"/>
              </w:rPr>
              <w:t>☑首次申报项目</w:t>
            </w:r>
          </w:p>
          <w:p w14:paraId="4C4E5468">
            <w:pPr>
              <w:jc w:val="left"/>
              <w:rPr>
                <w:rFonts w:cs="宋体"/>
                <w:szCs w:val="21"/>
              </w:rPr>
            </w:pPr>
            <w:r>
              <w:rPr>
                <w:rFonts w:hint="eastAsia" w:cs="宋体"/>
                <w:szCs w:val="21"/>
              </w:rPr>
              <w:t>□不予批准后再次申报项目</w:t>
            </w:r>
          </w:p>
          <w:p w14:paraId="7408E48F">
            <w:pPr>
              <w:jc w:val="left"/>
              <w:rPr>
                <w:rFonts w:cs="宋体"/>
                <w:szCs w:val="21"/>
              </w:rPr>
            </w:pPr>
            <w:r>
              <w:rPr>
                <w:rFonts w:hint="eastAsia" w:cs="宋体"/>
                <w:szCs w:val="21"/>
              </w:rPr>
              <w:t>□超五年重新审核项目</w:t>
            </w:r>
          </w:p>
          <w:p w14:paraId="1435266E">
            <w:pPr>
              <w:jc w:val="left"/>
              <w:rPr>
                <w:rFonts w:cs="宋体"/>
                <w:szCs w:val="21"/>
              </w:rPr>
            </w:pPr>
            <w:r>
              <w:rPr>
                <w:rFonts w:hint="eastAsia" w:cs="宋体"/>
                <w:szCs w:val="21"/>
              </w:rPr>
              <w:t>□重大变动重新报批项目</w:t>
            </w:r>
          </w:p>
        </w:tc>
      </w:tr>
      <w:tr w14:paraId="4171B7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714" w:type="dxa"/>
            <w:gridSpan w:val="2"/>
            <w:tcMar>
              <w:top w:w="16" w:type="dxa"/>
              <w:left w:w="16" w:type="dxa"/>
              <w:right w:w="16" w:type="dxa"/>
            </w:tcMar>
            <w:vAlign w:val="center"/>
          </w:tcPr>
          <w:p w14:paraId="41D31CD2">
            <w:pPr>
              <w:adjustRightInd w:val="0"/>
              <w:snapToGrid w:val="0"/>
              <w:jc w:val="center"/>
              <w:rPr>
                <w:rFonts w:cs="宋体"/>
                <w:szCs w:val="21"/>
              </w:rPr>
            </w:pPr>
            <w:r>
              <w:rPr>
                <w:rFonts w:hint="eastAsia" w:cs="宋体"/>
                <w:szCs w:val="21"/>
              </w:rPr>
              <w:t>项目审批（核准</w:t>
            </w:r>
            <w:r>
              <w:rPr>
                <w:rFonts w:cs="宋体"/>
                <w:szCs w:val="21"/>
              </w:rPr>
              <w:t>/</w:t>
            </w:r>
            <w:r>
              <w:rPr>
                <w:rFonts w:hint="eastAsia" w:cs="宋体"/>
                <w:szCs w:val="21"/>
              </w:rPr>
              <w:t>备案）部门（选填）</w:t>
            </w:r>
          </w:p>
        </w:tc>
        <w:tc>
          <w:tcPr>
            <w:tcW w:w="2975" w:type="dxa"/>
            <w:vAlign w:val="center"/>
          </w:tcPr>
          <w:p w14:paraId="5B057D3A">
            <w:pPr>
              <w:adjustRightInd w:val="0"/>
              <w:snapToGrid w:val="0"/>
              <w:jc w:val="center"/>
              <w:rPr>
                <w:rFonts w:cs="宋体"/>
                <w:szCs w:val="21"/>
              </w:rPr>
            </w:pPr>
            <w:r>
              <w:rPr>
                <w:rFonts w:hint="eastAsia" w:cs="宋体"/>
                <w:szCs w:val="21"/>
              </w:rPr>
              <w:t>江苏泗阳经济开发区管理委员会</w:t>
            </w:r>
          </w:p>
        </w:tc>
        <w:tc>
          <w:tcPr>
            <w:tcW w:w="1909" w:type="dxa"/>
            <w:vAlign w:val="center"/>
          </w:tcPr>
          <w:p w14:paraId="7CA20B35">
            <w:pPr>
              <w:adjustRightInd w:val="0"/>
              <w:snapToGrid w:val="0"/>
              <w:jc w:val="center"/>
              <w:rPr>
                <w:rFonts w:cs="宋体"/>
                <w:szCs w:val="21"/>
              </w:rPr>
            </w:pPr>
            <w:r>
              <w:rPr>
                <w:rFonts w:hint="eastAsia" w:cs="宋体"/>
                <w:szCs w:val="21"/>
              </w:rPr>
              <w:t>项目审批（核准</w:t>
            </w:r>
            <w:r>
              <w:rPr>
                <w:rFonts w:cs="宋体"/>
                <w:szCs w:val="21"/>
              </w:rPr>
              <w:t>/</w:t>
            </w:r>
            <w:r>
              <w:rPr>
                <w:rFonts w:hint="eastAsia" w:cs="宋体"/>
                <w:szCs w:val="21"/>
              </w:rPr>
              <w:t>备案）文号（选填）</w:t>
            </w:r>
          </w:p>
        </w:tc>
        <w:tc>
          <w:tcPr>
            <w:tcW w:w="3093" w:type="dxa"/>
            <w:vAlign w:val="center"/>
          </w:tcPr>
          <w:p w14:paraId="6F94FB18">
            <w:pPr>
              <w:adjustRightInd w:val="0"/>
              <w:snapToGrid w:val="0"/>
              <w:jc w:val="center"/>
              <w:rPr>
                <w:rFonts w:cs="宋体"/>
                <w:szCs w:val="21"/>
              </w:rPr>
            </w:pPr>
            <w:r>
              <w:rPr>
                <w:rFonts w:hint="eastAsia"/>
                <w:szCs w:val="21"/>
              </w:rPr>
              <w:t>泗经开备〔202</w:t>
            </w:r>
            <w:r>
              <w:rPr>
                <w:rFonts w:hint="eastAsia"/>
                <w:szCs w:val="21"/>
                <w:lang w:val="en-US" w:eastAsia="zh-CN"/>
              </w:rPr>
              <w:t>5</w:t>
            </w:r>
            <w:r>
              <w:rPr>
                <w:szCs w:val="21"/>
              </w:rPr>
              <w:t>〕</w:t>
            </w:r>
            <w:r>
              <w:rPr>
                <w:rFonts w:hint="eastAsia"/>
                <w:szCs w:val="21"/>
                <w:lang w:val="en-US" w:eastAsia="zh-CN"/>
              </w:rPr>
              <w:t>277</w:t>
            </w:r>
            <w:r>
              <w:rPr>
                <w:szCs w:val="21"/>
              </w:rPr>
              <w:t>号</w:t>
            </w:r>
          </w:p>
        </w:tc>
      </w:tr>
      <w:tr w14:paraId="521043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14" w:type="dxa"/>
            <w:gridSpan w:val="2"/>
            <w:tcMar>
              <w:top w:w="16" w:type="dxa"/>
              <w:left w:w="16" w:type="dxa"/>
              <w:right w:w="16" w:type="dxa"/>
            </w:tcMar>
            <w:vAlign w:val="center"/>
          </w:tcPr>
          <w:p w14:paraId="42A85628">
            <w:pPr>
              <w:adjustRightInd w:val="0"/>
              <w:snapToGrid w:val="0"/>
              <w:jc w:val="center"/>
              <w:rPr>
                <w:rFonts w:cs="宋体"/>
                <w:szCs w:val="21"/>
              </w:rPr>
            </w:pPr>
            <w:r>
              <w:rPr>
                <w:rFonts w:hint="eastAsia" w:cs="宋体"/>
                <w:szCs w:val="21"/>
              </w:rPr>
              <w:t>总投资（万元）</w:t>
            </w:r>
          </w:p>
        </w:tc>
        <w:tc>
          <w:tcPr>
            <w:tcW w:w="2975" w:type="dxa"/>
            <w:vAlign w:val="center"/>
          </w:tcPr>
          <w:p w14:paraId="4EFE1C70">
            <w:pPr>
              <w:adjustRightInd w:val="0"/>
              <w:snapToGrid w:val="0"/>
              <w:jc w:val="center"/>
              <w:rPr>
                <w:rFonts w:cs="宋体"/>
                <w:szCs w:val="21"/>
              </w:rPr>
            </w:pPr>
            <w:r>
              <w:rPr>
                <w:rFonts w:hint="eastAsia"/>
                <w:szCs w:val="21"/>
              </w:rPr>
              <w:t>500</w:t>
            </w:r>
          </w:p>
        </w:tc>
        <w:tc>
          <w:tcPr>
            <w:tcW w:w="1909" w:type="dxa"/>
            <w:tcMar>
              <w:top w:w="16" w:type="dxa"/>
              <w:left w:w="16" w:type="dxa"/>
              <w:right w:w="16" w:type="dxa"/>
            </w:tcMar>
            <w:vAlign w:val="center"/>
          </w:tcPr>
          <w:p w14:paraId="0595E1B6">
            <w:pPr>
              <w:adjustRightInd w:val="0"/>
              <w:snapToGrid w:val="0"/>
              <w:jc w:val="center"/>
              <w:rPr>
                <w:rFonts w:cs="宋体"/>
                <w:szCs w:val="21"/>
              </w:rPr>
            </w:pPr>
            <w:r>
              <w:rPr>
                <w:rFonts w:hint="eastAsia" w:cs="宋体"/>
                <w:szCs w:val="21"/>
              </w:rPr>
              <w:t>环保投资（万元）</w:t>
            </w:r>
          </w:p>
        </w:tc>
        <w:tc>
          <w:tcPr>
            <w:tcW w:w="3093" w:type="dxa"/>
            <w:vAlign w:val="center"/>
          </w:tcPr>
          <w:p w14:paraId="6200C19B">
            <w:pPr>
              <w:adjustRightInd w:val="0"/>
              <w:snapToGrid w:val="0"/>
              <w:jc w:val="center"/>
              <w:rPr>
                <w:rFonts w:hint="default" w:eastAsia="宋体" w:cs="宋体"/>
                <w:szCs w:val="21"/>
                <w:lang w:val="en-US" w:eastAsia="zh-CN"/>
              </w:rPr>
            </w:pPr>
            <w:r>
              <w:rPr>
                <w:rFonts w:hint="eastAsia" w:cs="宋体"/>
                <w:szCs w:val="21"/>
                <w:lang w:val="en-US" w:eastAsia="zh-CN"/>
              </w:rPr>
              <w:t>21</w:t>
            </w:r>
          </w:p>
        </w:tc>
      </w:tr>
      <w:tr w14:paraId="7C22B3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14" w:type="dxa"/>
            <w:gridSpan w:val="2"/>
            <w:tcMar>
              <w:top w:w="16" w:type="dxa"/>
              <w:left w:w="16" w:type="dxa"/>
              <w:right w:w="16" w:type="dxa"/>
            </w:tcMar>
            <w:vAlign w:val="center"/>
          </w:tcPr>
          <w:p w14:paraId="5508F025">
            <w:pPr>
              <w:adjustRightInd w:val="0"/>
              <w:snapToGrid w:val="0"/>
              <w:jc w:val="center"/>
              <w:rPr>
                <w:rFonts w:cs="宋体"/>
                <w:szCs w:val="21"/>
              </w:rPr>
            </w:pPr>
            <w:r>
              <w:rPr>
                <w:rFonts w:hint="eastAsia" w:cs="宋体"/>
                <w:szCs w:val="21"/>
              </w:rPr>
              <w:t>环保投资占比（</w:t>
            </w:r>
            <w:r>
              <w:rPr>
                <w:rFonts w:cs="宋体"/>
                <w:szCs w:val="21"/>
              </w:rPr>
              <w:t>%</w:t>
            </w:r>
            <w:r>
              <w:rPr>
                <w:rFonts w:hint="eastAsia" w:cs="宋体"/>
                <w:szCs w:val="21"/>
              </w:rPr>
              <w:t>）</w:t>
            </w:r>
          </w:p>
        </w:tc>
        <w:tc>
          <w:tcPr>
            <w:tcW w:w="2975" w:type="dxa"/>
            <w:vAlign w:val="center"/>
          </w:tcPr>
          <w:p w14:paraId="52F19A60">
            <w:pPr>
              <w:adjustRightInd w:val="0"/>
              <w:snapToGrid w:val="0"/>
              <w:jc w:val="center"/>
              <w:rPr>
                <w:rFonts w:hint="default" w:eastAsia="宋体" w:cs="宋体"/>
                <w:szCs w:val="21"/>
                <w:lang w:val="en-US" w:eastAsia="zh-CN"/>
              </w:rPr>
            </w:pPr>
            <w:r>
              <w:rPr>
                <w:rFonts w:hint="eastAsia" w:cs="宋体"/>
                <w:szCs w:val="21"/>
                <w:lang w:val="en-US" w:eastAsia="zh-CN"/>
              </w:rPr>
              <w:t>4.2</w:t>
            </w:r>
          </w:p>
        </w:tc>
        <w:tc>
          <w:tcPr>
            <w:tcW w:w="1909" w:type="dxa"/>
            <w:tcMar>
              <w:top w:w="16" w:type="dxa"/>
              <w:left w:w="16" w:type="dxa"/>
              <w:right w:w="16" w:type="dxa"/>
            </w:tcMar>
            <w:vAlign w:val="center"/>
          </w:tcPr>
          <w:p w14:paraId="19BC3409">
            <w:pPr>
              <w:adjustRightInd w:val="0"/>
              <w:snapToGrid w:val="0"/>
              <w:jc w:val="center"/>
              <w:rPr>
                <w:rFonts w:cs="宋体"/>
                <w:szCs w:val="21"/>
              </w:rPr>
            </w:pPr>
            <w:r>
              <w:rPr>
                <w:rFonts w:hint="eastAsia" w:cs="宋体"/>
                <w:szCs w:val="21"/>
              </w:rPr>
              <w:t>施工工期</w:t>
            </w:r>
          </w:p>
        </w:tc>
        <w:tc>
          <w:tcPr>
            <w:tcW w:w="3093" w:type="dxa"/>
            <w:vAlign w:val="center"/>
          </w:tcPr>
          <w:p w14:paraId="64250AF8">
            <w:pPr>
              <w:adjustRightInd w:val="0"/>
              <w:snapToGrid w:val="0"/>
              <w:jc w:val="center"/>
              <w:rPr>
                <w:rFonts w:cs="宋体"/>
                <w:szCs w:val="21"/>
              </w:rPr>
            </w:pPr>
            <w:r>
              <w:rPr>
                <w:rFonts w:hint="eastAsia" w:cs="宋体"/>
                <w:szCs w:val="21"/>
              </w:rPr>
              <w:t>/</w:t>
            </w:r>
          </w:p>
        </w:tc>
      </w:tr>
      <w:tr w14:paraId="13D220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14" w:type="dxa"/>
            <w:gridSpan w:val="2"/>
            <w:tcMar>
              <w:top w:w="16" w:type="dxa"/>
              <w:left w:w="16" w:type="dxa"/>
              <w:right w:w="16" w:type="dxa"/>
            </w:tcMar>
            <w:vAlign w:val="center"/>
          </w:tcPr>
          <w:p w14:paraId="5A585B92">
            <w:pPr>
              <w:adjustRightInd w:val="0"/>
              <w:snapToGrid w:val="0"/>
              <w:jc w:val="center"/>
              <w:rPr>
                <w:rFonts w:cs="宋体"/>
                <w:szCs w:val="21"/>
              </w:rPr>
            </w:pPr>
            <w:r>
              <w:rPr>
                <w:rFonts w:hint="eastAsia" w:cs="宋体"/>
                <w:szCs w:val="21"/>
              </w:rPr>
              <w:t>是否开工建设</w:t>
            </w:r>
          </w:p>
        </w:tc>
        <w:tc>
          <w:tcPr>
            <w:tcW w:w="2975" w:type="dxa"/>
            <w:vAlign w:val="center"/>
          </w:tcPr>
          <w:p w14:paraId="0ABDCE61">
            <w:pPr>
              <w:adjustRightInd w:val="0"/>
              <w:snapToGrid w:val="0"/>
              <w:rPr>
                <w:rFonts w:cs="宋体"/>
                <w:szCs w:val="21"/>
              </w:rPr>
            </w:pPr>
            <w:r>
              <w:rPr>
                <w:rFonts w:hint="eastAsia" w:cs="宋体"/>
                <w:szCs w:val="21"/>
              </w:rPr>
              <w:t>☑否</w:t>
            </w:r>
          </w:p>
          <w:p w14:paraId="2EA306A7">
            <w:pPr>
              <w:pStyle w:val="63"/>
              <w:adjustRightInd/>
              <w:snapToGrid/>
              <w:spacing w:beforeLines="0" w:line="240" w:lineRule="auto"/>
              <w:ind w:firstLine="0" w:firstLineChars="0"/>
              <w:rPr>
                <w:sz w:val="21"/>
                <w:szCs w:val="21"/>
                <w:u w:val="single"/>
              </w:rPr>
            </w:pPr>
            <w:r>
              <w:rPr>
                <w:rFonts w:hint="eastAsia"/>
                <w:sz w:val="21"/>
                <w:szCs w:val="21"/>
              </w:rPr>
              <w:t>□是：</w:t>
            </w:r>
          </w:p>
        </w:tc>
        <w:tc>
          <w:tcPr>
            <w:tcW w:w="1909" w:type="dxa"/>
            <w:tcMar>
              <w:top w:w="16" w:type="dxa"/>
              <w:left w:w="16" w:type="dxa"/>
              <w:right w:w="16" w:type="dxa"/>
            </w:tcMar>
            <w:vAlign w:val="center"/>
          </w:tcPr>
          <w:p w14:paraId="3F42FCF9">
            <w:pPr>
              <w:adjustRightInd w:val="0"/>
              <w:snapToGrid w:val="0"/>
              <w:jc w:val="center"/>
              <w:rPr>
                <w:rFonts w:cs="宋体"/>
                <w:szCs w:val="21"/>
              </w:rPr>
            </w:pPr>
            <w:r>
              <w:rPr>
                <w:rFonts w:hint="eastAsia" w:cs="宋体"/>
                <w:spacing w:val="-6"/>
                <w:szCs w:val="21"/>
              </w:rPr>
              <w:t>用地（用海）面积（</w:t>
            </w:r>
            <w:r>
              <w:rPr>
                <w:rFonts w:cs="宋体"/>
                <w:spacing w:val="-6"/>
                <w:szCs w:val="21"/>
              </w:rPr>
              <w:t>m</w:t>
            </w:r>
            <w:r>
              <w:rPr>
                <w:rFonts w:cs="宋体"/>
                <w:spacing w:val="-6"/>
                <w:szCs w:val="21"/>
                <w:vertAlign w:val="superscript"/>
              </w:rPr>
              <w:t>2</w:t>
            </w:r>
            <w:r>
              <w:rPr>
                <w:rFonts w:hint="eastAsia" w:cs="宋体"/>
                <w:spacing w:val="-6"/>
                <w:szCs w:val="21"/>
              </w:rPr>
              <w:t>）</w:t>
            </w:r>
          </w:p>
        </w:tc>
        <w:tc>
          <w:tcPr>
            <w:tcW w:w="3093" w:type="dxa"/>
            <w:vAlign w:val="center"/>
          </w:tcPr>
          <w:p w14:paraId="07EFC12A">
            <w:pPr>
              <w:adjustRightInd w:val="0"/>
              <w:snapToGrid w:val="0"/>
              <w:jc w:val="center"/>
              <w:rPr>
                <w:rFonts w:hint="default" w:eastAsia="宋体" w:cs="宋体"/>
                <w:szCs w:val="21"/>
                <w:lang w:val="en-US" w:eastAsia="zh-CN"/>
              </w:rPr>
            </w:pPr>
            <w:r>
              <w:rPr>
                <w:rFonts w:hint="eastAsia" w:cs="宋体"/>
                <w:szCs w:val="21"/>
                <w:lang w:val="en-US" w:eastAsia="zh-CN"/>
              </w:rPr>
              <w:t>1890（利用现有厂房闲置区域）</w:t>
            </w:r>
          </w:p>
        </w:tc>
      </w:tr>
      <w:tr w14:paraId="5DFAB3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714" w:type="dxa"/>
            <w:gridSpan w:val="2"/>
            <w:vAlign w:val="center"/>
          </w:tcPr>
          <w:p w14:paraId="7F36C4B0">
            <w:pPr>
              <w:autoSpaceDE w:val="0"/>
              <w:autoSpaceDN w:val="0"/>
              <w:adjustRightInd w:val="0"/>
              <w:snapToGrid w:val="0"/>
              <w:jc w:val="center"/>
              <w:rPr>
                <w:rFonts w:cs="宋体"/>
                <w:kern w:val="0"/>
                <w:szCs w:val="21"/>
              </w:rPr>
            </w:pPr>
            <w:r>
              <w:rPr>
                <w:rFonts w:hint="eastAsia" w:cs="宋体"/>
                <w:kern w:val="0"/>
                <w:szCs w:val="21"/>
              </w:rPr>
              <w:t>专项评价设置情况</w:t>
            </w:r>
          </w:p>
        </w:tc>
        <w:tc>
          <w:tcPr>
            <w:tcW w:w="7977" w:type="dxa"/>
            <w:gridSpan w:val="3"/>
            <w:vAlign w:val="center"/>
          </w:tcPr>
          <w:p w14:paraId="7324987C">
            <w:pPr>
              <w:jc w:val="center"/>
              <w:rPr>
                <w:szCs w:val="21"/>
              </w:rPr>
            </w:pPr>
            <w:r>
              <w:rPr>
                <w:rFonts w:hint="eastAsia"/>
                <w:szCs w:val="21"/>
              </w:rPr>
              <w:t>无</w:t>
            </w:r>
          </w:p>
        </w:tc>
      </w:tr>
      <w:tr w14:paraId="30AFA0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714" w:type="dxa"/>
            <w:gridSpan w:val="2"/>
            <w:vAlign w:val="center"/>
          </w:tcPr>
          <w:p w14:paraId="75BE4EBE">
            <w:pPr>
              <w:autoSpaceDE w:val="0"/>
              <w:autoSpaceDN w:val="0"/>
              <w:adjustRightInd w:val="0"/>
              <w:snapToGrid w:val="0"/>
              <w:jc w:val="center"/>
              <w:rPr>
                <w:rFonts w:cs="宋体"/>
                <w:kern w:val="0"/>
                <w:szCs w:val="21"/>
              </w:rPr>
            </w:pPr>
            <w:r>
              <w:rPr>
                <w:rFonts w:hint="eastAsia" w:cs="宋体"/>
                <w:szCs w:val="21"/>
              </w:rPr>
              <w:t>规划情况</w:t>
            </w:r>
          </w:p>
        </w:tc>
        <w:tc>
          <w:tcPr>
            <w:tcW w:w="7977" w:type="dxa"/>
            <w:gridSpan w:val="3"/>
            <w:vAlign w:val="center"/>
          </w:tcPr>
          <w:p w14:paraId="20DFB5D4">
            <w:pPr>
              <w:autoSpaceDE w:val="0"/>
              <w:autoSpaceDN w:val="0"/>
              <w:adjustRightInd w:val="0"/>
              <w:snapToGrid w:val="0"/>
              <w:spacing w:line="360" w:lineRule="auto"/>
              <w:rPr>
                <w:color w:val="000000"/>
                <w:kern w:val="0"/>
                <w:szCs w:val="21"/>
              </w:rPr>
            </w:pPr>
            <w:r>
              <w:rPr>
                <w:rFonts w:hint="eastAsia" w:ascii="宋体" w:hAnsi="宋体" w:cs="宋体"/>
                <w:color w:val="000000"/>
                <w:kern w:val="0"/>
                <w:szCs w:val="21"/>
              </w:rPr>
              <w:t>规</w:t>
            </w:r>
            <w:r>
              <w:rPr>
                <w:color w:val="000000"/>
                <w:kern w:val="0"/>
                <w:szCs w:val="21"/>
              </w:rPr>
              <w:t>划名称：《江苏泗阳经济开发区开发建设规划》（2020~2035年）</w:t>
            </w:r>
          </w:p>
          <w:p w14:paraId="414F4195">
            <w:pPr>
              <w:autoSpaceDE w:val="0"/>
              <w:autoSpaceDN w:val="0"/>
              <w:adjustRightInd w:val="0"/>
              <w:snapToGrid w:val="0"/>
              <w:spacing w:line="360" w:lineRule="auto"/>
              <w:rPr>
                <w:color w:val="000000"/>
                <w:kern w:val="0"/>
                <w:szCs w:val="21"/>
              </w:rPr>
            </w:pPr>
            <w:r>
              <w:rPr>
                <w:color w:val="000000"/>
                <w:kern w:val="0"/>
                <w:szCs w:val="21"/>
              </w:rPr>
              <w:t>审批机关：江苏省人民政府</w:t>
            </w:r>
          </w:p>
          <w:p w14:paraId="1893DA7B">
            <w:pPr>
              <w:autoSpaceDE w:val="0"/>
              <w:autoSpaceDN w:val="0"/>
              <w:adjustRightInd w:val="0"/>
              <w:snapToGrid w:val="0"/>
              <w:spacing w:line="360" w:lineRule="auto"/>
              <w:rPr>
                <w:color w:val="000000"/>
                <w:kern w:val="0"/>
                <w:szCs w:val="21"/>
              </w:rPr>
            </w:pPr>
            <w:r>
              <w:rPr>
                <w:color w:val="000000"/>
                <w:kern w:val="0"/>
                <w:szCs w:val="21"/>
              </w:rPr>
              <w:t>审批文件：/</w:t>
            </w:r>
          </w:p>
          <w:p w14:paraId="7B3162FE">
            <w:pPr>
              <w:autoSpaceDE w:val="0"/>
              <w:autoSpaceDN w:val="0"/>
              <w:adjustRightInd w:val="0"/>
              <w:snapToGrid w:val="0"/>
              <w:rPr>
                <w:kern w:val="21"/>
                <w:szCs w:val="21"/>
              </w:rPr>
            </w:pPr>
            <w:r>
              <w:rPr>
                <w:color w:val="000000"/>
                <w:kern w:val="0"/>
                <w:szCs w:val="21"/>
              </w:rPr>
              <w:t>审批文号：/</w:t>
            </w:r>
          </w:p>
        </w:tc>
      </w:tr>
      <w:tr w14:paraId="5F5F2E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68" w:hRule="atLeast"/>
          <w:jc w:val="center"/>
        </w:trPr>
        <w:tc>
          <w:tcPr>
            <w:tcW w:w="1714" w:type="dxa"/>
            <w:gridSpan w:val="2"/>
            <w:vAlign w:val="center"/>
          </w:tcPr>
          <w:p w14:paraId="5CBECC6A">
            <w:pPr>
              <w:adjustRightInd w:val="0"/>
              <w:snapToGrid w:val="0"/>
              <w:jc w:val="center"/>
              <w:rPr>
                <w:rFonts w:cs="宋体"/>
                <w:kern w:val="0"/>
                <w:szCs w:val="21"/>
              </w:rPr>
            </w:pPr>
            <w:r>
              <w:rPr>
                <w:rFonts w:hint="eastAsia" w:cs="宋体"/>
                <w:szCs w:val="21"/>
              </w:rPr>
              <w:t>规划环境影响评价情况</w:t>
            </w:r>
          </w:p>
        </w:tc>
        <w:tc>
          <w:tcPr>
            <w:tcW w:w="7977" w:type="dxa"/>
            <w:gridSpan w:val="3"/>
            <w:vAlign w:val="center"/>
          </w:tcPr>
          <w:p w14:paraId="1EB4F08D">
            <w:pPr>
              <w:autoSpaceDE w:val="0"/>
              <w:autoSpaceDN w:val="0"/>
              <w:adjustRightInd w:val="0"/>
              <w:snapToGrid w:val="0"/>
              <w:spacing w:line="360" w:lineRule="auto"/>
              <w:rPr>
                <w:color w:val="000000"/>
                <w:szCs w:val="21"/>
              </w:rPr>
            </w:pPr>
            <w:r>
              <w:rPr>
                <w:color w:val="000000"/>
                <w:szCs w:val="21"/>
              </w:rPr>
              <w:t>规划环境影响评价名称：《江苏泗阳经济开发区开发建设规划（2020-2035）环境影响报告书》</w:t>
            </w:r>
          </w:p>
          <w:p w14:paraId="1E7D163C">
            <w:pPr>
              <w:autoSpaceDE w:val="0"/>
              <w:autoSpaceDN w:val="0"/>
              <w:adjustRightInd w:val="0"/>
              <w:snapToGrid w:val="0"/>
              <w:spacing w:line="360" w:lineRule="auto"/>
              <w:rPr>
                <w:color w:val="000000"/>
                <w:kern w:val="0"/>
                <w:szCs w:val="21"/>
              </w:rPr>
            </w:pPr>
            <w:r>
              <w:rPr>
                <w:color w:val="000000"/>
                <w:szCs w:val="21"/>
              </w:rPr>
              <w:t>召集审查机关：</w:t>
            </w:r>
            <w:r>
              <w:rPr>
                <w:color w:val="000000"/>
                <w:kern w:val="0"/>
                <w:szCs w:val="21"/>
              </w:rPr>
              <w:t>江苏省生态环境厅</w:t>
            </w:r>
          </w:p>
          <w:p w14:paraId="3FCABA70">
            <w:pPr>
              <w:autoSpaceDE w:val="0"/>
              <w:autoSpaceDN w:val="0"/>
              <w:adjustRightInd w:val="0"/>
              <w:snapToGrid w:val="0"/>
              <w:spacing w:line="360" w:lineRule="auto"/>
              <w:rPr>
                <w:rFonts w:hint="eastAsia" w:ascii="宋体" w:hAnsi="宋体" w:cs="宋体"/>
                <w:color w:val="000000"/>
                <w:kern w:val="0"/>
                <w:szCs w:val="21"/>
              </w:rPr>
            </w:pPr>
            <w:r>
              <w:rPr>
                <w:color w:val="000000"/>
                <w:szCs w:val="21"/>
              </w:rPr>
              <w:t>审查文件名称及文号：《江苏泗阳经济开发区开发建设规划（2020-2035）环境影响报告书的审核意见》（苏环审﹝2021﹞23号）</w:t>
            </w:r>
          </w:p>
        </w:tc>
      </w:tr>
      <w:tr w14:paraId="72E9E6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690" w:type="dxa"/>
            <w:vAlign w:val="center"/>
          </w:tcPr>
          <w:p w14:paraId="61947A8B">
            <w:pPr>
              <w:autoSpaceDE w:val="0"/>
              <w:autoSpaceDN w:val="0"/>
              <w:adjustRightInd w:val="0"/>
              <w:snapToGrid w:val="0"/>
              <w:jc w:val="center"/>
              <w:rPr>
                <w:rFonts w:cs="宋体"/>
                <w:kern w:val="0"/>
                <w:szCs w:val="21"/>
              </w:rPr>
            </w:pPr>
            <w:r>
              <w:rPr>
                <w:rFonts w:hint="eastAsia" w:cs="宋体"/>
                <w:kern w:val="0"/>
                <w:szCs w:val="21"/>
              </w:rPr>
              <w:t>规划及规划环境影响评价符合性分析</w:t>
            </w:r>
          </w:p>
        </w:tc>
        <w:tc>
          <w:tcPr>
            <w:tcW w:w="9001" w:type="dxa"/>
            <w:gridSpan w:val="4"/>
            <w:vAlign w:val="center"/>
          </w:tcPr>
          <w:p w14:paraId="182E062F">
            <w:pPr>
              <w:pStyle w:val="10"/>
              <w:spacing w:before="0" w:after="0" w:line="360" w:lineRule="auto"/>
              <w:ind w:right="0"/>
              <w:rPr>
                <w:b/>
                <w:bCs/>
                <w:color w:val="000000"/>
                <w:sz w:val="21"/>
                <w:szCs w:val="22"/>
              </w:rPr>
            </w:pPr>
            <w:r>
              <w:rPr>
                <w:rFonts w:hint="eastAsia"/>
                <w:b/>
                <w:bCs/>
                <w:color w:val="000000"/>
                <w:sz w:val="21"/>
                <w:szCs w:val="22"/>
              </w:rPr>
              <w:t>1、选址规划符合性分析</w:t>
            </w:r>
          </w:p>
          <w:p w14:paraId="38AFEAD4">
            <w:pPr>
              <w:pStyle w:val="10"/>
              <w:spacing w:before="0" w:after="0" w:line="360" w:lineRule="auto"/>
              <w:ind w:right="0" w:firstLine="420" w:firstLineChars="200"/>
              <w:rPr>
                <w:color w:val="000000"/>
                <w:sz w:val="21"/>
                <w:szCs w:val="22"/>
              </w:rPr>
            </w:pPr>
            <w:r>
              <w:rPr>
                <w:rFonts w:hint="eastAsia"/>
                <w:color w:val="000000"/>
                <w:sz w:val="21"/>
                <w:szCs w:val="22"/>
              </w:rPr>
              <w:t>本项目位于</w:t>
            </w:r>
            <w:r>
              <w:rPr>
                <w:rFonts w:hint="eastAsia"/>
                <w:color w:val="000000"/>
                <w:kern w:val="2"/>
                <w:sz w:val="21"/>
                <w:szCs w:val="21"/>
              </w:rPr>
              <w:t>江苏省泗阳经济开发区众兴东路282号，</w:t>
            </w:r>
            <w:r>
              <w:rPr>
                <w:rFonts w:hint="eastAsia"/>
                <w:color w:val="000000"/>
                <w:sz w:val="21"/>
                <w:szCs w:val="22"/>
              </w:rPr>
              <w:t>根据《江苏泗阳经济开发区开发建设规划》（2020~2035年），项目所在用地为工业用地，满足江苏泗阳经济开发区开发建设规划用地要求。</w:t>
            </w:r>
          </w:p>
          <w:p w14:paraId="4FD091DE">
            <w:pPr>
              <w:pStyle w:val="10"/>
              <w:spacing w:before="0" w:after="0" w:line="360" w:lineRule="auto"/>
              <w:ind w:right="0"/>
              <w:rPr>
                <w:b/>
                <w:bCs/>
                <w:color w:val="000000"/>
                <w:sz w:val="21"/>
                <w:szCs w:val="22"/>
              </w:rPr>
            </w:pPr>
            <w:r>
              <w:rPr>
                <w:rFonts w:hint="eastAsia"/>
                <w:b/>
                <w:bCs/>
                <w:color w:val="000000"/>
                <w:sz w:val="21"/>
                <w:szCs w:val="22"/>
              </w:rPr>
              <w:t>2、产业定位规划符合性</w:t>
            </w:r>
          </w:p>
          <w:p w14:paraId="0F78DD19">
            <w:pPr>
              <w:pStyle w:val="10"/>
              <w:spacing w:before="0" w:after="0" w:line="360" w:lineRule="auto"/>
              <w:ind w:right="0" w:firstLine="420" w:firstLineChars="200"/>
              <w:rPr>
                <w:color w:val="000000"/>
                <w:sz w:val="21"/>
                <w:szCs w:val="22"/>
              </w:rPr>
            </w:pPr>
            <w:r>
              <w:rPr>
                <w:rFonts w:hint="eastAsia"/>
                <w:color w:val="000000"/>
                <w:sz w:val="21"/>
                <w:szCs w:val="22"/>
              </w:rPr>
              <w:t>根据《江苏泗阳经济开发区开发建设规划（2020-2035）》，开发区产业定位：以提高质量和效益为中心，以转变发展方式为主线，重点发展纺织服装（含印染）、食品饮料、轻工机械、电子信息等主导产业；通过开发区产业与“互联网+”融合发展推动产业转型升级，通过将工业化、信息化深度融合作为开发区调结构、促转型的有效抓手，降低企业成本，提升企业核心竞争力。</w:t>
            </w:r>
          </w:p>
          <w:p w14:paraId="2AC6CDB1">
            <w:pPr>
              <w:tabs>
                <w:tab w:val="left" w:pos="276"/>
              </w:tabs>
              <w:autoSpaceDE w:val="0"/>
              <w:autoSpaceDN w:val="0"/>
              <w:adjustRightInd w:val="0"/>
              <w:snapToGrid w:val="0"/>
              <w:spacing w:before="156" w:beforeLines="50"/>
              <w:jc w:val="center"/>
              <w:rPr>
                <w:b/>
                <w:bCs/>
                <w:color w:val="000000"/>
              </w:rPr>
            </w:pPr>
            <w:r>
              <w:rPr>
                <w:rFonts w:hint="eastAsia"/>
                <w:b/>
                <w:bCs/>
                <w:color w:val="000000"/>
              </w:rPr>
              <w:t>表</w:t>
            </w:r>
            <w:r>
              <w:rPr>
                <w:b/>
                <w:bCs/>
                <w:color w:val="000000"/>
              </w:rPr>
              <w:t>1</w:t>
            </w:r>
            <w:r>
              <w:rPr>
                <w:rFonts w:hint="eastAsia"/>
                <w:b/>
                <w:bCs/>
                <w:color w:val="000000"/>
              </w:rPr>
              <w:t>-1 与</w:t>
            </w:r>
            <w:r>
              <w:rPr>
                <w:rFonts w:hint="eastAsia"/>
                <w:b/>
                <w:bCs/>
                <w:color w:val="000000"/>
                <w:szCs w:val="21"/>
              </w:rPr>
              <w:t>江苏泗阳经济开发区生态</w:t>
            </w:r>
            <w:r>
              <w:rPr>
                <w:b/>
                <w:bCs/>
                <w:color w:val="000000"/>
                <w:szCs w:val="21"/>
              </w:rPr>
              <w:t>环境准入清单</w:t>
            </w:r>
            <w:r>
              <w:rPr>
                <w:rFonts w:hint="eastAsia"/>
                <w:b/>
                <w:bCs/>
                <w:color w:val="000000"/>
              </w:rPr>
              <w:t>相符性分析</w:t>
            </w:r>
          </w:p>
          <w:tbl>
            <w:tblPr>
              <w:tblStyle w:val="3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43"/>
              <w:gridCol w:w="6387"/>
              <w:gridCol w:w="1855"/>
            </w:tblGrid>
            <w:tr w14:paraId="67758E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43" w:type="dxa"/>
                  <w:vAlign w:val="center"/>
                </w:tcPr>
                <w:p w14:paraId="27CDCF53">
                  <w:pPr>
                    <w:adjustRightInd w:val="0"/>
                    <w:snapToGrid w:val="0"/>
                    <w:jc w:val="center"/>
                    <w:rPr>
                      <w:rFonts w:hint="eastAsia" w:ascii="宋体" w:hAnsi="宋体" w:cs="宋体"/>
                      <w:b/>
                      <w:bCs/>
                      <w:color w:val="000000"/>
                      <w:szCs w:val="21"/>
                    </w:rPr>
                  </w:pPr>
                  <w:r>
                    <w:rPr>
                      <w:rStyle w:val="97"/>
                      <w:rFonts w:hint="eastAsia" w:ascii="宋体" w:hAnsi="宋体" w:cs="宋体"/>
                      <w:b/>
                      <w:bCs/>
                      <w:color w:val="000000"/>
                      <w:szCs w:val="21"/>
                    </w:rPr>
                    <w:t>类别</w:t>
                  </w:r>
                </w:p>
              </w:tc>
              <w:tc>
                <w:tcPr>
                  <w:tcW w:w="6387" w:type="dxa"/>
                  <w:vAlign w:val="center"/>
                </w:tcPr>
                <w:p w14:paraId="1D977CB2">
                  <w:pPr>
                    <w:adjustRightInd w:val="0"/>
                    <w:snapToGrid w:val="0"/>
                    <w:jc w:val="center"/>
                    <w:rPr>
                      <w:rFonts w:hint="eastAsia" w:ascii="宋体" w:hAnsi="宋体" w:cs="宋体"/>
                      <w:b/>
                      <w:bCs/>
                      <w:color w:val="000000"/>
                      <w:szCs w:val="21"/>
                    </w:rPr>
                  </w:pPr>
                  <w:r>
                    <w:rPr>
                      <w:rStyle w:val="97"/>
                      <w:rFonts w:hint="eastAsia" w:ascii="宋体" w:hAnsi="宋体" w:cs="宋体"/>
                      <w:b/>
                      <w:bCs/>
                      <w:color w:val="000000"/>
                      <w:szCs w:val="21"/>
                    </w:rPr>
                    <w:t>准入要求</w:t>
                  </w:r>
                </w:p>
              </w:tc>
              <w:tc>
                <w:tcPr>
                  <w:tcW w:w="1855" w:type="dxa"/>
                  <w:vAlign w:val="center"/>
                </w:tcPr>
                <w:p w14:paraId="57976E76">
                  <w:pPr>
                    <w:adjustRightInd w:val="0"/>
                    <w:snapToGrid w:val="0"/>
                    <w:jc w:val="center"/>
                    <w:rPr>
                      <w:rFonts w:hint="eastAsia" w:ascii="宋体" w:hAnsi="宋体" w:cs="宋体"/>
                      <w:b/>
                      <w:bCs/>
                      <w:color w:val="000000"/>
                      <w:szCs w:val="21"/>
                    </w:rPr>
                  </w:pPr>
                  <w:r>
                    <w:rPr>
                      <w:rStyle w:val="97"/>
                      <w:rFonts w:hint="eastAsia" w:ascii="宋体" w:hAnsi="宋体" w:cs="宋体"/>
                      <w:b/>
                      <w:bCs/>
                      <w:color w:val="000000"/>
                      <w:szCs w:val="21"/>
                    </w:rPr>
                    <w:t>相符性分析</w:t>
                  </w:r>
                </w:p>
              </w:tc>
            </w:tr>
            <w:tr w14:paraId="10CF9C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43" w:type="dxa"/>
                  <w:vMerge w:val="restart"/>
                  <w:vAlign w:val="center"/>
                </w:tcPr>
                <w:p w14:paraId="23F1DBC1">
                  <w:pPr>
                    <w:pStyle w:val="10"/>
                    <w:spacing w:before="0" w:after="0" w:line="240" w:lineRule="auto"/>
                    <w:ind w:right="0"/>
                    <w:jc w:val="center"/>
                    <w:rPr>
                      <w:rFonts w:hint="eastAsia" w:ascii="宋体" w:hAnsi="宋体" w:cs="宋体"/>
                      <w:color w:val="000000"/>
                      <w:sz w:val="21"/>
                      <w:szCs w:val="21"/>
                    </w:rPr>
                  </w:pPr>
                  <w:r>
                    <w:rPr>
                      <w:rFonts w:hint="eastAsia" w:ascii="宋体" w:hAnsi="宋体" w:cs="宋体"/>
                      <w:color w:val="000000"/>
                      <w:sz w:val="21"/>
                      <w:szCs w:val="21"/>
                    </w:rPr>
                    <w:t>产业准入要求</w:t>
                  </w:r>
                </w:p>
              </w:tc>
              <w:tc>
                <w:tcPr>
                  <w:tcW w:w="6387" w:type="dxa"/>
                  <w:vAlign w:val="center"/>
                </w:tcPr>
                <w:p w14:paraId="10882E98">
                  <w:pPr>
                    <w:adjustRightInd w:val="0"/>
                    <w:snapToGrid w:val="0"/>
                    <w:rPr>
                      <w:color w:val="000000"/>
                      <w:szCs w:val="21"/>
                    </w:rPr>
                  </w:pPr>
                  <w:r>
                    <w:rPr>
                      <w:rFonts w:hint="eastAsia"/>
                      <w:color w:val="000000"/>
                      <w:szCs w:val="21"/>
                    </w:rPr>
                    <w:t>产业定位：规划重点发展纺织服装（含印染）、食品饮料、轻工机械、电子信息等主导产业</w:t>
                  </w:r>
                </w:p>
              </w:tc>
              <w:tc>
                <w:tcPr>
                  <w:tcW w:w="1855" w:type="dxa"/>
                  <w:vMerge w:val="restart"/>
                  <w:vAlign w:val="center"/>
                </w:tcPr>
                <w:p w14:paraId="53702887">
                  <w:pPr>
                    <w:pStyle w:val="10"/>
                    <w:spacing w:before="0" w:after="0" w:line="240" w:lineRule="auto"/>
                    <w:ind w:right="0"/>
                    <w:jc w:val="center"/>
                    <w:rPr>
                      <w:color w:val="000000"/>
                      <w:sz w:val="21"/>
                      <w:szCs w:val="21"/>
                    </w:rPr>
                  </w:pPr>
                  <w:r>
                    <w:rPr>
                      <w:color w:val="000000"/>
                      <w:sz w:val="21"/>
                      <w:szCs w:val="21"/>
                    </w:rPr>
                    <w:t>本项目位于</w:t>
                  </w:r>
                  <w:r>
                    <w:rPr>
                      <w:rFonts w:hint="eastAsia"/>
                      <w:color w:val="000000"/>
                      <w:kern w:val="2"/>
                      <w:sz w:val="21"/>
                      <w:szCs w:val="21"/>
                    </w:rPr>
                    <w:t>江苏省泗阳经济开发区众兴东路282号</w:t>
                  </w:r>
                  <w:r>
                    <w:rPr>
                      <w:rFonts w:hint="eastAsia"/>
                      <w:color w:val="000000"/>
                      <w:sz w:val="21"/>
                      <w:szCs w:val="21"/>
                    </w:rPr>
                    <w:t>，</w:t>
                  </w:r>
                  <w:r>
                    <w:rPr>
                      <w:color w:val="000000"/>
                      <w:sz w:val="21"/>
                      <w:szCs w:val="21"/>
                    </w:rPr>
                    <w:t>在</w:t>
                  </w:r>
                  <w:r>
                    <w:rPr>
                      <w:rFonts w:hint="eastAsia"/>
                      <w:color w:val="000000"/>
                      <w:sz w:val="21"/>
                      <w:szCs w:val="21"/>
                    </w:rPr>
                    <w:t>泗阳经济开发区</w:t>
                  </w:r>
                  <w:r>
                    <w:rPr>
                      <w:color w:val="000000"/>
                      <w:sz w:val="21"/>
                      <w:szCs w:val="21"/>
                    </w:rPr>
                    <w:t>区域范围内，项目属于</w:t>
                  </w:r>
                  <w:r>
                    <w:rPr>
                      <w:rFonts w:hint="eastAsia"/>
                      <w:color w:val="000000"/>
                      <w:sz w:val="21"/>
                      <w:szCs w:val="21"/>
                    </w:rPr>
                    <w:t>玻璃包装容器制造，</w:t>
                  </w:r>
                  <w:r>
                    <w:rPr>
                      <w:color w:val="000000"/>
                      <w:sz w:val="21"/>
                      <w:szCs w:val="21"/>
                    </w:rPr>
                    <w:t>符合《江苏泗阳经济开发区开发建设规划（2020-2035）》</w:t>
                  </w:r>
                  <w:r>
                    <w:rPr>
                      <w:rFonts w:hint="eastAsia"/>
                      <w:color w:val="000000"/>
                      <w:sz w:val="21"/>
                      <w:szCs w:val="21"/>
                    </w:rPr>
                    <w:t>产业定位，且</w:t>
                  </w:r>
                  <w:r>
                    <w:rPr>
                      <w:color w:val="000000"/>
                      <w:sz w:val="21"/>
                      <w:szCs w:val="21"/>
                    </w:rPr>
                    <w:t>不属于禁止引入类</w:t>
                  </w:r>
                  <w:r>
                    <w:rPr>
                      <w:rFonts w:hint="eastAsia"/>
                      <w:color w:val="000000"/>
                      <w:sz w:val="21"/>
                      <w:szCs w:val="21"/>
                    </w:rPr>
                    <w:t>项目。</w:t>
                  </w:r>
                </w:p>
              </w:tc>
            </w:tr>
            <w:tr w14:paraId="776D44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43" w:type="dxa"/>
                  <w:vMerge w:val="continue"/>
                  <w:vAlign w:val="center"/>
                </w:tcPr>
                <w:p w14:paraId="07B11C8E">
                  <w:pPr>
                    <w:pStyle w:val="10"/>
                    <w:spacing w:before="0" w:after="0" w:line="240" w:lineRule="auto"/>
                    <w:ind w:right="0"/>
                    <w:jc w:val="center"/>
                    <w:rPr>
                      <w:rFonts w:hint="eastAsia" w:ascii="宋体" w:hAnsi="宋体" w:cs="宋体"/>
                      <w:color w:val="000000"/>
                      <w:sz w:val="21"/>
                      <w:szCs w:val="21"/>
                    </w:rPr>
                  </w:pPr>
                </w:p>
              </w:tc>
              <w:tc>
                <w:tcPr>
                  <w:tcW w:w="6387" w:type="dxa"/>
                  <w:vAlign w:val="center"/>
                </w:tcPr>
                <w:p w14:paraId="30A118FA">
                  <w:pPr>
                    <w:pStyle w:val="10"/>
                    <w:spacing w:before="0" w:after="0" w:line="240" w:lineRule="auto"/>
                    <w:ind w:right="0"/>
                    <w:rPr>
                      <w:rFonts w:hint="eastAsia" w:ascii="宋体" w:hAnsi="宋体" w:cs="宋体"/>
                      <w:sz w:val="21"/>
                      <w:szCs w:val="21"/>
                    </w:rPr>
                  </w:pPr>
                  <w:r>
                    <w:rPr>
                      <w:sz w:val="21"/>
                      <w:szCs w:val="21"/>
                    </w:rPr>
                    <w:t>优先引入：《产业结构调整指导目录（2019年本）》、《鼓励外商投资产业目录（2019年版）》、《产业发展与转移指导目录（2018年本）》、《战略性新兴产业重点产品和服务指导目录（2016版）》、《江苏省工业和信息产业结构调整指导目录（2012年本）》（2013年修正）鼓励类或优先承接的产业类项目，且符合开发区产业定位的项目。</w:t>
                  </w:r>
                </w:p>
              </w:tc>
              <w:tc>
                <w:tcPr>
                  <w:tcW w:w="1855" w:type="dxa"/>
                  <w:vMerge w:val="continue"/>
                  <w:vAlign w:val="center"/>
                </w:tcPr>
                <w:p w14:paraId="2F47FACD">
                  <w:pPr>
                    <w:pStyle w:val="10"/>
                    <w:spacing w:before="0" w:after="0" w:line="240" w:lineRule="auto"/>
                    <w:ind w:right="0"/>
                    <w:jc w:val="center"/>
                    <w:rPr>
                      <w:rFonts w:hint="eastAsia" w:ascii="宋体" w:hAnsi="宋体" w:cs="宋体"/>
                      <w:color w:val="000000"/>
                      <w:sz w:val="21"/>
                      <w:szCs w:val="21"/>
                    </w:rPr>
                  </w:pPr>
                </w:p>
              </w:tc>
            </w:tr>
            <w:tr w14:paraId="035FBB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43" w:type="dxa"/>
                  <w:vMerge w:val="continue"/>
                  <w:vAlign w:val="center"/>
                </w:tcPr>
                <w:p w14:paraId="35FC98CB">
                  <w:pPr>
                    <w:pStyle w:val="10"/>
                    <w:spacing w:before="0" w:after="0" w:line="240" w:lineRule="auto"/>
                    <w:ind w:right="0"/>
                    <w:jc w:val="center"/>
                    <w:rPr>
                      <w:rFonts w:hint="eastAsia" w:ascii="宋体" w:hAnsi="宋体" w:cs="宋体"/>
                      <w:color w:val="000000"/>
                      <w:sz w:val="21"/>
                      <w:szCs w:val="21"/>
                    </w:rPr>
                  </w:pPr>
                </w:p>
              </w:tc>
              <w:tc>
                <w:tcPr>
                  <w:tcW w:w="6387" w:type="dxa"/>
                  <w:vAlign w:val="center"/>
                </w:tcPr>
                <w:p w14:paraId="367E7964">
                  <w:pPr>
                    <w:pStyle w:val="10"/>
                    <w:spacing w:before="0" w:after="0" w:line="240" w:lineRule="auto"/>
                    <w:ind w:right="0"/>
                    <w:rPr>
                      <w:color w:val="000000"/>
                      <w:sz w:val="21"/>
                      <w:szCs w:val="21"/>
                    </w:rPr>
                  </w:pPr>
                  <w:r>
                    <w:rPr>
                      <w:color w:val="000000"/>
                      <w:sz w:val="21"/>
                      <w:szCs w:val="21"/>
                    </w:rPr>
                    <w:t>禁止引入：l、新建、扩建法律法规和相关政策明令禁止的落后产能项目；2、新建、扩建不符合国家产能置换要求的严重过剩产能行业的项目；3、新建、扩建《外商投资准入特别管理措施（负面清单）（2020 年版）》、《产业结构调整指导目录（2019年本）》、《江苏省工业和信息产业结构调整限制淘汰目录和能耗限额（2015年本）》明确的限制类、禁止类或淘汰类项目；4、不符合《印染行业规范条件》的印染项目；5、含化学合成反应的食品类项目；6、使用高VOCs含量的溶剂型涂料、油墨、胶粘剂等项目；7、排放重点重金属（铅、采、镐、铭、石串）的项目；8、不符合产业定位的项目。</w:t>
                  </w:r>
                </w:p>
              </w:tc>
              <w:tc>
                <w:tcPr>
                  <w:tcW w:w="1855" w:type="dxa"/>
                  <w:vMerge w:val="continue"/>
                  <w:vAlign w:val="center"/>
                </w:tcPr>
                <w:p w14:paraId="2D03BC68">
                  <w:pPr>
                    <w:pStyle w:val="10"/>
                    <w:spacing w:before="0" w:after="0" w:line="240" w:lineRule="auto"/>
                    <w:ind w:right="0"/>
                    <w:jc w:val="center"/>
                    <w:rPr>
                      <w:color w:val="000000"/>
                      <w:sz w:val="21"/>
                      <w:szCs w:val="21"/>
                    </w:rPr>
                  </w:pPr>
                </w:p>
              </w:tc>
            </w:tr>
          </w:tbl>
          <w:p w14:paraId="0AB3542E">
            <w:pPr>
              <w:pStyle w:val="10"/>
              <w:spacing w:before="156" w:beforeLines="50" w:after="0" w:line="360" w:lineRule="auto"/>
              <w:ind w:right="0"/>
              <w:rPr>
                <w:b/>
                <w:bCs/>
                <w:color w:val="000000"/>
                <w:sz w:val="21"/>
                <w:szCs w:val="22"/>
              </w:rPr>
            </w:pPr>
            <w:r>
              <w:rPr>
                <w:rFonts w:hint="eastAsia"/>
                <w:b/>
                <w:bCs/>
                <w:color w:val="000000"/>
                <w:sz w:val="21"/>
                <w:szCs w:val="22"/>
              </w:rPr>
              <w:t>3、规划审查意见符合性分析</w:t>
            </w:r>
          </w:p>
          <w:p w14:paraId="1CB1137F">
            <w:pPr>
              <w:pStyle w:val="10"/>
              <w:spacing w:before="156" w:beforeLines="50" w:after="0" w:line="240" w:lineRule="auto"/>
              <w:ind w:right="0"/>
              <w:jc w:val="center"/>
              <w:rPr>
                <w:rFonts w:hint="eastAsia" w:ascii="宋体" w:hAnsi="宋体" w:cs="宋体"/>
                <w:b/>
                <w:bCs/>
                <w:color w:val="000000"/>
                <w:sz w:val="21"/>
                <w:szCs w:val="21"/>
              </w:rPr>
            </w:pPr>
            <w:r>
              <w:rPr>
                <w:rFonts w:hint="eastAsia" w:ascii="宋体" w:hAnsi="宋体" w:cs="宋体"/>
                <w:b/>
                <w:bCs/>
                <w:color w:val="000000"/>
                <w:sz w:val="21"/>
                <w:szCs w:val="21"/>
              </w:rPr>
              <w:t>表</w:t>
            </w:r>
            <w:r>
              <w:rPr>
                <w:b/>
                <w:bCs/>
                <w:color w:val="000000"/>
                <w:sz w:val="21"/>
                <w:szCs w:val="21"/>
              </w:rPr>
              <w:t>1-</w:t>
            </w:r>
            <w:r>
              <w:rPr>
                <w:rFonts w:hint="eastAsia"/>
                <w:b/>
                <w:bCs/>
                <w:color w:val="000000"/>
                <w:sz w:val="21"/>
                <w:szCs w:val="21"/>
              </w:rPr>
              <w:t>2</w:t>
            </w:r>
            <w:r>
              <w:rPr>
                <w:rFonts w:hint="eastAsia" w:ascii="宋体" w:hAnsi="宋体" w:cs="宋体"/>
                <w:b/>
                <w:bCs/>
                <w:color w:val="000000"/>
                <w:sz w:val="21"/>
                <w:szCs w:val="21"/>
              </w:rPr>
              <w:t xml:space="preserve"> 本项目与</w:t>
            </w:r>
            <w:r>
              <w:rPr>
                <w:rFonts w:hint="eastAsia"/>
                <w:b/>
                <w:bCs/>
                <w:color w:val="000000"/>
                <w:sz w:val="21"/>
                <w:szCs w:val="21"/>
              </w:rPr>
              <w:t>苏环审</w:t>
            </w:r>
            <w:r>
              <w:rPr>
                <w:rFonts w:hint="eastAsia" w:ascii="宋体" w:hAnsi="宋体" w:cs="宋体"/>
                <w:b/>
                <w:bCs/>
                <w:color w:val="000000"/>
                <w:sz w:val="21"/>
                <w:szCs w:val="21"/>
              </w:rPr>
              <w:t>﹝</w:t>
            </w:r>
            <w:r>
              <w:rPr>
                <w:rFonts w:hint="eastAsia"/>
                <w:b/>
                <w:bCs/>
                <w:color w:val="000000"/>
                <w:sz w:val="21"/>
                <w:szCs w:val="21"/>
              </w:rPr>
              <w:t>2021</w:t>
            </w:r>
            <w:r>
              <w:rPr>
                <w:rFonts w:hint="eastAsia" w:ascii="宋体" w:hAnsi="宋体" w:cs="宋体"/>
                <w:b/>
                <w:bCs/>
                <w:color w:val="000000"/>
                <w:sz w:val="21"/>
                <w:szCs w:val="21"/>
              </w:rPr>
              <w:t>﹞</w:t>
            </w:r>
            <w:r>
              <w:rPr>
                <w:rFonts w:hint="eastAsia"/>
                <w:b/>
                <w:bCs/>
                <w:color w:val="000000"/>
                <w:sz w:val="21"/>
                <w:szCs w:val="21"/>
              </w:rPr>
              <w:t>23号</w:t>
            </w:r>
            <w:r>
              <w:rPr>
                <w:rFonts w:hint="eastAsia" w:ascii="宋体" w:hAnsi="宋体" w:cs="宋体"/>
                <w:b/>
                <w:bCs/>
                <w:color w:val="000000"/>
                <w:sz w:val="21"/>
                <w:szCs w:val="21"/>
              </w:rPr>
              <w:t>的相符性分析</w:t>
            </w:r>
          </w:p>
          <w:tbl>
            <w:tblPr>
              <w:tblStyle w:val="3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079"/>
              <w:gridCol w:w="5676"/>
              <w:gridCol w:w="1464"/>
              <w:gridCol w:w="566"/>
            </w:tblGrid>
            <w:tr w14:paraId="6C620B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755" w:type="dxa"/>
                  <w:gridSpan w:val="2"/>
                  <w:vAlign w:val="center"/>
                </w:tcPr>
                <w:p w14:paraId="5045BE1C">
                  <w:pPr>
                    <w:pStyle w:val="10"/>
                    <w:spacing w:before="0" w:after="0" w:line="240" w:lineRule="auto"/>
                    <w:ind w:right="0"/>
                    <w:jc w:val="center"/>
                    <w:rPr>
                      <w:b/>
                      <w:bCs/>
                      <w:color w:val="000000"/>
                      <w:sz w:val="21"/>
                      <w:szCs w:val="21"/>
                    </w:rPr>
                  </w:pPr>
                  <w:r>
                    <w:rPr>
                      <w:rFonts w:hint="eastAsia"/>
                      <w:b/>
                      <w:bCs/>
                      <w:color w:val="000000"/>
                      <w:sz w:val="21"/>
                      <w:szCs w:val="21"/>
                    </w:rPr>
                    <w:t>审查意见</w:t>
                  </w:r>
                </w:p>
              </w:tc>
              <w:tc>
                <w:tcPr>
                  <w:tcW w:w="1464" w:type="dxa"/>
                  <w:vMerge w:val="restart"/>
                  <w:vAlign w:val="center"/>
                </w:tcPr>
                <w:p w14:paraId="1E9B233F">
                  <w:pPr>
                    <w:pStyle w:val="75"/>
                    <w:rPr>
                      <w:rFonts w:hint="eastAsia"/>
                      <w:color w:val="000000"/>
                      <w:sz w:val="21"/>
                      <w:szCs w:val="21"/>
                    </w:rPr>
                  </w:pPr>
                  <w:r>
                    <w:rPr>
                      <w:rFonts w:ascii="Times New Roman" w:hAnsi="Times New Roman" w:cs="Times New Roman"/>
                      <w:b/>
                      <w:color w:val="000000"/>
                      <w:sz w:val="21"/>
                      <w:szCs w:val="21"/>
                    </w:rPr>
                    <w:t>本项目情况</w:t>
                  </w:r>
                </w:p>
              </w:tc>
              <w:tc>
                <w:tcPr>
                  <w:tcW w:w="566" w:type="dxa"/>
                  <w:vMerge w:val="restart"/>
                  <w:vAlign w:val="center"/>
                </w:tcPr>
                <w:p w14:paraId="40A3F104">
                  <w:pPr>
                    <w:pStyle w:val="10"/>
                    <w:spacing w:before="0" w:after="0" w:line="240" w:lineRule="auto"/>
                    <w:ind w:right="0"/>
                    <w:jc w:val="center"/>
                    <w:rPr>
                      <w:b/>
                      <w:bCs/>
                      <w:color w:val="000000"/>
                      <w:sz w:val="21"/>
                      <w:szCs w:val="21"/>
                    </w:rPr>
                  </w:pPr>
                  <w:r>
                    <w:rPr>
                      <w:rFonts w:hint="eastAsia"/>
                      <w:b/>
                      <w:bCs/>
                      <w:color w:val="000000"/>
                      <w:sz w:val="21"/>
                      <w:szCs w:val="21"/>
                    </w:rPr>
                    <w:t>是否相符</w:t>
                  </w:r>
                </w:p>
              </w:tc>
            </w:tr>
            <w:tr w14:paraId="2A6B51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9" w:type="dxa"/>
                  <w:vAlign w:val="center"/>
                </w:tcPr>
                <w:p w14:paraId="084FFC4C">
                  <w:pPr>
                    <w:pStyle w:val="10"/>
                    <w:spacing w:before="0" w:after="0" w:line="240" w:lineRule="auto"/>
                    <w:ind w:right="0"/>
                    <w:jc w:val="center"/>
                    <w:rPr>
                      <w:b/>
                      <w:bCs/>
                      <w:color w:val="000000"/>
                      <w:kern w:val="2"/>
                      <w:sz w:val="21"/>
                      <w:szCs w:val="21"/>
                    </w:rPr>
                  </w:pPr>
                  <w:r>
                    <w:rPr>
                      <w:rFonts w:hint="eastAsia"/>
                      <w:b/>
                      <w:bCs/>
                      <w:color w:val="000000"/>
                      <w:sz w:val="21"/>
                      <w:szCs w:val="21"/>
                    </w:rPr>
                    <w:t>要点</w:t>
                  </w:r>
                </w:p>
              </w:tc>
              <w:tc>
                <w:tcPr>
                  <w:tcW w:w="5676" w:type="dxa"/>
                  <w:vAlign w:val="center"/>
                </w:tcPr>
                <w:p w14:paraId="7F8EB72A">
                  <w:pPr>
                    <w:pStyle w:val="10"/>
                    <w:spacing w:before="0" w:after="0" w:line="240" w:lineRule="auto"/>
                    <w:ind w:right="0"/>
                    <w:jc w:val="center"/>
                    <w:rPr>
                      <w:b/>
                      <w:bCs/>
                      <w:color w:val="000000"/>
                      <w:sz w:val="21"/>
                      <w:szCs w:val="21"/>
                    </w:rPr>
                  </w:pPr>
                  <w:r>
                    <w:rPr>
                      <w:rFonts w:hint="eastAsia"/>
                      <w:b/>
                      <w:bCs/>
                      <w:color w:val="000000"/>
                      <w:sz w:val="21"/>
                      <w:szCs w:val="21"/>
                    </w:rPr>
                    <w:t>具体内容</w:t>
                  </w:r>
                </w:p>
              </w:tc>
              <w:tc>
                <w:tcPr>
                  <w:tcW w:w="1464" w:type="dxa"/>
                  <w:vMerge w:val="continue"/>
                  <w:vAlign w:val="center"/>
                </w:tcPr>
                <w:p w14:paraId="2115B202">
                  <w:pPr>
                    <w:pStyle w:val="10"/>
                    <w:spacing w:before="0" w:after="0" w:line="240" w:lineRule="auto"/>
                    <w:ind w:right="0"/>
                    <w:jc w:val="center"/>
                    <w:rPr>
                      <w:color w:val="000000"/>
                      <w:sz w:val="21"/>
                      <w:szCs w:val="21"/>
                    </w:rPr>
                  </w:pPr>
                </w:p>
              </w:tc>
              <w:tc>
                <w:tcPr>
                  <w:tcW w:w="566" w:type="dxa"/>
                  <w:vMerge w:val="continue"/>
                  <w:vAlign w:val="center"/>
                </w:tcPr>
                <w:p w14:paraId="585AB1FE">
                  <w:pPr>
                    <w:pStyle w:val="10"/>
                    <w:spacing w:before="0" w:after="0" w:line="240" w:lineRule="auto"/>
                    <w:ind w:right="0"/>
                    <w:jc w:val="center"/>
                    <w:rPr>
                      <w:color w:val="000000"/>
                      <w:sz w:val="21"/>
                      <w:szCs w:val="21"/>
                    </w:rPr>
                  </w:pPr>
                </w:p>
              </w:tc>
            </w:tr>
            <w:tr w14:paraId="546CD7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8" w:hRule="atLeast"/>
                <w:jc w:val="center"/>
              </w:trPr>
              <w:tc>
                <w:tcPr>
                  <w:tcW w:w="1079" w:type="dxa"/>
                  <w:vAlign w:val="center"/>
                </w:tcPr>
                <w:p w14:paraId="72139854">
                  <w:pPr>
                    <w:pStyle w:val="10"/>
                    <w:spacing w:before="0" w:after="0" w:line="240" w:lineRule="auto"/>
                    <w:ind w:right="0"/>
                    <w:jc w:val="center"/>
                    <w:rPr>
                      <w:color w:val="000000"/>
                      <w:sz w:val="21"/>
                      <w:szCs w:val="21"/>
                    </w:rPr>
                  </w:pPr>
                  <w:r>
                    <w:rPr>
                      <w:color w:val="000000"/>
                      <w:sz w:val="21"/>
                      <w:szCs w:val="21"/>
                    </w:rPr>
                    <w:t>严格空间管控，优化空间布局</w:t>
                  </w:r>
                </w:p>
              </w:tc>
              <w:tc>
                <w:tcPr>
                  <w:tcW w:w="5676" w:type="dxa"/>
                  <w:vAlign w:val="center"/>
                </w:tcPr>
                <w:p w14:paraId="74C7C3B3">
                  <w:pPr>
                    <w:pStyle w:val="10"/>
                    <w:spacing w:before="0" w:after="0" w:line="240" w:lineRule="auto"/>
                    <w:ind w:right="0" w:firstLine="420" w:firstLineChars="200"/>
                    <w:rPr>
                      <w:color w:val="000000"/>
                      <w:sz w:val="21"/>
                      <w:szCs w:val="21"/>
                    </w:rPr>
                  </w:pPr>
                  <w:r>
                    <w:rPr>
                      <w:color w:val="000000"/>
                      <w:sz w:val="21"/>
                      <w:szCs w:val="21"/>
                    </w:rPr>
                    <w:t>落实</w:t>
                  </w:r>
                  <w:r>
                    <w:rPr>
                      <w:rFonts w:hint="eastAsia" w:ascii="宋体" w:hAnsi="宋体" w:cs="宋体"/>
                      <w:color w:val="000000"/>
                      <w:sz w:val="21"/>
                      <w:szCs w:val="21"/>
                    </w:rPr>
                    <w:t>“</w:t>
                  </w:r>
                  <w:r>
                    <w:rPr>
                      <w:color w:val="000000"/>
                      <w:sz w:val="21"/>
                      <w:szCs w:val="21"/>
                    </w:rPr>
                    <w:t>三线一单</w:t>
                  </w:r>
                  <w:r>
                    <w:rPr>
                      <w:rFonts w:hint="eastAsia" w:ascii="宋体" w:hAnsi="宋体" w:cs="宋体"/>
                      <w:color w:val="000000"/>
                      <w:sz w:val="21"/>
                      <w:szCs w:val="21"/>
                    </w:rPr>
                    <w:t>”</w:t>
                  </w:r>
                  <w:r>
                    <w:rPr>
                      <w:color w:val="000000"/>
                      <w:sz w:val="21"/>
                      <w:szCs w:val="21"/>
                    </w:rPr>
                    <w:t>生态环境分区管控要求，进一步强化开发区空间管控，减轻产业发展对生态环境、人居环境造成不良影响。开发区内现有部分居住区，存在工居混杂现象。开发区需根据规划有序推进部分工业企业逐步关停退出，及时调整相应的用地性质，整合零散居住用地。居住区周边工业地块应优先引入无污染或轻污染项目，设置绿化隔离带，减缓工业生产对居住区的影响。加快推进韩庄、江庄、西刘等</w:t>
                  </w:r>
                  <w:r>
                    <w:rPr>
                      <w:rFonts w:hint="eastAsia"/>
                      <w:color w:val="000000"/>
                      <w:sz w:val="21"/>
                      <w:szCs w:val="21"/>
                    </w:rPr>
                    <w:t>3</w:t>
                  </w:r>
                  <w:r>
                    <w:rPr>
                      <w:color w:val="000000"/>
                      <w:sz w:val="21"/>
                      <w:szCs w:val="21"/>
                    </w:rPr>
                    <w:t>个村庄农村居住点的拆迁工作。</w:t>
                  </w:r>
                </w:p>
              </w:tc>
              <w:tc>
                <w:tcPr>
                  <w:tcW w:w="1464" w:type="dxa"/>
                  <w:vAlign w:val="center"/>
                </w:tcPr>
                <w:p w14:paraId="2EABAD87">
                  <w:pPr>
                    <w:pStyle w:val="10"/>
                    <w:spacing w:before="0" w:after="0" w:line="240" w:lineRule="auto"/>
                    <w:ind w:right="0"/>
                    <w:jc w:val="center"/>
                    <w:rPr>
                      <w:color w:val="000000"/>
                      <w:sz w:val="21"/>
                      <w:szCs w:val="21"/>
                    </w:rPr>
                  </w:pPr>
                  <w:r>
                    <w:rPr>
                      <w:color w:val="000000"/>
                      <w:sz w:val="21"/>
                      <w:szCs w:val="21"/>
                    </w:rPr>
                    <w:t>本项目用地为工业工地，不占用生态空间管控区域</w:t>
                  </w:r>
                </w:p>
              </w:tc>
              <w:tc>
                <w:tcPr>
                  <w:tcW w:w="566" w:type="dxa"/>
                  <w:vAlign w:val="center"/>
                </w:tcPr>
                <w:p w14:paraId="0B2CE57E">
                  <w:pPr>
                    <w:pStyle w:val="10"/>
                    <w:spacing w:before="0" w:after="0" w:line="240" w:lineRule="auto"/>
                    <w:ind w:right="0"/>
                    <w:jc w:val="center"/>
                    <w:rPr>
                      <w:color w:val="000000"/>
                      <w:sz w:val="21"/>
                      <w:szCs w:val="21"/>
                    </w:rPr>
                  </w:pPr>
                  <w:r>
                    <w:rPr>
                      <w:rFonts w:hint="eastAsia"/>
                      <w:color w:val="000000"/>
                      <w:sz w:val="21"/>
                      <w:szCs w:val="21"/>
                    </w:rPr>
                    <w:t>符合</w:t>
                  </w:r>
                </w:p>
              </w:tc>
            </w:tr>
            <w:tr w14:paraId="19D3D2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8" w:hRule="atLeast"/>
                <w:jc w:val="center"/>
              </w:trPr>
              <w:tc>
                <w:tcPr>
                  <w:tcW w:w="1079" w:type="dxa"/>
                  <w:vAlign w:val="center"/>
                </w:tcPr>
                <w:p w14:paraId="6E8AD990">
                  <w:pPr>
                    <w:pStyle w:val="10"/>
                    <w:spacing w:before="0" w:after="0" w:line="240" w:lineRule="auto"/>
                    <w:ind w:right="0"/>
                    <w:jc w:val="center"/>
                    <w:rPr>
                      <w:color w:val="000000"/>
                      <w:sz w:val="21"/>
                      <w:szCs w:val="21"/>
                    </w:rPr>
                  </w:pPr>
                  <w:r>
                    <w:rPr>
                      <w:color w:val="000000"/>
                      <w:sz w:val="21"/>
                      <w:szCs w:val="21"/>
                    </w:rPr>
                    <w:t>实施污染物排放限值限量管理，切实改善区域生态环境质量</w:t>
                  </w:r>
                </w:p>
              </w:tc>
              <w:tc>
                <w:tcPr>
                  <w:tcW w:w="5676" w:type="dxa"/>
                  <w:vAlign w:val="center"/>
                </w:tcPr>
                <w:p w14:paraId="5FC95A4E">
                  <w:pPr>
                    <w:pStyle w:val="10"/>
                    <w:spacing w:before="0" w:after="0" w:line="240" w:lineRule="auto"/>
                    <w:ind w:right="0" w:firstLine="420" w:firstLineChars="200"/>
                    <w:rPr>
                      <w:color w:val="000000"/>
                      <w:sz w:val="21"/>
                      <w:szCs w:val="21"/>
                    </w:rPr>
                  </w:pPr>
                  <w:r>
                    <w:rPr>
                      <w:color w:val="000000"/>
                      <w:sz w:val="21"/>
                      <w:szCs w:val="21"/>
                    </w:rPr>
                    <w:t>完善主要污染物排放总量控制措施，实现主要污染物排放浓度和总量</w:t>
                  </w:r>
                  <w:r>
                    <w:rPr>
                      <w:rFonts w:hint="eastAsia" w:ascii="宋体" w:hAnsi="宋体" w:cs="宋体"/>
                      <w:color w:val="000000"/>
                      <w:sz w:val="21"/>
                      <w:szCs w:val="21"/>
                    </w:rPr>
                    <w:t>“</w:t>
                  </w:r>
                  <w:r>
                    <w:rPr>
                      <w:color w:val="000000"/>
                      <w:sz w:val="21"/>
                      <w:szCs w:val="21"/>
                    </w:rPr>
                    <w:t>双管控</w:t>
                  </w:r>
                  <w:r>
                    <w:rPr>
                      <w:rFonts w:hint="eastAsia"/>
                      <w:color w:val="000000"/>
                      <w:sz w:val="21"/>
                      <w:szCs w:val="21"/>
                    </w:rPr>
                    <w:t>”</w:t>
                  </w:r>
                  <w:r>
                    <w:rPr>
                      <w:color w:val="000000"/>
                      <w:sz w:val="21"/>
                      <w:szCs w:val="21"/>
                    </w:rPr>
                    <w:t>，为推进区域环境质量持续改善作出积极贡献。加强江苏洋河酒厂股份有限公司污染治理和污染物排放的监管，确保企业稳定达标排放。在符合产业政策的前提下，洋河酒厂改扩建项目应做到</w:t>
                  </w:r>
                  <w:r>
                    <w:rPr>
                      <w:rFonts w:hint="eastAsia"/>
                      <w:color w:val="000000"/>
                      <w:sz w:val="21"/>
                      <w:szCs w:val="21"/>
                    </w:rPr>
                    <w:t>“</w:t>
                  </w:r>
                  <w:r>
                    <w:rPr>
                      <w:color w:val="000000"/>
                      <w:sz w:val="21"/>
                      <w:szCs w:val="21"/>
                    </w:rPr>
                    <w:t>增产减污</w:t>
                  </w:r>
                  <w:r>
                    <w:rPr>
                      <w:rFonts w:hint="eastAsia"/>
                      <w:color w:val="000000"/>
                      <w:sz w:val="21"/>
                      <w:szCs w:val="21"/>
                    </w:rPr>
                    <w:t>”。</w:t>
                  </w:r>
                  <w:r>
                    <w:rPr>
                      <w:color w:val="000000"/>
                      <w:sz w:val="21"/>
                      <w:szCs w:val="21"/>
                    </w:rPr>
                    <w:t>对区内印染企业进行整合升级，原则上仅服务于区内纺织服装企业，实施区内印染企业主要污染物排放总量控制，印染新改扩建项目在区内进行排污总量平衡和替代。</w:t>
                  </w:r>
                </w:p>
              </w:tc>
              <w:tc>
                <w:tcPr>
                  <w:tcW w:w="1464" w:type="dxa"/>
                  <w:vAlign w:val="center"/>
                </w:tcPr>
                <w:p w14:paraId="4A9A38E1">
                  <w:pPr>
                    <w:pStyle w:val="10"/>
                    <w:spacing w:before="0" w:after="0" w:line="240" w:lineRule="auto"/>
                    <w:ind w:right="0"/>
                    <w:jc w:val="center"/>
                    <w:rPr>
                      <w:color w:val="000000"/>
                      <w:sz w:val="21"/>
                      <w:szCs w:val="21"/>
                    </w:rPr>
                  </w:pPr>
                  <w:r>
                    <w:rPr>
                      <w:color w:val="000000"/>
                      <w:sz w:val="21"/>
                      <w:szCs w:val="21"/>
                    </w:rPr>
                    <w:t>项目污染物总量指标在泗阳县范围内平衡</w:t>
                  </w:r>
                </w:p>
              </w:tc>
              <w:tc>
                <w:tcPr>
                  <w:tcW w:w="566" w:type="dxa"/>
                  <w:vAlign w:val="center"/>
                </w:tcPr>
                <w:p w14:paraId="1984E1B6">
                  <w:pPr>
                    <w:pStyle w:val="10"/>
                    <w:spacing w:before="0" w:after="0" w:line="240" w:lineRule="auto"/>
                    <w:ind w:right="0"/>
                    <w:jc w:val="center"/>
                    <w:rPr>
                      <w:color w:val="000000"/>
                      <w:sz w:val="21"/>
                      <w:szCs w:val="21"/>
                    </w:rPr>
                  </w:pPr>
                  <w:r>
                    <w:rPr>
                      <w:rFonts w:hint="eastAsia"/>
                      <w:color w:val="000000"/>
                      <w:sz w:val="21"/>
                      <w:szCs w:val="21"/>
                    </w:rPr>
                    <w:t>符合</w:t>
                  </w:r>
                </w:p>
              </w:tc>
            </w:tr>
            <w:tr w14:paraId="643DB1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8" w:hRule="atLeast"/>
                <w:jc w:val="center"/>
              </w:trPr>
              <w:tc>
                <w:tcPr>
                  <w:tcW w:w="1079" w:type="dxa"/>
                  <w:vAlign w:val="center"/>
                </w:tcPr>
                <w:p w14:paraId="6E2CC78E">
                  <w:pPr>
                    <w:pStyle w:val="10"/>
                    <w:spacing w:before="0" w:after="0" w:line="240" w:lineRule="auto"/>
                    <w:ind w:right="0"/>
                    <w:jc w:val="center"/>
                    <w:rPr>
                      <w:color w:val="000000"/>
                      <w:sz w:val="21"/>
                      <w:szCs w:val="21"/>
                    </w:rPr>
                  </w:pPr>
                  <w:r>
                    <w:rPr>
                      <w:color w:val="000000"/>
                      <w:sz w:val="21"/>
                      <w:szCs w:val="21"/>
                    </w:rPr>
                    <w:t>加强源头治理，协同推进减污降碳</w:t>
                  </w:r>
                </w:p>
              </w:tc>
              <w:tc>
                <w:tcPr>
                  <w:tcW w:w="5676" w:type="dxa"/>
                  <w:vAlign w:val="center"/>
                </w:tcPr>
                <w:p w14:paraId="46F08633">
                  <w:pPr>
                    <w:pStyle w:val="10"/>
                    <w:spacing w:before="0" w:after="0" w:line="240" w:lineRule="auto"/>
                    <w:ind w:right="0" w:firstLine="420" w:firstLineChars="200"/>
                    <w:rPr>
                      <w:color w:val="000000"/>
                      <w:sz w:val="21"/>
                      <w:szCs w:val="21"/>
                    </w:rPr>
                  </w:pPr>
                  <w:r>
                    <w:rPr>
                      <w:color w:val="000000"/>
                      <w:sz w:val="21"/>
                      <w:szCs w:val="21"/>
                    </w:rPr>
                    <w:t>强化企业特征污染物排放控制、高效治理设施建设以及精细化管控要求。严格落实生态环境准入清单要求，严格限制与主导产业不相关的项目进入，执行最严格的行业废水、废气排放控制标准。新建、改建、扩建项目应采用先进的技术和设备，清洁生产水平应达到国际同行业先进水平。严控高耗能、高排放项目，园区碳排放达峰时间按国家及江苏省规定时间内完成。</w:t>
                  </w:r>
                </w:p>
              </w:tc>
              <w:tc>
                <w:tcPr>
                  <w:tcW w:w="1464" w:type="dxa"/>
                  <w:vAlign w:val="center"/>
                </w:tcPr>
                <w:p w14:paraId="145936DC">
                  <w:pPr>
                    <w:pStyle w:val="10"/>
                    <w:spacing w:before="0" w:after="0" w:line="240" w:lineRule="auto"/>
                    <w:ind w:right="0"/>
                    <w:jc w:val="center"/>
                    <w:rPr>
                      <w:color w:val="000000"/>
                      <w:sz w:val="21"/>
                      <w:szCs w:val="21"/>
                    </w:rPr>
                  </w:pPr>
                  <w:r>
                    <w:rPr>
                      <w:color w:val="000000"/>
                      <w:sz w:val="21"/>
                      <w:szCs w:val="21"/>
                    </w:rPr>
                    <w:t>项目符合生态环境准入清单要求，项目废水、废气</w:t>
                  </w:r>
                  <w:r>
                    <w:rPr>
                      <w:rFonts w:hint="eastAsia"/>
                      <w:color w:val="000000"/>
                      <w:sz w:val="21"/>
                      <w:szCs w:val="21"/>
                    </w:rPr>
                    <w:t>排放</w:t>
                  </w:r>
                  <w:r>
                    <w:rPr>
                      <w:color w:val="000000"/>
                      <w:sz w:val="21"/>
                      <w:szCs w:val="21"/>
                    </w:rPr>
                    <w:t>均满足</w:t>
                  </w:r>
                  <w:r>
                    <w:rPr>
                      <w:rFonts w:hint="eastAsia"/>
                      <w:color w:val="000000"/>
                      <w:sz w:val="21"/>
                      <w:szCs w:val="21"/>
                    </w:rPr>
                    <w:t>环境质量标准</w:t>
                  </w:r>
                  <w:r>
                    <w:rPr>
                      <w:color w:val="000000"/>
                      <w:sz w:val="21"/>
                      <w:szCs w:val="21"/>
                    </w:rPr>
                    <w:t>要求</w:t>
                  </w:r>
                </w:p>
              </w:tc>
              <w:tc>
                <w:tcPr>
                  <w:tcW w:w="566" w:type="dxa"/>
                  <w:vAlign w:val="center"/>
                </w:tcPr>
                <w:p w14:paraId="3D9A51B7">
                  <w:pPr>
                    <w:pStyle w:val="10"/>
                    <w:spacing w:before="0" w:after="0" w:line="240" w:lineRule="auto"/>
                    <w:ind w:right="0"/>
                    <w:jc w:val="center"/>
                    <w:rPr>
                      <w:color w:val="000000"/>
                      <w:sz w:val="21"/>
                      <w:szCs w:val="21"/>
                    </w:rPr>
                  </w:pPr>
                  <w:r>
                    <w:rPr>
                      <w:rFonts w:hint="eastAsia"/>
                      <w:color w:val="000000"/>
                      <w:sz w:val="21"/>
                      <w:szCs w:val="21"/>
                    </w:rPr>
                    <w:t>符合</w:t>
                  </w:r>
                </w:p>
              </w:tc>
            </w:tr>
            <w:tr w14:paraId="538464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8" w:hRule="atLeast"/>
                <w:jc w:val="center"/>
              </w:trPr>
              <w:tc>
                <w:tcPr>
                  <w:tcW w:w="1079" w:type="dxa"/>
                  <w:vAlign w:val="center"/>
                </w:tcPr>
                <w:p w14:paraId="2DCA65D3">
                  <w:pPr>
                    <w:pStyle w:val="10"/>
                    <w:spacing w:before="0" w:after="0" w:line="240" w:lineRule="auto"/>
                    <w:ind w:right="0"/>
                    <w:jc w:val="center"/>
                    <w:rPr>
                      <w:color w:val="000000"/>
                      <w:sz w:val="21"/>
                      <w:szCs w:val="21"/>
                    </w:rPr>
                  </w:pPr>
                  <w:r>
                    <w:rPr>
                      <w:color w:val="000000"/>
                      <w:sz w:val="21"/>
                      <w:szCs w:val="21"/>
                    </w:rPr>
                    <w:t>完善环境基础设施</w:t>
                  </w:r>
                </w:p>
              </w:tc>
              <w:tc>
                <w:tcPr>
                  <w:tcW w:w="5676" w:type="dxa"/>
                  <w:vAlign w:val="center"/>
                </w:tcPr>
                <w:p w14:paraId="48B12119">
                  <w:pPr>
                    <w:pStyle w:val="10"/>
                    <w:spacing w:before="0" w:after="0" w:line="240" w:lineRule="auto"/>
                    <w:ind w:right="0" w:firstLine="420" w:firstLineChars="200"/>
                    <w:rPr>
                      <w:color w:val="000000"/>
                      <w:sz w:val="21"/>
                      <w:szCs w:val="21"/>
                    </w:rPr>
                  </w:pPr>
                  <w:r>
                    <w:rPr>
                      <w:color w:val="000000"/>
                      <w:sz w:val="21"/>
                      <w:szCs w:val="21"/>
                    </w:rPr>
                    <w:t>加快推进城东污水处理厂一期工程的扩建项目建设。完善污水收集管网系统，确保区内生产废水和生活污水全收集、全处理。开展区域水污染物平衡核算管理，推动工业废水和生活污水分开收集、分质处理。加快实施入河排污口排查整治，做好清理合并。鼓励建设生态安全缓冲区，改善区域水环境质量。加快推进固体废物减量化、资源化、无害化的处理处置，规范危险废物贮存和转移管理，确保危险废物规范贮存、安全处置。</w:t>
                  </w:r>
                </w:p>
              </w:tc>
              <w:tc>
                <w:tcPr>
                  <w:tcW w:w="1464" w:type="dxa"/>
                  <w:vAlign w:val="center"/>
                </w:tcPr>
                <w:p w14:paraId="4E4FA6EE">
                  <w:pPr>
                    <w:pStyle w:val="10"/>
                    <w:spacing w:before="0" w:after="0" w:line="240" w:lineRule="auto"/>
                    <w:ind w:right="0"/>
                    <w:jc w:val="center"/>
                    <w:rPr>
                      <w:color w:val="000000"/>
                      <w:sz w:val="21"/>
                      <w:szCs w:val="21"/>
                    </w:rPr>
                  </w:pPr>
                  <w:r>
                    <w:rPr>
                      <w:color w:val="000000"/>
                      <w:sz w:val="21"/>
                      <w:szCs w:val="21"/>
                    </w:rPr>
                    <w:t>企业将规范危险废物贮存和转移管理，确保危险废物规范贮存</w:t>
                  </w:r>
                  <w:r>
                    <w:rPr>
                      <w:rFonts w:hint="eastAsia"/>
                      <w:color w:val="000000"/>
                      <w:sz w:val="21"/>
                      <w:szCs w:val="21"/>
                    </w:rPr>
                    <w:t>、</w:t>
                  </w:r>
                  <w:r>
                    <w:rPr>
                      <w:color w:val="000000"/>
                      <w:sz w:val="21"/>
                      <w:szCs w:val="21"/>
                    </w:rPr>
                    <w:t>安全处置</w:t>
                  </w:r>
                </w:p>
              </w:tc>
              <w:tc>
                <w:tcPr>
                  <w:tcW w:w="566" w:type="dxa"/>
                  <w:vAlign w:val="center"/>
                </w:tcPr>
                <w:p w14:paraId="60C3D30C">
                  <w:pPr>
                    <w:pStyle w:val="10"/>
                    <w:spacing w:before="0" w:after="0" w:line="240" w:lineRule="auto"/>
                    <w:ind w:right="0"/>
                    <w:jc w:val="center"/>
                    <w:rPr>
                      <w:color w:val="000000"/>
                      <w:sz w:val="21"/>
                      <w:szCs w:val="21"/>
                    </w:rPr>
                  </w:pPr>
                  <w:r>
                    <w:rPr>
                      <w:rFonts w:hint="eastAsia"/>
                      <w:color w:val="000000"/>
                      <w:sz w:val="21"/>
                      <w:szCs w:val="21"/>
                    </w:rPr>
                    <w:t>符合</w:t>
                  </w:r>
                </w:p>
              </w:tc>
            </w:tr>
            <w:tr w14:paraId="26A1A3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8" w:hRule="atLeast"/>
                <w:jc w:val="center"/>
              </w:trPr>
              <w:tc>
                <w:tcPr>
                  <w:tcW w:w="1079" w:type="dxa"/>
                  <w:vAlign w:val="center"/>
                </w:tcPr>
                <w:p w14:paraId="190AA73D">
                  <w:pPr>
                    <w:pStyle w:val="10"/>
                    <w:spacing w:before="0" w:after="0" w:line="240" w:lineRule="auto"/>
                    <w:ind w:right="0"/>
                    <w:jc w:val="center"/>
                    <w:rPr>
                      <w:color w:val="000000"/>
                      <w:sz w:val="21"/>
                      <w:szCs w:val="21"/>
                    </w:rPr>
                  </w:pPr>
                  <w:r>
                    <w:rPr>
                      <w:color w:val="000000"/>
                      <w:sz w:val="21"/>
                      <w:szCs w:val="21"/>
                    </w:rPr>
                    <w:t>健全园区环境风险防控体系，建立环境应急管理制度，提升环境应急能力</w:t>
                  </w:r>
                </w:p>
              </w:tc>
              <w:tc>
                <w:tcPr>
                  <w:tcW w:w="5676" w:type="dxa"/>
                  <w:vAlign w:val="center"/>
                </w:tcPr>
                <w:p w14:paraId="48BEA122">
                  <w:pPr>
                    <w:pStyle w:val="10"/>
                    <w:spacing w:before="0" w:after="0" w:line="240" w:lineRule="auto"/>
                    <w:ind w:right="0" w:firstLine="420" w:firstLineChars="200"/>
                    <w:rPr>
                      <w:color w:val="000000"/>
                      <w:sz w:val="21"/>
                      <w:szCs w:val="21"/>
                    </w:rPr>
                  </w:pPr>
                  <w:r>
                    <w:rPr>
                      <w:color w:val="000000"/>
                      <w:sz w:val="21"/>
                      <w:szCs w:val="21"/>
                    </w:rPr>
                    <w:t>制定环境应急预案，做到与各级政府、部门及企业应急预案的有效衔接，及时备案修编，定期开展演练，配备充足的环境应急物资，落实应急准备措施，建立应急响应联动机制，完善环境应急响应流程。建立隐患排查整改制度，推动园区及企业定期开展突发环境事件隐患排查治理，建立隐患清单并及时整改到位。完成园区三级环境防控体系建设，建立完善环境风险防控基础设施，并落实环境风险防范各项措施。</w:t>
                  </w:r>
                </w:p>
              </w:tc>
              <w:tc>
                <w:tcPr>
                  <w:tcW w:w="1464" w:type="dxa"/>
                  <w:vAlign w:val="center"/>
                </w:tcPr>
                <w:p w14:paraId="54386440">
                  <w:pPr>
                    <w:pStyle w:val="10"/>
                    <w:spacing w:before="0" w:after="0" w:line="240" w:lineRule="auto"/>
                    <w:ind w:right="0"/>
                    <w:jc w:val="center"/>
                    <w:rPr>
                      <w:color w:val="000000"/>
                      <w:sz w:val="21"/>
                      <w:szCs w:val="21"/>
                    </w:rPr>
                  </w:pPr>
                  <w:r>
                    <w:rPr>
                      <w:color w:val="000000"/>
                      <w:sz w:val="21"/>
                      <w:szCs w:val="21"/>
                    </w:rPr>
                    <w:t>企业将制定并落实各类事故风险防范措施及应急预案</w:t>
                  </w:r>
                </w:p>
              </w:tc>
              <w:tc>
                <w:tcPr>
                  <w:tcW w:w="566" w:type="dxa"/>
                  <w:vAlign w:val="center"/>
                </w:tcPr>
                <w:p w14:paraId="126ACF5B">
                  <w:pPr>
                    <w:pStyle w:val="10"/>
                    <w:spacing w:before="0" w:after="0" w:line="240" w:lineRule="auto"/>
                    <w:ind w:right="0"/>
                    <w:jc w:val="center"/>
                    <w:rPr>
                      <w:color w:val="000000"/>
                      <w:sz w:val="21"/>
                      <w:szCs w:val="21"/>
                    </w:rPr>
                  </w:pPr>
                  <w:r>
                    <w:rPr>
                      <w:rFonts w:hint="eastAsia"/>
                      <w:color w:val="000000"/>
                      <w:sz w:val="21"/>
                      <w:szCs w:val="21"/>
                    </w:rPr>
                    <w:t>符合</w:t>
                  </w:r>
                </w:p>
              </w:tc>
            </w:tr>
            <w:tr w14:paraId="4F70CC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8" w:hRule="atLeast"/>
                <w:jc w:val="center"/>
              </w:trPr>
              <w:tc>
                <w:tcPr>
                  <w:tcW w:w="1079" w:type="dxa"/>
                  <w:vAlign w:val="center"/>
                </w:tcPr>
                <w:p w14:paraId="2202F1F5">
                  <w:pPr>
                    <w:pStyle w:val="10"/>
                    <w:spacing w:before="0" w:after="0" w:line="240" w:lineRule="auto"/>
                    <w:ind w:right="0"/>
                    <w:jc w:val="center"/>
                    <w:rPr>
                      <w:color w:val="000000"/>
                      <w:sz w:val="21"/>
                      <w:szCs w:val="21"/>
                    </w:rPr>
                  </w:pPr>
                  <w:r>
                    <w:rPr>
                      <w:color w:val="000000"/>
                      <w:sz w:val="21"/>
                      <w:szCs w:val="21"/>
                    </w:rPr>
                    <w:t>建立健全环境监测监控体系</w:t>
                  </w:r>
                </w:p>
              </w:tc>
              <w:tc>
                <w:tcPr>
                  <w:tcW w:w="5676" w:type="dxa"/>
                  <w:vAlign w:val="center"/>
                </w:tcPr>
                <w:p w14:paraId="6608F8D4">
                  <w:pPr>
                    <w:pStyle w:val="10"/>
                    <w:spacing w:before="0" w:after="0" w:line="240" w:lineRule="auto"/>
                    <w:ind w:right="0" w:firstLine="420" w:firstLineChars="200"/>
                    <w:rPr>
                      <w:color w:val="000000"/>
                      <w:sz w:val="21"/>
                      <w:szCs w:val="21"/>
                    </w:rPr>
                  </w:pPr>
                  <w:r>
                    <w:rPr>
                      <w:color w:val="000000"/>
                      <w:sz w:val="21"/>
                      <w:szCs w:val="21"/>
                    </w:rPr>
                    <w:t>严格落实《全省省级及以上工业区（集中区）监测监控能力建设方案》（苏环办</w:t>
                  </w:r>
                  <w:r>
                    <w:rPr>
                      <w:rFonts w:hint="eastAsia" w:ascii="宋体" w:hAnsi="宋体" w:cs="宋体"/>
                      <w:color w:val="000000"/>
                      <w:sz w:val="21"/>
                      <w:szCs w:val="21"/>
                    </w:rPr>
                    <w:t>﹝</w:t>
                  </w:r>
                  <w:r>
                    <w:rPr>
                      <w:color w:val="000000"/>
                      <w:sz w:val="21"/>
                      <w:szCs w:val="21"/>
                    </w:rPr>
                    <w:t>2021</w:t>
                  </w:r>
                  <w:r>
                    <w:rPr>
                      <w:rFonts w:hint="eastAsia" w:ascii="宋体" w:hAnsi="宋体" w:cs="宋体"/>
                      <w:color w:val="000000"/>
                      <w:sz w:val="21"/>
                      <w:szCs w:val="21"/>
                    </w:rPr>
                    <w:t>﹞</w:t>
                  </w:r>
                  <w:r>
                    <w:rPr>
                      <w:color w:val="000000"/>
                      <w:sz w:val="21"/>
                      <w:szCs w:val="21"/>
                    </w:rPr>
                    <w:t>144 号）要求，在上、下风向至少各布设</w:t>
                  </w:r>
                  <w:r>
                    <w:rPr>
                      <w:rFonts w:hint="eastAsia"/>
                      <w:color w:val="000000"/>
                      <w:sz w:val="21"/>
                      <w:szCs w:val="21"/>
                    </w:rPr>
                    <w:t>1</w:t>
                  </w:r>
                  <w:r>
                    <w:rPr>
                      <w:color w:val="000000"/>
                      <w:sz w:val="21"/>
                      <w:szCs w:val="21"/>
                    </w:rPr>
                    <w:t>个空气质量自动监测站点，同时根据实际情况在园区周边河流布设水质自动监测站点。指导区内企业按《全省排污单位自动监测监控全覆盖（全联全控）工作方案》（苏环办</w:t>
                  </w:r>
                  <w:r>
                    <w:rPr>
                      <w:rFonts w:hint="eastAsia" w:ascii="宋体" w:hAnsi="宋体" w:cs="宋体"/>
                      <w:color w:val="000000"/>
                      <w:sz w:val="21"/>
                      <w:szCs w:val="21"/>
                    </w:rPr>
                    <w:t>﹝</w:t>
                  </w:r>
                  <w:r>
                    <w:rPr>
                      <w:color w:val="000000"/>
                      <w:sz w:val="21"/>
                      <w:szCs w:val="21"/>
                    </w:rPr>
                    <w:t>2021</w:t>
                  </w:r>
                  <w:r>
                    <w:rPr>
                      <w:rFonts w:hint="eastAsia" w:ascii="宋体" w:hAnsi="宋体" w:cs="宋体"/>
                      <w:color w:val="000000"/>
                      <w:sz w:val="21"/>
                      <w:szCs w:val="21"/>
                    </w:rPr>
                    <w:t>﹞</w:t>
                  </w:r>
                  <w:r>
                    <w:rPr>
                      <w:color w:val="000000"/>
                      <w:sz w:val="21"/>
                      <w:szCs w:val="21"/>
                    </w:rPr>
                    <w:t>146号）要求和监测规范，安装在线监测设备及自动留样、校准等辅助设备，实时监测获得主要污染物排放浓度、流量数据；暂不具备安装在线监测设备条件的企业，应指导企业做好委托监测，并告知企业及时上报监测数据。</w:t>
                  </w:r>
                </w:p>
              </w:tc>
              <w:tc>
                <w:tcPr>
                  <w:tcW w:w="1464" w:type="dxa"/>
                  <w:vAlign w:val="center"/>
                </w:tcPr>
                <w:p w14:paraId="013EB908">
                  <w:pPr>
                    <w:pStyle w:val="10"/>
                    <w:spacing w:before="0" w:after="0" w:line="240" w:lineRule="auto"/>
                    <w:ind w:right="0"/>
                    <w:jc w:val="center"/>
                    <w:rPr>
                      <w:color w:val="000000"/>
                      <w:sz w:val="21"/>
                      <w:szCs w:val="21"/>
                    </w:rPr>
                  </w:pPr>
                  <w:r>
                    <w:rPr>
                      <w:color w:val="000000"/>
                      <w:sz w:val="21"/>
                      <w:szCs w:val="21"/>
                    </w:rPr>
                    <w:t>项目</w:t>
                  </w:r>
                  <w:r>
                    <w:rPr>
                      <w:rFonts w:hint="eastAsia"/>
                      <w:color w:val="000000"/>
                      <w:sz w:val="21"/>
                      <w:szCs w:val="21"/>
                    </w:rPr>
                    <w:t>将根据技术规范严格执行自行监测计划</w:t>
                  </w:r>
                </w:p>
              </w:tc>
              <w:tc>
                <w:tcPr>
                  <w:tcW w:w="566" w:type="dxa"/>
                  <w:vAlign w:val="center"/>
                </w:tcPr>
                <w:p w14:paraId="5E4D1D7A">
                  <w:pPr>
                    <w:pStyle w:val="10"/>
                    <w:spacing w:before="0" w:after="0" w:line="240" w:lineRule="auto"/>
                    <w:ind w:right="0"/>
                    <w:jc w:val="center"/>
                    <w:rPr>
                      <w:color w:val="000000"/>
                      <w:sz w:val="21"/>
                      <w:szCs w:val="21"/>
                    </w:rPr>
                  </w:pPr>
                  <w:r>
                    <w:rPr>
                      <w:rFonts w:hint="eastAsia"/>
                      <w:color w:val="000000"/>
                      <w:sz w:val="21"/>
                      <w:szCs w:val="21"/>
                    </w:rPr>
                    <w:t>符合</w:t>
                  </w:r>
                </w:p>
              </w:tc>
            </w:tr>
          </w:tbl>
          <w:p w14:paraId="35680739">
            <w:pPr>
              <w:pStyle w:val="10"/>
              <w:spacing w:before="156" w:beforeLines="50" w:after="0" w:line="360" w:lineRule="auto"/>
              <w:ind w:right="0" w:firstLine="420" w:firstLineChars="200"/>
              <w:rPr>
                <w:kern w:val="21"/>
                <w:sz w:val="21"/>
                <w:szCs w:val="21"/>
              </w:rPr>
            </w:pPr>
            <w:r>
              <w:rPr>
                <w:rFonts w:hint="eastAsia"/>
                <w:color w:val="000000"/>
                <w:sz w:val="21"/>
                <w:szCs w:val="24"/>
              </w:rPr>
              <w:t>综上可知，建设项目符合相关规划、规划环境影响评价结论及审查意见。</w:t>
            </w:r>
          </w:p>
        </w:tc>
      </w:tr>
      <w:tr w14:paraId="5B5A44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690" w:type="dxa"/>
            <w:vAlign w:val="center"/>
          </w:tcPr>
          <w:p w14:paraId="1238EF50">
            <w:pPr>
              <w:autoSpaceDE w:val="0"/>
              <w:autoSpaceDN w:val="0"/>
              <w:adjustRightInd w:val="0"/>
              <w:snapToGrid w:val="0"/>
              <w:jc w:val="center"/>
              <w:rPr>
                <w:rFonts w:cs="宋体"/>
                <w:kern w:val="0"/>
                <w:szCs w:val="21"/>
              </w:rPr>
            </w:pPr>
            <w:r>
              <w:rPr>
                <w:rFonts w:hint="eastAsia" w:cs="宋体"/>
                <w:kern w:val="0"/>
                <w:szCs w:val="21"/>
              </w:rPr>
              <w:t>其他符合性分析</w:t>
            </w:r>
          </w:p>
        </w:tc>
        <w:tc>
          <w:tcPr>
            <w:tcW w:w="9001" w:type="dxa"/>
            <w:gridSpan w:val="4"/>
            <w:vAlign w:val="center"/>
          </w:tcPr>
          <w:p w14:paraId="2D418723">
            <w:pPr>
              <w:spacing w:line="360" w:lineRule="auto"/>
              <w:rPr>
                <w:b/>
                <w:bCs/>
                <w:color w:val="000000"/>
                <w:szCs w:val="21"/>
              </w:rPr>
            </w:pPr>
            <w:r>
              <w:rPr>
                <w:b/>
                <w:bCs/>
                <w:color w:val="000000"/>
                <w:szCs w:val="21"/>
              </w:rPr>
              <w:t>1、</w:t>
            </w:r>
            <w:r>
              <w:rPr>
                <w:rFonts w:hint="eastAsia"/>
                <w:b/>
                <w:bCs/>
                <w:color w:val="000000"/>
                <w:szCs w:val="21"/>
              </w:rPr>
              <w:t>产业政策相符性</w:t>
            </w:r>
          </w:p>
          <w:p w14:paraId="45EA1099">
            <w:pPr>
              <w:pStyle w:val="8"/>
              <w:spacing w:line="360" w:lineRule="auto"/>
              <w:ind w:firstLine="420" w:firstLineChars="200"/>
              <w:jc w:val="both"/>
              <w:rPr>
                <w:sz w:val="21"/>
                <w:szCs w:val="22"/>
              </w:rPr>
            </w:pPr>
            <w:r>
              <w:rPr>
                <w:rFonts w:hint="eastAsia"/>
                <w:sz w:val="21"/>
                <w:szCs w:val="22"/>
              </w:rPr>
              <w:t>本项目为C3055玻璃包装容器制造，主要从事玻璃酒瓶的生产，经查阅，</w:t>
            </w:r>
            <w:r>
              <w:rPr>
                <w:sz w:val="21"/>
                <w:szCs w:val="22"/>
              </w:rPr>
              <w:t>本项目不属于《产业结构调整指导目录（</w:t>
            </w:r>
            <w:r>
              <w:rPr>
                <w:rFonts w:hint="eastAsia"/>
                <w:sz w:val="21"/>
                <w:szCs w:val="22"/>
              </w:rPr>
              <w:t>2024</w:t>
            </w:r>
            <w:r>
              <w:rPr>
                <w:sz w:val="21"/>
                <w:szCs w:val="22"/>
              </w:rPr>
              <w:t>年本）》（</w:t>
            </w:r>
            <w:r>
              <w:rPr>
                <w:rFonts w:hint="eastAsia"/>
                <w:sz w:val="21"/>
                <w:szCs w:val="22"/>
              </w:rPr>
              <w:t>中华人民共和国</w:t>
            </w:r>
            <w:r>
              <w:rPr>
                <w:sz w:val="21"/>
                <w:szCs w:val="22"/>
              </w:rPr>
              <w:t>国家发展和改革委员会令第</w:t>
            </w:r>
            <w:r>
              <w:rPr>
                <w:rFonts w:hint="eastAsia"/>
                <w:sz w:val="21"/>
                <w:szCs w:val="22"/>
              </w:rPr>
              <w:t>7</w:t>
            </w:r>
            <w:r>
              <w:rPr>
                <w:sz w:val="21"/>
                <w:szCs w:val="22"/>
              </w:rPr>
              <w:t>号）有关条款的决定中淘汰和限制类项目，本项目不在《市场准入负面清单（202</w:t>
            </w:r>
            <w:r>
              <w:rPr>
                <w:rFonts w:hint="eastAsia"/>
                <w:sz w:val="21"/>
                <w:szCs w:val="22"/>
              </w:rPr>
              <w:t>2</w:t>
            </w:r>
            <w:r>
              <w:rPr>
                <w:sz w:val="21"/>
                <w:szCs w:val="22"/>
              </w:rPr>
              <w:t>年版）》禁止准入类中，</w:t>
            </w:r>
            <w:r>
              <w:rPr>
                <w:rFonts w:hint="eastAsia"/>
                <w:sz w:val="21"/>
                <w:szCs w:val="22"/>
              </w:rPr>
              <w:t>因此</w:t>
            </w:r>
            <w:r>
              <w:rPr>
                <w:sz w:val="21"/>
                <w:szCs w:val="22"/>
              </w:rPr>
              <w:t>项目的建设符合国家及地方的产业政策。</w:t>
            </w:r>
          </w:p>
          <w:p w14:paraId="3F8B90FA">
            <w:pPr>
              <w:spacing w:line="360" w:lineRule="auto"/>
              <w:rPr>
                <w:b/>
                <w:bCs/>
                <w:color w:val="000000"/>
                <w:szCs w:val="21"/>
              </w:rPr>
            </w:pPr>
            <w:r>
              <w:rPr>
                <w:b/>
                <w:bCs/>
                <w:color w:val="000000"/>
                <w:szCs w:val="21"/>
              </w:rPr>
              <w:t>2、</w:t>
            </w:r>
            <w:r>
              <w:rPr>
                <w:rFonts w:hint="eastAsia"/>
                <w:b/>
                <w:bCs/>
                <w:color w:val="000000"/>
                <w:szCs w:val="21"/>
              </w:rPr>
              <w:t>“三线一单”控制要求的相符性</w:t>
            </w:r>
          </w:p>
          <w:p w14:paraId="6845A707">
            <w:pPr>
              <w:spacing w:line="360" w:lineRule="auto"/>
              <w:rPr>
                <w:color w:val="000000"/>
              </w:rPr>
            </w:pPr>
            <w:r>
              <w:rPr>
                <w:color w:val="000000"/>
                <w:szCs w:val="21"/>
              </w:rPr>
              <w:t>（1）</w:t>
            </w:r>
            <w:r>
              <w:rPr>
                <w:rFonts w:hint="eastAsia"/>
                <w:color w:val="000000"/>
              </w:rPr>
              <w:t>生态红线相符性</w:t>
            </w:r>
          </w:p>
          <w:p w14:paraId="4D46F362">
            <w:pPr>
              <w:pStyle w:val="10"/>
              <w:spacing w:before="0" w:after="0" w:line="360" w:lineRule="auto"/>
              <w:ind w:right="0" w:firstLine="420" w:firstLineChars="200"/>
              <w:rPr>
                <w:color w:val="000000"/>
                <w:sz w:val="21"/>
                <w:szCs w:val="21"/>
              </w:rPr>
            </w:pPr>
            <w:r>
              <w:rPr>
                <w:rFonts w:hint="eastAsia"/>
                <w:color w:val="000000"/>
                <w:sz w:val="21"/>
                <w:szCs w:val="21"/>
              </w:rPr>
              <w:t>根据《省政府关于印发江苏省生态空间管控区域规划的通知》（苏政发〔2020〕1号），距离本项目最近的生态空间管控区域范围为京杭大运河（泗阳县）清水通道维护区，该生态保护红线位于本项目西南侧，两者距离约为3.8km，项目所在地附近生态空间管控区域见表1-</w:t>
            </w:r>
            <w:r>
              <w:rPr>
                <w:rFonts w:hint="eastAsia"/>
                <w:color w:val="000000"/>
                <w:sz w:val="21"/>
                <w:szCs w:val="21"/>
                <w:lang w:val="en-US" w:eastAsia="zh-CN"/>
              </w:rPr>
              <w:t>3</w:t>
            </w:r>
            <w:r>
              <w:rPr>
                <w:rFonts w:hint="eastAsia"/>
                <w:color w:val="000000"/>
                <w:sz w:val="21"/>
                <w:szCs w:val="21"/>
              </w:rPr>
              <w:t>及附图</w:t>
            </w:r>
            <w:r>
              <w:rPr>
                <w:rFonts w:hint="eastAsia"/>
                <w:color w:val="000000"/>
                <w:sz w:val="21"/>
                <w:szCs w:val="21"/>
                <w:lang w:val="en-US" w:eastAsia="zh-CN"/>
              </w:rPr>
              <w:t>4</w:t>
            </w:r>
            <w:r>
              <w:rPr>
                <w:rFonts w:hint="eastAsia"/>
                <w:color w:val="000000"/>
                <w:sz w:val="21"/>
                <w:szCs w:val="21"/>
              </w:rPr>
              <w:t>。</w:t>
            </w:r>
          </w:p>
          <w:p w14:paraId="35F3E2F3">
            <w:pPr>
              <w:adjustRightInd w:val="0"/>
              <w:snapToGrid w:val="0"/>
              <w:spacing w:before="156" w:beforeLines="50"/>
              <w:jc w:val="center"/>
              <w:rPr>
                <w:b/>
                <w:bCs/>
                <w:color w:val="000000"/>
                <w:szCs w:val="21"/>
              </w:rPr>
            </w:pPr>
            <w:r>
              <w:rPr>
                <w:b/>
                <w:bCs/>
                <w:color w:val="000000"/>
                <w:szCs w:val="21"/>
              </w:rPr>
              <w:t>表1-</w:t>
            </w:r>
            <w:r>
              <w:rPr>
                <w:rFonts w:hint="eastAsia"/>
                <w:b/>
                <w:bCs/>
                <w:color w:val="000000"/>
                <w:szCs w:val="21"/>
                <w:lang w:val="en-US" w:eastAsia="zh-CN"/>
              </w:rPr>
              <w:t>3</w:t>
            </w:r>
            <w:r>
              <w:rPr>
                <w:rFonts w:hint="eastAsia"/>
                <w:b/>
                <w:bCs/>
                <w:color w:val="000000"/>
                <w:szCs w:val="21"/>
              </w:rPr>
              <w:t xml:space="preserve"> </w:t>
            </w:r>
            <w:r>
              <w:rPr>
                <w:b/>
                <w:bCs/>
                <w:color w:val="000000"/>
                <w:szCs w:val="21"/>
              </w:rPr>
              <w:t>项目周边生态空间管控区域一览表</w:t>
            </w:r>
          </w:p>
          <w:tbl>
            <w:tblPr>
              <w:tblStyle w:val="30"/>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796"/>
              <w:gridCol w:w="745"/>
              <w:gridCol w:w="1373"/>
              <w:gridCol w:w="4678"/>
              <w:gridCol w:w="1188"/>
            </w:tblGrid>
            <w:tr w14:paraId="159F778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96" w:type="dxa"/>
                  <w:vMerge w:val="restart"/>
                  <w:tcBorders>
                    <w:top w:val="single" w:color="auto" w:sz="12" w:space="0"/>
                  </w:tcBorders>
                  <w:vAlign w:val="center"/>
                </w:tcPr>
                <w:p w14:paraId="685650C7">
                  <w:pPr>
                    <w:adjustRightInd w:val="0"/>
                    <w:snapToGrid w:val="0"/>
                    <w:spacing w:line="280" w:lineRule="exact"/>
                    <w:jc w:val="center"/>
                    <w:rPr>
                      <w:b/>
                      <w:bCs/>
                      <w:color w:val="000000"/>
                      <w:szCs w:val="21"/>
                    </w:rPr>
                  </w:pPr>
                  <w:r>
                    <w:rPr>
                      <w:b/>
                      <w:bCs/>
                      <w:color w:val="000000"/>
                      <w:szCs w:val="21"/>
                    </w:rPr>
                    <w:t>红线区域名称</w:t>
                  </w:r>
                </w:p>
              </w:tc>
              <w:tc>
                <w:tcPr>
                  <w:tcW w:w="745" w:type="dxa"/>
                  <w:vMerge w:val="restart"/>
                  <w:tcBorders>
                    <w:top w:val="single" w:color="auto" w:sz="12" w:space="0"/>
                  </w:tcBorders>
                  <w:vAlign w:val="center"/>
                </w:tcPr>
                <w:p w14:paraId="5265CD97">
                  <w:pPr>
                    <w:adjustRightInd w:val="0"/>
                    <w:snapToGrid w:val="0"/>
                    <w:spacing w:line="280" w:lineRule="exact"/>
                    <w:jc w:val="center"/>
                    <w:rPr>
                      <w:b/>
                      <w:bCs/>
                      <w:color w:val="000000"/>
                      <w:szCs w:val="21"/>
                    </w:rPr>
                  </w:pPr>
                  <w:r>
                    <w:rPr>
                      <w:b/>
                      <w:bCs/>
                      <w:color w:val="000000"/>
                      <w:szCs w:val="21"/>
                    </w:rPr>
                    <w:t>主导生态功能</w:t>
                  </w:r>
                </w:p>
              </w:tc>
              <w:tc>
                <w:tcPr>
                  <w:tcW w:w="6051" w:type="dxa"/>
                  <w:gridSpan w:val="2"/>
                  <w:tcBorders>
                    <w:top w:val="single" w:color="auto" w:sz="12" w:space="0"/>
                  </w:tcBorders>
                  <w:vAlign w:val="center"/>
                </w:tcPr>
                <w:p w14:paraId="268CF7E4">
                  <w:pPr>
                    <w:adjustRightInd w:val="0"/>
                    <w:snapToGrid w:val="0"/>
                    <w:spacing w:line="280" w:lineRule="exact"/>
                    <w:jc w:val="center"/>
                    <w:rPr>
                      <w:b/>
                      <w:bCs/>
                      <w:color w:val="000000"/>
                      <w:szCs w:val="21"/>
                    </w:rPr>
                  </w:pPr>
                  <w:r>
                    <w:rPr>
                      <w:rFonts w:hint="eastAsia"/>
                      <w:b/>
                      <w:bCs/>
                      <w:color w:val="000000"/>
                      <w:szCs w:val="21"/>
                    </w:rPr>
                    <w:t>红线区域</w:t>
                  </w:r>
                  <w:r>
                    <w:rPr>
                      <w:b/>
                      <w:bCs/>
                      <w:color w:val="000000"/>
                      <w:szCs w:val="21"/>
                    </w:rPr>
                    <w:t>范围</w:t>
                  </w:r>
                </w:p>
              </w:tc>
              <w:tc>
                <w:tcPr>
                  <w:tcW w:w="1188" w:type="dxa"/>
                  <w:vMerge w:val="restart"/>
                  <w:tcBorders>
                    <w:top w:val="single" w:color="auto" w:sz="12" w:space="0"/>
                  </w:tcBorders>
                  <w:vAlign w:val="center"/>
                </w:tcPr>
                <w:p w14:paraId="090EBE19">
                  <w:pPr>
                    <w:adjustRightInd w:val="0"/>
                    <w:snapToGrid w:val="0"/>
                    <w:spacing w:line="280" w:lineRule="exact"/>
                    <w:jc w:val="center"/>
                    <w:rPr>
                      <w:b/>
                      <w:bCs/>
                      <w:color w:val="000000"/>
                      <w:szCs w:val="21"/>
                    </w:rPr>
                  </w:pPr>
                  <w:r>
                    <w:rPr>
                      <w:rFonts w:hint="eastAsia"/>
                      <w:b/>
                      <w:bCs/>
                      <w:color w:val="000000"/>
                      <w:szCs w:val="21"/>
                    </w:rPr>
                    <w:t>相符性分析</w:t>
                  </w:r>
                </w:p>
              </w:tc>
            </w:tr>
            <w:tr w14:paraId="35827C0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796" w:type="dxa"/>
                  <w:vMerge w:val="continue"/>
                  <w:vAlign w:val="center"/>
                </w:tcPr>
                <w:p w14:paraId="21B8996F">
                  <w:pPr>
                    <w:adjustRightInd w:val="0"/>
                    <w:snapToGrid w:val="0"/>
                    <w:spacing w:line="280" w:lineRule="exact"/>
                    <w:jc w:val="center"/>
                    <w:rPr>
                      <w:b/>
                      <w:bCs/>
                      <w:color w:val="000000"/>
                      <w:szCs w:val="21"/>
                    </w:rPr>
                  </w:pPr>
                </w:p>
              </w:tc>
              <w:tc>
                <w:tcPr>
                  <w:tcW w:w="745" w:type="dxa"/>
                  <w:vMerge w:val="continue"/>
                  <w:vAlign w:val="center"/>
                </w:tcPr>
                <w:p w14:paraId="41E2FDAF">
                  <w:pPr>
                    <w:adjustRightInd w:val="0"/>
                    <w:snapToGrid w:val="0"/>
                    <w:spacing w:line="280" w:lineRule="exact"/>
                    <w:jc w:val="center"/>
                    <w:rPr>
                      <w:b/>
                      <w:bCs/>
                      <w:color w:val="000000"/>
                      <w:szCs w:val="21"/>
                    </w:rPr>
                  </w:pPr>
                </w:p>
              </w:tc>
              <w:tc>
                <w:tcPr>
                  <w:tcW w:w="1373" w:type="dxa"/>
                  <w:vAlign w:val="center"/>
                </w:tcPr>
                <w:p w14:paraId="3C2AEB8E">
                  <w:pPr>
                    <w:adjustRightInd w:val="0"/>
                    <w:snapToGrid w:val="0"/>
                    <w:spacing w:line="280" w:lineRule="exact"/>
                    <w:jc w:val="center"/>
                    <w:rPr>
                      <w:b/>
                      <w:bCs/>
                      <w:color w:val="000000"/>
                      <w:szCs w:val="21"/>
                    </w:rPr>
                  </w:pPr>
                  <w:r>
                    <w:rPr>
                      <w:b/>
                      <w:bCs/>
                      <w:color w:val="000000"/>
                      <w:szCs w:val="21"/>
                    </w:rPr>
                    <w:t>国家级生态保护红线范围</w:t>
                  </w:r>
                </w:p>
              </w:tc>
              <w:tc>
                <w:tcPr>
                  <w:tcW w:w="4678" w:type="dxa"/>
                  <w:vAlign w:val="center"/>
                </w:tcPr>
                <w:p w14:paraId="559B7D47">
                  <w:pPr>
                    <w:adjustRightInd w:val="0"/>
                    <w:snapToGrid w:val="0"/>
                    <w:spacing w:line="280" w:lineRule="exact"/>
                    <w:jc w:val="center"/>
                    <w:rPr>
                      <w:b/>
                      <w:bCs/>
                      <w:color w:val="000000"/>
                      <w:szCs w:val="21"/>
                    </w:rPr>
                  </w:pPr>
                  <w:r>
                    <w:rPr>
                      <w:b/>
                      <w:bCs/>
                      <w:color w:val="000000"/>
                      <w:szCs w:val="21"/>
                    </w:rPr>
                    <w:t>生态空间管控区域范围</w:t>
                  </w:r>
                </w:p>
              </w:tc>
              <w:tc>
                <w:tcPr>
                  <w:tcW w:w="1188" w:type="dxa"/>
                  <w:vMerge w:val="continue"/>
                  <w:vAlign w:val="center"/>
                </w:tcPr>
                <w:p w14:paraId="4921ECB3">
                  <w:pPr>
                    <w:adjustRightInd w:val="0"/>
                    <w:snapToGrid w:val="0"/>
                    <w:spacing w:line="280" w:lineRule="exact"/>
                    <w:jc w:val="center"/>
                    <w:rPr>
                      <w:color w:val="000000"/>
                      <w:szCs w:val="21"/>
                    </w:rPr>
                  </w:pPr>
                </w:p>
              </w:tc>
            </w:tr>
            <w:tr w14:paraId="52D9CD7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796" w:type="dxa"/>
                  <w:tcBorders>
                    <w:bottom w:val="single" w:color="auto" w:sz="12" w:space="0"/>
                  </w:tcBorders>
                  <w:vAlign w:val="center"/>
                </w:tcPr>
                <w:p w14:paraId="69DDBD36">
                  <w:pPr>
                    <w:widowControl/>
                    <w:jc w:val="center"/>
                    <w:rPr>
                      <w:color w:val="000000"/>
                      <w:szCs w:val="21"/>
                    </w:rPr>
                  </w:pPr>
                  <w:r>
                    <w:rPr>
                      <w:rFonts w:hint="eastAsia"/>
                      <w:color w:val="000000"/>
                      <w:szCs w:val="21"/>
                    </w:rPr>
                    <w:t>京杭大运河（泗阳县）清水通道维护区</w:t>
                  </w:r>
                </w:p>
              </w:tc>
              <w:tc>
                <w:tcPr>
                  <w:tcW w:w="745" w:type="dxa"/>
                  <w:tcBorders>
                    <w:bottom w:val="single" w:color="auto" w:sz="12" w:space="0"/>
                  </w:tcBorders>
                  <w:vAlign w:val="center"/>
                </w:tcPr>
                <w:p w14:paraId="7AB0AD2F">
                  <w:pPr>
                    <w:widowControl/>
                    <w:jc w:val="center"/>
                    <w:rPr>
                      <w:color w:val="000000"/>
                      <w:szCs w:val="21"/>
                    </w:rPr>
                  </w:pPr>
                  <w:r>
                    <w:rPr>
                      <w:rFonts w:hint="eastAsia"/>
                      <w:color w:val="000000"/>
                      <w:szCs w:val="21"/>
                    </w:rPr>
                    <w:t>水源水质保护</w:t>
                  </w:r>
                </w:p>
              </w:tc>
              <w:tc>
                <w:tcPr>
                  <w:tcW w:w="1373" w:type="dxa"/>
                  <w:tcBorders>
                    <w:bottom w:val="single" w:color="auto" w:sz="12" w:space="0"/>
                  </w:tcBorders>
                  <w:vAlign w:val="center"/>
                </w:tcPr>
                <w:p w14:paraId="66F0EBD8">
                  <w:pPr>
                    <w:widowControl/>
                    <w:jc w:val="center"/>
                    <w:rPr>
                      <w:color w:val="000000"/>
                      <w:szCs w:val="21"/>
                    </w:rPr>
                  </w:pPr>
                  <w:r>
                    <w:rPr>
                      <w:rFonts w:hint="eastAsia"/>
                      <w:color w:val="000000"/>
                      <w:szCs w:val="21"/>
                    </w:rPr>
                    <w:t>-</w:t>
                  </w:r>
                </w:p>
              </w:tc>
              <w:tc>
                <w:tcPr>
                  <w:tcW w:w="4678" w:type="dxa"/>
                  <w:tcBorders>
                    <w:bottom w:val="single" w:color="auto" w:sz="12" w:space="0"/>
                  </w:tcBorders>
                  <w:vAlign w:val="center"/>
                </w:tcPr>
                <w:p w14:paraId="43949C67">
                  <w:pPr>
                    <w:widowControl/>
                    <w:jc w:val="center"/>
                    <w:rPr>
                      <w:color w:val="000000"/>
                      <w:szCs w:val="21"/>
                    </w:rPr>
                  </w:pPr>
                  <w:r>
                    <w:rPr>
                      <w:rFonts w:hint="eastAsia"/>
                      <w:color w:val="000000"/>
                      <w:szCs w:val="21"/>
                    </w:rPr>
                    <w:t>含西自临河镇翟庄村，东止泗阳四号桥大运河水域及其两侧各</w:t>
                  </w:r>
                  <w:r>
                    <w:rPr>
                      <w:color w:val="000000"/>
                      <w:szCs w:val="21"/>
                    </w:rPr>
                    <w:t>100</w:t>
                  </w:r>
                  <w:r>
                    <w:rPr>
                      <w:rFonts w:hint="eastAsia"/>
                      <w:color w:val="000000"/>
                      <w:szCs w:val="21"/>
                    </w:rPr>
                    <w:t>以内区域，以及泗阳四号桥到泗阳二号桥大运河水域与北侧背水坡堤脚及南侧</w:t>
                  </w:r>
                  <w:r>
                    <w:rPr>
                      <w:color w:val="000000"/>
                      <w:szCs w:val="21"/>
                    </w:rPr>
                    <w:t>100</w:t>
                  </w:r>
                  <w:r>
                    <w:rPr>
                      <w:rFonts w:hint="eastAsia"/>
                      <w:color w:val="000000"/>
                      <w:szCs w:val="21"/>
                    </w:rPr>
                    <w:t>米以内区域，及泗阳船闸到泗阳三号桥大运河水域与北侧背水坡堤脚及南侧</w:t>
                  </w:r>
                  <w:r>
                    <w:rPr>
                      <w:color w:val="000000"/>
                      <w:szCs w:val="21"/>
                    </w:rPr>
                    <w:t>100</w:t>
                  </w:r>
                  <w:r>
                    <w:rPr>
                      <w:rFonts w:hint="eastAsia"/>
                      <w:color w:val="000000"/>
                      <w:szCs w:val="21"/>
                    </w:rPr>
                    <w:t>米以内区域，及泗阳三号桥到李口镇芦塘村段大运河水域及其两侧各100米以内区域，以及李口乡芦塘村到新袁镇交界村大运河中心线以南水域，及南侧</w:t>
                  </w:r>
                  <w:r>
                    <w:rPr>
                      <w:color w:val="000000"/>
                      <w:szCs w:val="21"/>
                    </w:rPr>
                    <w:t>100</w:t>
                  </w:r>
                  <w:r>
                    <w:rPr>
                      <w:rFonts w:hint="eastAsia"/>
                      <w:color w:val="000000"/>
                      <w:szCs w:val="21"/>
                    </w:rPr>
                    <w:t>米以内区域。含大运河（泗阳）饮用水源二级和准保护区，不含大运河（泗阳）饮用水源一级保护区。</w:t>
                  </w:r>
                </w:p>
              </w:tc>
              <w:tc>
                <w:tcPr>
                  <w:tcW w:w="1188" w:type="dxa"/>
                  <w:tcBorders>
                    <w:bottom w:val="single" w:color="auto" w:sz="12" w:space="0"/>
                  </w:tcBorders>
                  <w:vAlign w:val="center"/>
                </w:tcPr>
                <w:p w14:paraId="3740FA94">
                  <w:pPr>
                    <w:widowControl/>
                    <w:jc w:val="center"/>
                    <w:rPr>
                      <w:color w:val="000000"/>
                      <w:szCs w:val="21"/>
                    </w:rPr>
                  </w:pPr>
                  <w:r>
                    <w:rPr>
                      <w:rFonts w:hint="eastAsia"/>
                      <w:color w:val="000000"/>
                    </w:rPr>
                    <w:t>本项目距离管控区域约为3.8</w:t>
                  </w:r>
                  <w:r>
                    <w:rPr>
                      <w:color w:val="000000"/>
                    </w:rPr>
                    <w:t>km</w:t>
                  </w:r>
                  <w:r>
                    <w:rPr>
                      <w:rFonts w:hint="eastAsia"/>
                      <w:color w:val="000000"/>
                    </w:rPr>
                    <w:t>，不在管控区域范围内，符合</w:t>
                  </w:r>
                  <w:r>
                    <w:rPr>
                      <w:color w:val="000000"/>
                    </w:rPr>
                    <w:t>苏政发</w:t>
                  </w:r>
                  <w:r>
                    <w:rPr>
                      <w:rFonts w:hint="eastAsia"/>
                      <w:color w:val="000000"/>
                    </w:rPr>
                    <w:t>〔</w:t>
                  </w:r>
                  <w:r>
                    <w:rPr>
                      <w:color w:val="000000"/>
                    </w:rPr>
                    <w:t>2020</w:t>
                  </w:r>
                  <w:r>
                    <w:rPr>
                      <w:rFonts w:hint="eastAsia"/>
                      <w:color w:val="000000"/>
                    </w:rPr>
                    <w:t>〕</w:t>
                  </w:r>
                  <w:r>
                    <w:rPr>
                      <w:color w:val="000000"/>
                    </w:rPr>
                    <w:t>1号</w:t>
                  </w:r>
                  <w:r>
                    <w:rPr>
                      <w:rFonts w:hint="eastAsia"/>
                      <w:color w:val="000000"/>
                    </w:rPr>
                    <w:t>生态空间管控区要求。</w:t>
                  </w:r>
                </w:p>
              </w:tc>
            </w:tr>
          </w:tbl>
          <w:p w14:paraId="08AC35EF">
            <w:pPr>
              <w:pStyle w:val="10"/>
              <w:spacing w:before="156" w:beforeLines="50" w:after="0" w:line="360" w:lineRule="auto"/>
              <w:ind w:right="0"/>
              <w:rPr>
                <w:color w:val="000000"/>
                <w:sz w:val="21"/>
                <w:szCs w:val="21"/>
              </w:rPr>
            </w:pPr>
            <w:r>
              <w:rPr>
                <w:color w:val="000000"/>
                <w:sz w:val="21"/>
                <w:szCs w:val="21"/>
              </w:rPr>
              <w:t>（2）</w:t>
            </w:r>
            <w:r>
              <w:rPr>
                <w:rFonts w:hint="eastAsia"/>
                <w:color w:val="000000"/>
                <w:sz w:val="21"/>
                <w:szCs w:val="21"/>
              </w:rPr>
              <w:t>环境质量底线相符性</w:t>
            </w:r>
          </w:p>
          <w:p w14:paraId="57E57BE2">
            <w:pPr>
              <w:autoSpaceDE w:val="0"/>
              <w:autoSpaceDN w:val="0"/>
              <w:adjustRightInd w:val="0"/>
              <w:snapToGrid w:val="0"/>
              <w:spacing w:line="360" w:lineRule="auto"/>
              <w:ind w:firstLine="420" w:firstLineChars="200"/>
              <w:rPr>
                <w:rFonts w:hint="eastAsia" w:ascii="Times New Roman" w:hAnsi="Times New Roman"/>
                <w:kern w:val="0"/>
                <w:szCs w:val="21"/>
              </w:rPr>
            </w:pPr>
            <w:r>
              <w:rPr>
                <w:rFonts w:hint="eastAsia" w:ascii="Times New Roman" w:hAnsi="Times New Roman"/>
                <w:kern w:val="0"/>
                <w:szCs w:val="21"/>
              </w:rPr>
              <w:t>a、环境空气</w:t>
            </w:r>
          </w:p>
          <w:p w14:paraId="3280B59E">
            <w:pPr>
              <w:pageBreakBefore w:val="0"/>
              <w:kinsoku/>
              <w:wordWrap/>
              <w:overflowPunct/>
              <w:topLinePunct w:val="0"/>
              <w:autoSpaceDE w:val="0"/>
              <w:autoSpaceDN w:val="0"/>
              <w:bidi w:val="0"/>
              <w:adjustRightInd w:val="0"/>
              <w:snapToGrid w:val="0"/>
              <w:spacing w:line="360" w:lineRule="auto"/>
              <w:ind w:firstLine="420" w:firstLineChars="200"/>
              <w:textAlignment w:val="auto"/>
              <w:rPr>
                <w:rFonts w:hint="default"/>
                <w:color w:val="auto"/>
                <w:lang w:val="en-US" w:eastAsia="zh-CN"/>
              </w:rPr>
            </w:pPr>
            <w:r>
              <w:rPr>
                <w:rFonts w:ascii="Times New Roman" w:hAnsi="Times New Roman"/>
                <w:color w:val="auto"/>
                <w:kern w:val="0"/>
                <w:szCs w:val="21"/>
              </w:rPr>
              <w:t>根据《</w:t>
            </w:r>
            <w:r>
              <w:rPr>
                <w:rFonts w:hint="eastAsia" w:ascii="Times New Roman" w:hAnsi="Times New Roman"/>
                <w:color w:val="auto"/>
                <w:kern w:val="0"/>
                <w:szCs w:val="21"/>
              </w:rPr>
              <w:t>宿迁市202</w:t>
            </w:r>
            <w:r>
              <w:rPr>
                <w:rFonts w:hint="eastAsia" w:ascii="Times New Roman" w:hAnsi="Times New Roman"/>
                <w:color w:val="auto"/>
                <w:kern w:val="0"/>
                <w:szCs w:val="21"/>
                <w:lang w:val="en-US" w:eastAsia="zh-CN"/>
              </w:rPr>
              <w:t>4</w:t>
            </w:r>
            <w:r>
              <w:rPr>
                <w:rFonts w:hint="eastAsia" w:ascii="Times New Roman" w:hAnsi="Times New Roman"/>
                <w:color w:val="auto"/>
                <w:kern w:val="0"/>
                <w:szCs w:val="21"/>
              </w:rPr>
              <w:t>年度生态环境状况公报</w:t>
            </w:r>
            <w:r>
              <w:rPr>
                <w:rFonts w:ascii="Times New Roman" w:hAnsi="Times New Roman"/>
                <w:color w:val="auto"/>
                <w:kern w:val="0"/>
                <w:szCs w:val="21"/>
              </w:rPr>
              <w:t>》可知，</w:t>
            </w:r>
            <w:r>
              <w:rPr>
                <w:rFonts w:hint="eastAsia" w:ascii="Times New Roman" w:hAnsi="Times New Roman"/>
                <w:color w:val="auto"/>
                <w:kern w:val="0"/>
                <w:szCs w:val="21"/>
              </w:rPr>
              <w:t>2024年，全市环境空气优良天数达296天，优良天数比例为80.9%；空气中PM</w:t>
            </w:r>
            <w:r>
              <w:rPr>
                <w:rFonts w:hint="eastAsia" w:ascii="Times New Roman" w:hAnsi="Times New Roman"/>
                <w:color w:val="auto"/>
                <w:kern w:val="0"/>
                <w:szCs w:val="21"/>
                <w:vertAlign w:val="subscript"/>
              </w:rPr>
              <w:t>2.5</w:t>
            </w:r>
            <w:r>
              <w:rPr>
                <w:rFonts w:hint="eastAsia" w:ascii="Times New Roman" w:hAnsi="Times New Roman"/>
                <w:color w:val="auto"/>
                <w:kern w:val="0"/>
                <w:szCs w:val="21"/>
              </w:rPr>
              <w:t>、PM</w:t>
            </w:r>
            <w:r>
              <w:rPr>
                <w:rFonts w:hint="eastAsia" w:ascii="Times New Roman" w:hAnsi="Times New Roman"/>
                <w:color w:val="auto"/>
                <w:kern w:val="0"/>
                <w:szCs w:val="21"/>
                <w:vertAlign w:val="subscript"/>
              </w:rPr>
              <w:t>10</w:t>
            </w:r>
            <w:r>
              <w:rPr>
                <w:rFonts w:hint="eastAsia" w:ascii="Times New Roman" w:hAnsi="Times New Roman"/>
                <w:color w:val="auto"/>
                <w:kern w:val="0"/>
                <w:szCs w:val="21"/>
              </w:rPr>
              <w:t>、NO</w:t>
            </w:r>
            <w:r>
              <w:rPr>
                <w:rFonts w:hint="eastAsia" w:ascii="Times New Roman" w:hAnsi="Times New Roman"/>
                <w:color w:val="auto"/>
                <w:kern w:val="0"/>
                <w:szCs w:val="21"/>
                <w:vertAlign w:val="subscript"/>
              </w:rPr>
              <w:t>2</w:t>
            </w:r>
            <w:r>
              <w:rPr>
                <w:rFonts w:hint="eastAsia" w:ascii="Times New Roman" w:hAnsi="Times New Roman"/>
                <w:color w:val="auto"/>
                <w:kern w:val="0"/>
                <w:szCs w:val="21"/>
              </w:rPr>
              <w:t>、SO</w:t>
            </w:r>
            <w:r>
              <w:rPr>
                <w:rFonts w:hint="eastAsia" w:ascii="Times New Roman" w:hAnsi="Times New Roman"/>
                <w:color w:val="auto"/>
                <w:kern w:val="0"/>
                <w:szCs w:val="21"/>
                <w:vertAlign w:val="subscript"/>
              </w:rPr>
              <w:t>2</w:t>
            </w:r>
            <w:r>
              <w:rPr>
                <w:rFonts w:hint="eastAsia" w:ascii="Times New Roman" w:hAnsi="Times New Roman"/>
                <w:color w:val="auto"/>
                <w:kern w:val="0"/>
                <w:szCs w:val="21"/>
              </w:rPr>
              <w:t>、O</w:t>
            </w:r>
            <w:r>
              <w:rPr>
                <w:rFonts w:hint="eastAsia" w:ascii="Times New Roman" w:hAnsi="Times New Roman"/>
                <w:color w:val="auto"/>
                <w:kern w:val="0"/>
                <w:szCs w:val="21"/>
                <w:vertAlign w:val="subscript"/>
              </w:rPr>
              <w:t>3</w:t>
            </w:r>
            <w:r>
              <w:rPr>
                <w:rFonts w:hint="eastAsia" w:ascii="Times New Roman" w:hAnsi="Times New Roman"/>
                <w:color w:val="auto"/>
                <w:kern w:val="0"/>
                <w:szCs w:val="21"/>
              </w:rPr>
              <w:t>浓度均同比下降，CO指标持平，浓度均值分别为38.7</w:t>
            </w:r>
            <w:r>
              <w:rPr>
                <w:rFonts w:hint="default" w:ascii="Times New Roman" w:hAnsi="Times New Roman" w:cs="Times New Roman"/>
                <w:color w:val="auto"/>
                <w:kern w:val="0"/>
                <w:szCs w:val="21"/>
              </w:rPr>
              <w:t>μ</w:t>
            </w:r>
            <w:r>
              <w:rPr>
                <w:rFonts w:hint="eastAsia" w:ascii="Times New Roman" w:hAnsi="Times New Roman"/>
                <w:color w:val="auto"/>
                <w:kern w:val="0"/>
                <w:szCs w:val="21"/>
              </w:rPr>
              <w:t>g/m</w:t>
            </w:r>
            <w:r>
              <w:rPr>
                <w:rFonts w:hint="eastAsia" w:ascii="Times New Roman" w:hAnsi="Times New Roman"/>
                <w:color w:val="auto"/>
                <w:kern w:val="0"/>
                <w:szCs w:val="21"/>
                <w:vertAlign w:val="superscript"/>
              </w:rPr>
              <w:t>3</w:t>
            </w:r>
            <w:r>
              <w:rPr>
                <w:rFonts w:hint="eastAsia" w:ascii="Times New Roman" w:hAnsi="Times New Roman"/>
                <w:color w:val="auto"/>
                <w:kern w:val="0"/>
                <w:szCs w:val="21"/>
              </w:rPr>
              <w:t>、57</w:t>
            </w:r>
            <w:r>
              <w:rPr>
                <w:rFonts w:hint="default" w:ascii="Times New Roman" w:hAnsi="Times New Roman" w:cs="Times New Roman"/>
                <w:color w:val="auto"/>
                <w:kern w:val="0"/>
                <w:szCs w:val="21"/>
              </w:rPr>
              <w:t>μ</w:t>
            </w:r>
            <w:r>
              <w:rPr>
                <w:rFonts w:hint="eastAsia" w:ascii="Times New Roman" w:hAnsi="Times New Roman"/>
                <w:color w:val="auto"/>
                <w:kern w:val="0"/>
                <w:szCs w:val="21"/>
              </w:rPr>
              <w:t>g/m</w:t>
            </w:r>
            <w:r>
              <w:rPr>
                <w:rFonts w:hint="eastAsia" w:ascii="Times New Roman" w:hAnsi="Times New Roman"/>
                <w:color w:val="auto"/>
                <w:kern w:val="0"/>
                <w:szCs w:val="21"/>
                <w:vertAlign w:val="superscript"/>
              </w:rPr>
              <w:t>3</w:t>
            </w:r>
            <w:r>
              <w:rPr>
                <w:rFonts w:hint="eastAsia" w:ascii="Times New Roman" w:hAnsi="Times New Roman"/>
                <w:color w:val="auto"/>
                <w:kern w:val="0"/>
                <w:szCs w:val="21"/>
              </w:rPr>
              <w:t>、21</w:t>
            </w:r>
            <w:r>
              <w:rPr>
                <w:rFonts w:hint="default" w:ascii="Times New Roman" w:hAnsi="Times New Roman" w:cs="Times New Roman"/>
                <w:color w:val="auto"/>
                <w:kern w:val="0"/>
                <w:szCs w:val="21"/>
              </w:rPr>
              <w:t>μ</w:t>
            </w:r>
            <w:r>
              <w:rPr>
                <w:rFonts w:hint="eastAsia" w:ascii="Times New Roman" w:hAnsi="Times New Roman"/>
                <w:color w:val="auto"/>
                <w:kern w:val="0"/>
                <w:szCs w:val="21"/>
              </w:rPr>
              <w:t>g/m</w:t>
            </w:r>
            <w:r>
              <w:rPr>
                <w:rFonts w:hint="eastAsia" w:ascii="Times New Roman" w:hAnsi="Times New Roman"/>
                <w:color w:val="auto"/>
                <w:kern w:val="0"/>
                <w:szCs w:val="21"/>
                <w:vertAlign w:val="superscript"/>
              </w:rPr>
              <w:t>3</w:t>
            </w:r>
            <w:r>
              <w:rPr>
                <w:rFonts w:hint="eastAsia" w:ascii="Times New Roman" w:hAnsi="Times New Roman"/>
                <w:color w:val="auto"/>
                <w:kern w:val="0"/>
                <w:szCs w:val="21"/>
              </w:rPr>
              <w:t>、5</w:t>
            </w:r>
            <w:r>
              <w:rPr>
                <w:rFonts w:hint="default" w:ascii="Times New Roman" w:hAnsi="Times New Roman" w:cs="Times New Roman"/>
                <w:color w:val="auto"/>
                <w:kern w:val="0"/>
                <w:szCs w:val="21"/>
              </w:rPr>
              <w:t>μ</w:t>
            </w:r>
            <w:r>
              <w:rPr>
                <w:rFonts w:hint="eastAsia" w:ascii="Times New Roman" w:hAnsi="Times New Roman"/>
                <w:color w:val="auto"/>
                <w:kern w:val="0"/>
                <w:szCs w:val="21"/>
              </w:rPr>
              <w:t>g/m</w:t>
            </w:r>
            <w:r>
              <w:rPr>
                <w:rFonts w:hint="eastAsia" w:ascii="Times New Roman" w:hAnsi="Times New Roman"/>
                <w:color w:val="auto"/>
                <w:kern w:val="0"/>
                <w:szCs w:val="21"/>
                <w:vertAlign w:val="superscript"/>
              </w:rPr>
              <w:t>3</w:t>
            </w:r>
            <w:r>
              <w:rPr>
                <w:rFonts w:hint="eastAsia" w:ascii="Times New Roman" w:hAnsi="Times New Roman"/>
                <w:color w:val="auto"/>
                <w:kern w:val="0"/>
                <w:szCs w:val="21"/>
              </w:rPr>
              <w:t>、160</w:t>
            </w:r>
            <w:r>
              <w:rPr>
                <w:rFonts w:hint="default" w:ascii="Times New Roman" w:hAnsi="Times New Roman" w:cs="Times New Roman"/>
                <w:color w:val="auto"/>
                <w:kern w:val="0"/>
                <w:szCs w:val="21"/>
              </w:rPr>
              <w:t>μ</w:t>
            </w:r>
            <w:r>
              <w:rPr>
                <w:rFonts w:hint="eastAsia" w:ascii="Times New Roman" w:hAnsi="Times New Roman"/>
                <w:color w:val="auto"/>
                <w:kern w:val="0"/>
                <w:szCs w:val="21"/>
              </w:rPr>
              <w:t>g/m</w:t>
            </w:r>
            <w:r>
              <w:rPr>
                <w:rFonts w:hint="eastAsia" w:ascii="Times New Roman" w:hAnsi="Times New Roman"/>
                <w:color w:val="auto"/>
                <w:kern w:val="0"/>
                <w:szCs w:val="21"/>
                <w:vertAlign w:val="superscript"/>
              </w:rPr>
              <w:t>3</w:t>
            </w:r>
            <w:r>
              <w:rPr>
                <w:rFonts w:hint="eastAsia" w:ascii="Times New Roman" w:hAnsi="Times New Roman"/>
                <w:color w:val="auto"/>
                <w:kern w:val="0"/>
                <w:szCs w:val="21"/>
              </w:rPr>
              <w:t>、1.0mg/m</w:t>
            </w:r>
            <w:r>
              <w:rPr>
                <w:rFonts w:hint="eastAsia" w:ascii="Times New Roman" w:hAnsi="Times New Roman"/>
                <w:color w:val="auto"/>
                <w:kern w:val="0"/>
                <w:szCs w:val="21"/>
                <w:vertAlign w:val="superscript"/>
              </w:rPr>
              <w:t>3</w:t>
            </w:r>
            <w:r>
              <w:rPr>
                <w:rFonts w:hint="eastAsia" w:ascii="Times New Roman" w:hAnsi="Times New Roman"/>
                <w:color w:val="auto"/>
                <w:kern w:val="0"/>
                <w:szCs w:val="21"/>
              </w:rPr>
              <w:t>，除CO同比持平外，其余同比分别下降2.8%、9.5%、16.0%、37.5%、5.3%；其中，臭氧作为首要污染物的超标天数为33天</w:t>
            </w:r>
            <w:r>
              <w:rPr>
                <w:rFonts w:hint="eastAsia" w:ascii="Times New Roman" w:hAnsi="Times New Roman"/>
                <w:color w:val="auto"/>
                <w:kern w:val="0"/>
                <w:sz w:val="21"/>
                <w:szCs w:val="21"/>
              </w:rPr>
              <w:t>，占全年超标天数比例达47.1%，已成为影响全市环境空气质量达标的主要指标。沭阳、泗阳和泗洪三县城市空气质量优良天数分别为295、309、304，全年占比分别为80.6%、84.4%、83.1%。全市降水pH值介于6.64~7.84之间，未出现酸雨。</w:t>
            </w:r>
          </w:p>
          <w:p w14:paraId="7E0DDF2F">
            <w:pPr>
              <w:autoSpaceDE w:val="0"/>
              <w:autoSpaceDN w:val="0"/>
              <w:adjustRightInd w:val="0"/>
              <w:snapToGrid w:val="0"/>
              <w:spacing w:line="360" w:lineRule="auto"/>
              <w:ind w:firstLine="420" w:firstLineChars="200"/>
              <w:rPr>
                <w:rFonts w:hint="eastAsia"/>
                <w:color w:val="auto"/>
                <w:sz w:val="21"/>
                <w:szCs w:val="21"/>
              </w:rPr>
            </w:pPr>
            <w:r>
              <w:rPr>
                <w:rFonts w:hint="eastAsia"/>
                <w:color w:val="auto"/>
                <w:sz w:val="21"/>
                <w:szCs w:val="21"/>
              </w:rPr>
              <w:t>为切实改善空气质量，保障人民群众身体健康，以高水平保护推动经济高质量发展，确保高质量完成“十四五”目标任务，</w:t>
            </w:r>
            <w:r>
              <w:rPr>
                <w:rFonts w:hint="eastAsia" w:ascii="Times New Roman" w:hAnsi="Times New Roman"/>
                <w:color w:val="auto"/>
                <w:sz w:val="21"/>
                <w:szCs w:val="21"/>
              </w:rPr>
              <w:t>宿迁市</w:t>
            </w:r>
            <w:r>
              <w:rPr>
                <w:rFonts w:hint="eastAsia" w:ascii="Times New Roman" w:hAnsi="Times New Roman"/>
                <w:color w:val="auto"/>
                <w:sz w:val="21"/>
                <w:szCs w:val="21"/>
                <w:lang w:val="en-US" w:eastAsia="zh-CN"/>
              </w:rPr>
              <w:t>生态环境局</w:t>
            </w:r>
            <w:r>
              <w:rPr>
                <w:rFonts w:hint="eastAsia" w:ascii="Times New Roman" w:hAnsi="Times New Roman"/>
                <w:color w:val="auto"/>
                <w:sz w:val="21"/>
                <w:szCs w:val="21"/>
              </w:rPr>
              <w:t>于202</w:t>
            </w:r>
            <w:r>
              <w:rPr>
                <w:rFonts w:hint="eastAsia" w:ascii="Times New Roman" w:hAnsi="Times New Roman"/>
                <w:color w:val="auto"/>
                <w:sz w:val="21"/>
                <w:szCs w:val="21"/>
                <w:lang w:val="en-US" w:eastAsia="zh-CN"/>
              </w:rPr>
              <w:t>5</w:t>
            </w:r>
            <w:r>
              <w:rPr>
                <w:rFonts w:hint="eastAsia" w:ascii="Times New Roman" w:hAnsi="Times New Roman"/>
                <w:color w:val="auto"/>
                <w:sz w:val="21"/>
                <w:szCs w:val="21"/>
              </w:rPr>
              <w:t>年</w:t>
            </w:r>
            <w:r>
              <w:rPr>
                <w:rFonts w:hint="eastAsia" w:ascii="Times New Roman" w:hAnsi="Times New Roman"/>
                <w:color w:val="auto"/>
                <w:sz w:val="21"/>
                <w:szCs w:val="21"/>
                <w:lang w:val="en-US" w:eastAsia="zh-CN"/>
              </w:rPr>
              <w:t>6</w:t>
            </w:r>
            <w:r>
              <w:rPr>
                <w:rFonts w:hint="eastAsia" w:ascii="Times New Roman" w:hAnsi="Times New Roman"/>
                <w:color w:val="auto"/>
                <w:sz w:val="21"/>
                <w:szCs w:val="21"/>
              </w:rPr>
              <w:t>月</w:t>
            </w:r>
            <w:r>
              <w:rPr>
                <w:rFonts w:hint="eastAsia" w:ascii="Times New Roman" w:hAnsi="Times New Roman"/>
                <w:color w:val="auto"/>
                <w:sz w:val="21"/>
                <w:szCs w:val="21"/>
                <w:lang w:val="en-US" w:eastAsia="zh-CN"/>
              </w:rPr>
              <w:t>19</w:t>
            </w:r>
            <w:r>
              <w:rPr>
                <w:rFonts w:hint="eastAsia" w:ascii="Times New Roman" w:hAnsi="Times New Roman"/>
                <w:color w:val="auto"/>
                <w:sz w:val="21"/>
                <w:szCs w:val="21"/>
              </w:rPr>
              <w:t>日发布</w:t>
            </w:r>
            <w:r>
              <w:rPr>
                <w:rFonts w:hint="eastAsia"/>
                <w:color w:val="auto"/>
                <w:sz w:val="21"/>
                <w:szCs w:val="21"/>
              </w:rPr>
              <w:t>《</w:t>
            </w:r>
            <w:r>
              <w:rPr>
                <w:rFonts w:hint="eastAsia"/>
                <w:color w:val="auto"/>
                <w:sz w:val="21"/>
                <w:szCs w:val="21"/>
                <w:lang w:val="en-US" w:eastAsia="zh-CN"/>
              </w:rPr>
              <w:t>宿迁市2025年大气污染防治工作方案</w:t>
            </w:r>
            <w:r>
              <w:rPr>
                <w:rFonts w:hint="eastAsia"/>
                <w:color w:val="auto"/>
                <w:sz w:val="21"/>
                <w:szCs w:val="21"/>
              </w:rPr>
              <w:t>》，主要</w:t>
            </w:r>
            <w:r>
              <w:rPr>
                <w:rFonts w:hint="eastAsia"/>
                <w:color w:val="auto"/>
                <w:sz w:val="21"/>
                <w:szCs w:val="21"/>
                <w:lang w:val="en-US" w:eastAsia="zh-CN"/>
              </w:rPr>
              <w:t>以</w:t>
            </w:r>
            <w:r>
              <w:rPr>
                <w:rFonts w:hint="eastAsia"/>
                <w:color w:val="auto"/>
                <w:sz w:val="21"/>
                <w:szCs w:val="21"/>
              </w:rPr>
              <w:t>优化结构，促进绿色低碳发展</w:t>
            </w:r>
            <w:r>
              <w:rPr>
                <w:rFonts w:hint="eastAsia"/>
                <w:color w:val="auto"/>
                <w:sz w:val="21"/>
                <w:szCs w:val="21"/>
                <w:lang w:eastAsia="zh-CN"/>
              </w:rPr>
              <w:t>；</w:t>
            </w:r>
            <w:r>
              <w:rPr>
                <w:rFonts w:hint="eastAsia"/>
                <w:color w:val="auto"/>
                <w:sz w:val="21"/>
                <w:szCs w:val="21"/>
                <w:lang w:val="en-US" w:eastAsia="zh-CN"/>
              </w:rPr>
              <w:t>开展移动源全链条整治；强化工业企业废气治理；强化扬尘精细化管控；持续开展面源污染治理；提升污染天气应对质效等方面为重点任务，从以上几个方面进行改革推动大气环境质量持续改善</w:t>
            </w:r>
            <w:r>
              <w:rPr>
                <w:rFonts w:hint="eastAsia"/>
                <w:color w:val="auto"/>
                <w:sz w:val="21"/>
                <w:szCs w:val="21"/>
              </w:rPr>
              <w:t>。</w:t>
            </w:r>
          </w:p>
          <w:p w14:paraId="241D3079">
            <w:pPr>
              <w:autoSpaceDE w:val="0"/>
              <w:autoSpaceDN w:val="0"/>
              <w:adjustRightInd w:val="0"/>
              <w:snapToGrid w:val="0"/>
              <w:spacing w:line="360" w:lineRule="auto"/>
              <w:ind w:firstLine="420" w:firstLineChars="200"/>
              <w:rPr>
                <w:rFonts w:hint="eastAsia" w:ascii="Times New Roman" w:hAnsi="Times New Roman"/>
                <w:kern w:val="0"/>
                <w:szCs w:val="21"/>
              </w:rPr>
            </w:pPr>
            <w:r>
              <w:rPr>
                <w:rFonts w:hint="eastAsia" w:ascii="Times New Roman" w:hAnsi="Times New Roman"/>
                <w:kern w:val="0"/>
                <w:szCs w:val="21"/>
              </w:rPr>
              <w:t>b、地表水</w:t>
            </w:r>
          </w:p>
          <w:p w14:paraId="32AE9476">
            <w:pPr>
              <w:autoSpaceDE w:val="0"/>
              <w:autoSpaceDN w:val="0"/>
              <w:adjustRightInd w:val="0"/>
              <w:snapToGrid w:val="0"/>
              <w:spacing w:line="360" w:lineRule="auto"/>
              <w:ind w:firstLine="420" w:firstLineChars="200"/>
              <w:rPr>
                <w:rFonts w:ascii="Times New Roman" w:hAnsi="Times New Roman"/>
                <w:color w:val="auto"/>
                <w:kern w:val="0"/>
                <w:szCs w:val="21"/>
              </w:rPr>
            </w:pPr>
            <w:r>
              <w:rPr>
                <w:rFonts w:ascii="Times New Roman" w:hAnsi="Times New Roman"/>
                <w:color w:val="auto"/>
                <w:kern w:val="0"/>
                <w:sz w:val="21"/>
                <w:szCs w:val="21"/>
              </w:rPr>
              <w:t>根据《宿迁市202</w:t>
            </w:r>
            <w:r>
              <w:rPr>
                <w:rFonts w:hint="eastAsia" w:ascii="Times New Roman" w:hAnsi="Times New Roman"/>
                <w:color w:val="auto"/>
                <w:kern w:val="0"/>
                <w:sz w:val="21"/>
                <w:szCs w:val="21"/>
                <w:lang w:val="en-US" w:eastAsia="zh-CN"/>
              </w:rPr>
              <w:t>4</w:t>
            </w:r>
            <w:r>
              <w:rPr>
                <w:rFonts w:ascii="Times New Roman" w:hAnsi="Times New Roman"/>
                <w:color w:val="auto"/>
                <w:kern w:val="0"/>
                <w:sz w:val="21"/>
                <w:szCs w:val="21"/>
              </w:rPr>
              <w:t>年度生态环境状况公报》，全市1</w:t>
            </w:r>
            <w:r>
              <w:rPr>
                <w:rFonts w:hint="eastAsia" w:ascii="Times New Roman" w:hAnsi="Times New Roman"/>
                <w:color w:val="auto"/>
                <w:kern w:val="0"/>
                <w:sz w:val="21"/>
                <w:szCs w:val="21"/>
              </w:rPr>
              <w:t>0</w:t>
            </w:r>
            <w:r>
              <w:rPr>
                <w:rFonts w:ascii="Times New Roman" w:hAnsi="Times New Roman"/>
                <w:color w:val="auto"/>
                <w:kern w:val="0"/>
                <w:sz w:val="21"/>
                <w:szCs w:val="21"/>
              </w:rPr>
              <w:t>个县级以上集中式饮用水水源地水质优Ⅲ比例为100%；全市15个国考断面水质达标率为100%，优Ⅲ水体比例为86.7%，无劣Ⅴ类水体；全市35个省考断面水质达标率为100%，优Ⅲ水体比例</w:t>
            </w:r>
            <w:r>
              <w:rPr>
                <w:rFonts w:hint="eastAsia" w:ascii="Times New Roman" w:hAnsi="Times New Roman"/>
                <w:color w:val="auto"/>
                <w:kern w:val="0"/>
                <w:sz w:val="21"/>
                <w:szCs w:val="21"/>
              </w:rPr>
              <w:t>100</w:t>
            </w:r>
            <w:r>
              <w:rPr>
                <w:rFonts w:ascii="Times New Roman" w:hAnsi="Times New Roman"/>
                <w:color w:val="auto"/>
                <w:kern w:val="0"/>
                <w:sz w:val="21"/>
                <w:szCs w:val="21"/>
              </w:rPr>
              <w:t>%，无劣Ⅴ类水体。</w:t>
            </w:r>
          </w:p>
          <w:p w14:paraId="0CF72E6A">
            <w:pPr>
              <w:autoSpaceDE w:val="0"/>
              <w:autoSpaceDN w:val="0"/>
              <w:adjustRightInd w:val="0"/>
              <w:snapToGrid w:val="0"/>
              <w:spacing w:line="360" w:lineRule="auto"/>
              <w:ind w:firstLine="420" w:firstLineChars="200"/>
              <w:rPr>
                <w:color w:val="auto"/>
                <w:kern w:val="0"/>
                <w:szCs w:val="21"/>
              </w:rPr>
            </w:pPr>
            <w:r>
              <w:rPr>
                <w:rFonts w:hint="eastAsia" w:ascii="Times New Roman" w:hAnsi="Times New Roman"/>
                <w:color w:val="auto"/>
                <w:kern w:val="0"/>
                <w:szCs w:val="21"/>
              </w:rPr>
              <w:t>c、</w:t>
            </w:r>
            <w:r>
              <w:rPr>
                <w:rFonts w:hint="eastAsia"/>
                <w:color w:val="auto"/>
                <w:kern w:val="0"/>
                <w:szCs w:val="21"/>
              </w:rPr>
              <w:t>声环境</w:t>
            </w:r>
          </w:p>
          <w:p w14:paraId="1B49C1BE">
            <w:pPr>
              <w:keepNext w:val="0"/>
              <w:keepLines w:val="0"/>
              <w:pageBreakBefore w:val="0"/>
              <w:kinsoku/>
              <w:wordWrap/>
              <w:overflowPunct/>
              <w:topLinePunct w:val="0"/>
              <w:autoSpaceDE w:val="0"/>
              <w:autoSpaceDN w:val="0"/>
              <w:bidi w:val="0"/>
              <w:adjustRightInd w:val="0"/>
              <w:snapToGrid w:val="0"/>
              <w:spacing w:line="360" w:lineRule="auto"/>
              <w:ind w:firstLine="420" w:firstLineChars="200"/>
              <w:textAlignment w:val="auto"/>
              <w:rPr>
                <w:rFonts w:ascii="Times New Roman" w:hAnsi="Times New Roman"/>
                <w:color w:val="auto"/>
                <w:kern w:val="0"/>
                <w:szCs w:val="21"/>
              </w:rPr>
            </w:pPr>
            <w:r>
              <w:rPr>
                <w:rFonts w:hint="eastAsia" w:ascii="Times New Roman" w:hAnsi="Times New Roman"/>
                <w:color w:val="auto"/>
                <w:kern w:val="0"/>
                <w:szCs w:val="21"/>
              </w:rPr>
              <w:t>项目所在区域规划为3类声功能区。</w:t>
            </w:r>
            <w:r>
              <w:rPr>
                <w:rFonts w:ascii="Times New Roman" w:hAnsi="Times New Roman"/>
                <w:color w:val="auto"/>
                <w:kern w:val="0"/>
                <w:szCs w:val="21"/>
              </w:rPr>
              <w:t>根据《宿迁市202</w:t>
            </w:r>
            <w:r>
              <w:rPr>
                <w:rFonts w:hint="eastAsia" w:ascii="Times New Roman" w:hAnsi="Times New Roman"/>
                <w:color w:val="auto"/>
                <w:kern w:val="0"/>
                <w:szCs w:val="21"/>
                <w:lang w:val="en-US" w:eastAsia="zh-CN"/>
              </w:rPr>
              <w:t>4</w:t>
            </w:r>
            <w:r>
              <w:rPr>
                <w:rFonts w:ascii="Times New Roman" w:hAnsi="Times New Roman"/>
                <w:color w:val="auto"/>
                <w:kern w:val="0"/>
                <w:szCs w:val="21"/>
              </w:rPr>
              <w:t>年度生态环境状况公报》，</w:t>
            </w:r>
            <w:r>
              <w:rPr>
                <w:rFonts w:hint="eastAsia" w:ascii="Times New Roman" w:hAnsi="Times New Roman"/>
                <w:color w:val="auto"/>
                <w:kern w:val="0"/>
                <w:szCs w:val="21"/>
              </w:rPr>
              <w:t>宿迁市功能区声环境昼间测次达标率98.4%，夜间测次达标率94.9%。与2023年年相比，昼间测次达标率上升0.1个百分点、夜间测次达标率上升3.8个百分点。市区功能区声环境昼间测次达标率96.3%，夜间测次达标率88.1%。区域环境噪声昼间平均等效声级54.3分贝，处于二级（较好）水平。道路交通声环境昼间平均等效声级63.7分贝，处于一级（好）水平。</w:t>
            </w:r>
          </w:p>
          <w:p w14:paraId="756A7A0E">
            <w:pPr>
              <w:keepNext w:val="0"/>
              <w:keepLines w:val="0"/>
              <w:pageBreakBefore w:val="0"/>
              <w:widowControl/>
              <w:kinsoku/>
              <w:wordWrap/>
              <w:overflowPunct/>
              <w:topLinePunct w:val="0"/>
              <w:bidi w:val="0"/>
              <w:snapToGrid w:val="0"/>
              <w:spacing w:line="360" w:lineRule="auto"/>
              <w:ind w:firstLine="420" w:firstLineChars="200"/>
              <w:jc w:val="left"/>
              <w:textAlignment w:val="auto"/>
              <w:rPr>
                <w:color w:val="000000"/>
                <w:kern w:val="0"/>
                <w:szCs w:val="21"/>
                <w:lang w:bidi="ar"/>
              </w:rPr>
            </w:pPr>
            <w:r>
              <w:rPr>
                <w:rFonts w:hint="eastAsia"/>
                <w:kern w:val="0"/>
                <w:szCs w:val="21"/>
              </w:rPr>
              <w:t>综上，项目所在区域的声质量现状较好，大气环境、水环境采取相应措施后也将得到改善，项目产生的污染物经采取相应的防护措施后可做到达标排放，不会降低区域环境质量等级，对区域环境影响较小。</w:t>
            </w:r>
          </w:p>
          <w:p w14:paraId="45A81EF9">
            <w:pPr>
              <w:keepNext w:val="0"/>
              <w:keepLines w:val="0"/>
              <w:pageBreakBefore w:val="0"/>
              <w:widowControl w:val="0"/>
              <w:kinsoku/>
              <w:wordWrap/>
              <w:overflowPunct/>
              <w:topLinePunct w:val="0"/>
              <w:autoSpaceDE/>
              <w:autoSpaceDN/>
              <w:bidi w:val="0"/>
              <w:adjustRightInd/>
              <w:snapToGrid w:val="0"/>
              <w:spacing w:line="360" w:lineRule="auto"/>
              <w:textAlignment w:val="auto"/>
              <w:rPr>
                <w:color w:val="000000"/>
              </w:rPr>
            </w:pPr>
            <w:r>
              <w:rPr>
                <w:color w:val="000000"/>
                <w:szCs w:val="21"/>
              </w:rPr>
              <w:t>（3）</w:t>
            </w:r>
            <w:r>
              <w:rPr>
                <w:rFonts w:hint="eastAsia"/>
                <w:color w:val="000000"/>
                <w:kern w:val="0"/>
                <w:szCs w:val="21"/>
                <w:lang w:bidi="ar"/>
              </w:rPr>
              <w:t>资源利用上线相符性</w:t>
            </w:r>
          </w:p>
          <w:p w14:paraId="5DB91624">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auto"/>
              <w:rPr>
                <w:color w:val="000000"/>
                <w:kern w:val="0"/>
                <w:szCs w:val="21"/>
                <w:lang w:bidi="ar"/>
              </w:rPr>
            </w:pPr>
            <w:r>
              <w:rPr>
                <w:rFonts w:hint="eastAsia"/>
                <w:color w:val="000000"/>
                <w:kern w:val="0"/>
                <w:szCs w:val="21"/>
                <w:lang w:bidi="ar"/>
              </w:rPr>
              <w:t>本项目建设地位于江苏省泗阳经济开发区众兴东路282号，位于江苏省泗阳经济开发区已规划的工业用地范围内，不会突破土地资源利用上线；本项目消耗能源主要为</w:t>
            </w:r>
            <w:r>
              <w:rPr>
                <w:rFonts w:hint="eastAsia"/>
                <w:color w:val="000000"/>
                <w:kern w:val="0"/>
                <w:szCs w:val="21"/>
                <w:lang w:val="en-US" w:eastAsia="zh-CN" w:bidi="ar"/>
              </w:rPr>
              <w:t>自来水和</w:t>
            </w:r>
            <w:r>
              <w:rPr>
                <w:rFonts w:hint="eastAsia"/>
                <w:color w:val="000000"/>
                <w:kern w:val="0"/>
                <w:szCs w:val="21"/>
                <w:lang w:bidi="ar"/>
              </w:rPr>
              <w:t>电源，</w:t>
            </w:r>
            <w:r>
              <w:rPr>
                <w:rFonts w:hint="eastAsia"/>
                <w:color w:val="000000"/>
                <w:kern w:val="0"/>
                <w:szCs w:val="21"/>
                <w:lang w:val="en-US" w:eastAsia="zh-CN" w:bidi="ar"/>
              </w:rPr>
              <w:t>用水、</w:t>
            </w:r>
            <w:r>
              <w:rPr>
                <w:rFonts w:hint="eastAsia"/>
                <w:color w:val="000000"/>
                <w:kern w:val="0"/>
                <w:szCs w:val="21"/>
                <w:lang w:bidi="ar"/>
              </w:rPr>
              <w:t>用电等均在园区供给能力范围内；项目所用原辅料均从其它企业购买，未从环境资源中直接获取，市场供应量充足，故本项目不会突破区域资源利用上线。</w:t>
            </w:r>
          </w:p>
          <w:p w14:paraId="20933B32">
            <w:pPr>
              <w:keepNext w:val="0"/>
              <w:keepLines w:val="0"/>
              <w:pageBreakBefore w:val="0"/>
              <w:kinsoku/>
              <w:wordWrap/>
              <w:overflowPunct/>
              <w:topLinePunct w:val="0"/>
              <w:autoSpaceDE/>
              <w:autoSpaceDN/>
              <w:bidi w:val="0"/>
              <w:adjustRightInd/>
              <w:snapToGrid w:val="0"/>
              <w:spacing w:line="360" w:lineRule="auto"/>
              <w:textAlignment w:val="auto"/>
              <w:rPr>
                <w:color w:val="000000"/>
              </w:rPr>
            </w:pPr>
            <w:r>
              <w:rPr>
                <w:color w:val="000000"/>
                <w:szCs w:val="21"/>
              </w:rPr>
              <w:t>（4）</w:t>
            </w:r>
            <w:r>
              <w:rPr>
                <w:rFonts w:hint="eastAsia"/>
                <w:color w:val="000000"/>
                <w:kern w:val="0"/>
                <w:szCs w:val="21"/>
                <w:lang w:bidi="ar"/>
              </w:rPr>
              <w:t>环境准入清单相符性</w:t>
            </w:r>
          </w:p>
          <w:p w14:paraId="4B52B804">
            <w:pPr>
              <w:keepNext w:val="0"/>
              <w:keepLines w:val="0"/>
              <w:pageBreakBefore w:val="0"/>
              <w:widowControl/>
              <w:kinsoku/>
              <w:wordWrap/>
              <w:overflowPunct/>
              <w:topLinePunct w:val="0"/>
              <w:autoSpaceDE/>
              <w:autoSpaceDN/>
              <w:bidi w:val="0"/>
              <w:adjustRightInd/>
              <w:snapToGrid w:val="0"/>
              <w:spacing w:line="360" w:lineRule="auto"/>
              <w:ind w:firstLine="420" w:firstLineChars="200"/>
              <w:jc w:val="left"/>
              <w:textAlignment w:val="auto"/>
              <w:rPr>
                <w:color w:val="000000"/>
                <w:kern w:val="0"/>
                <w:szCs w:val="21"/>
                <w:lang w:bidi="ar"/>
              </w:rPr>
            </w:pPr>
            <w:r>
              <w:rPr>
                <w:rFonts w:hint="eastAsia"/>
                <w:color w:val="000000"/>
                <w:kern w:val="0"/>
                <w:szCs w:val="21"/>
                <w:lang w:bidi="ar"/>
              </w:rPr>
              <w:t>①与《宿迁市“三线一单”生态环境分区管控实施方案》（宿环发〔2020〕78号）相符性</w:t>
            </w:r>
          </w:p>
          <w:p w14:paraId="3F6A5CE7">
            <w:pPr>
              <w:keepNext w:val="0"/>
              <w:keepLines w:val="0"/>
              <w:pageBreakBefore w:val="0"/>
              <w:widowControl/>
              <w:kinsoku/>
              <w:wordWrap/>
              <w:overflowPunct/>
              <w:topLinePunct w:val="0"/>
              <w:autoSpaceDE/>
              <w:autoSpaceDN/>
              <w:bidi w:val="0"/>
              <w:adjustRightInd/>
              <w:snapToGrid w:val="0"/>
              <w:spacing w:line="360" w:lineRule="auto"/>
              <w:ind w:firstLine="420" w:firstLineChars="200"/>
              <w:jc w:val="left"/>
              <w:textAlignment w:val="auto"/>
              <w:rPr>
                <w:color w:val="000000"/>
              </w:rPr>
            </w:pPr>
            <w:r>
              <w:rPr>
                <w:rFonts w:hint="eastAsia"/>
                <w:color w:val="000000"/>
                <w:kern w:val="0"/>
                <w:szCs w:val="21"/>
                <w:lang w:bidi="ar"/>
              </w:rPr>
              <w:t>根据《宿迁市“三线一单”生态环境分区管控实施方案》（宿环发﹝2020﹞78号），本项目位于江苏省泗阳经济开发区众兴东路282号，江苏泗阳经济开发区属于重点管控单元，本项目与该区域管控要求相符性分析见表1-</w:t>
            </w:r>
            <w:r>
              <w:rPr>
                <w:rFonts w:hint="eastAsia"/>
                <w:color w:val="000000"/>
                <w:kern w:val="0"/>
                <w:szCs w:val="21"/>
                <w:lang w:val="en-US" w:eastAsia="zh-CN" w:bidi="ar"/>
              </w:rPr>
              <w:t>4</w:t>
            </w:r>
            <w:r>
              <w:rPr>
                <w:rFonts w:hint="eastAsia"/>
                <w:color w:val="000000"/>
                <w:kern w:val="0"/>
                <w:szCs w:val="21"/>
                <w:lang w:bidi="ar"/>
              </w:rPr>
              <w:t>。</w:t>
            </w:r>
          </w:p>
          <w:p w14:paraId="6E7ACF86">
            <w:pPr>
              <w:pStyle w:val="8"/>
              <w:keepNext w:val="0"/>
              <w:keepLines w:val="0"/>
              <w:pageBreakBefore w:val="0"/>
              <w:widowControl w:val="0"/>
              <w:kinsoku/>
              <w:wordWrap/>
              <w:overflowPunct/>
              <w:topLinePunct w:val="0"/>
              <w:autoSpaceDE/>
              <w:autoSpaceDN/>
              <w:bidi w:val="0"/>
              <w:adjustRightInd/>
              <w:snapToGrid w:val="0"/>
              <w:spacing w:before="156" w:beforeLines="50"/>
              <w:jc w:val="center"/>
              <w:textAlignment w:val="auto"/>
              <w:rPr>
                <w:b/>
                <w:bCs/>
                <w:color w:val="000000"/>
                <w:sz w:val="21"/>
                <w:szCs w:val="21"/>
              </w:rPr>
            </w:pPr>
            <w:r>
              <w:rPr>
                <w:b/>
                <w:bCs/>
                <w:color w:val="000000"/>
                <w:sz w:val="21"/>
                <w:szCs w:val="21"/>
              </w:rPr>
              <w:t>表1-</w:t>
            </w:r>
            <w:r>
              <w:rPr>
                <w:rFonts w:hint="eastAsia"/>
                <w:b/>
                <w:bCs/>
                <w:color w:val="000000"/>
                <w:sz w:val="21"/>
                <w:szCs w:val="21"/>
                <w:lang w:val="en-US" w:eastAsia="zh-CN"/>
              </w:rPr>
              <w:t>4</w:t>
            </w:r>
            <w:r>
              <w:rPr>
                <w:b/>
                <w:bCs/>
                <w:color w:val="000000"/>
                <w:sz w:val="21"/>
                <w:szCs w:val="21"/>
              </w:rPr>
              <w:t xml:space="preserve"> 宿环发﹝2020﹞78号中</w:t>
            </w:r>
            <w:r>
              <w:rPr>
                <w:rFonts w:hint="eastAsia"/>
                <w:b/>
                <w:bCs/>
                <w:color w:val="000000"/>
                <w:sz w:val="21"/>
                <w:szCs w:val="21"/>
              </w:rPr>
              <w:t>江苏泗阳经济开发区</w:t>
            </w:r>
            <w:r>
              <w:rPr>
                <w:b/>
                <w:bCs/>
                <w:color w:val="000000"/>
                <w:sz w:val="21"/>
                <w:szCs w:val="21"/>
              </w:rPr>
              <w:t>生态环境准入清单一览表</w:t>
            </w:r>
          </w:p>
          <w:tbl>
            <w:tblPr>
              <w:tblStyle w:val="30"/>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601"/>
              <w:gridCol w:w="840"/>
              <w:gridCol w:w="5313"/>
              <w:gridCol w:w="2031"/>
            </w:tblGrid>
            <w:tr w14:paraId="4FEB08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01" w:type="dxa"/>
                  <w:vAlign w:val="center"/>
                </w:tcPr>
                <w:p w14:paraId="78783E10">
                  <w:pPr>
                    <w:tabs>
                      <w:tab w:val="left" w:pos="276"/>
                    </w:tabs>
                    <w:autoSpaceDE w:val="0"/>
                    <w:autoSpaceDN w:val="0"/>
                    <w:adjustRightInd w:val="0"/>
                    <w:snapToGrid w:val="0"/>
                    <w:jc w:val="center"/>
                    <w:rPr>
                      <w:b/>
                      <w:bCs/>
                      <w:color w:val="000000"/>
                      <w:szCs w:val="21"/>
                    </w:rPr>
                  </w:pPr>
                  <w:r>
                    <w:rPr>
                      <w:rFonts w:hint="eastAsia"/>
                      <w:b/>
                      <w:bCs/>
                      <w:color w:val="000000"/>
                      <w:szCs w:val="21"/>
                    </w:rPr>
                    <w:t>区域</w:t>
                  </w:r>
                </w:p>
              </w:tc>
              <w:tc>
                <w:tcPr>
                  <w:tcW w:w="6153" w:type="dxa"/>
                  <w:gridSpan w:val="2"/>
                  <w:vAlign w:val="center"/>
                </w:tcPr>
                <w:p w14:paraId="37F1EBB7">
                  <w:pPr>
                    <w:tabs>
                      <w:tab w:val="left" w:pos="276"/>
                    </w:tabs>
                    <w:autoSpaceDE w:val="0"/>
                    <w:autoSpaceDN w:val="0"/>
                    <w:adjustRightInd w:val="0"/>
                    <w:snapToGrid w:val="0"/>
                    <w:jc w:val="center"/>
                    <w:rPr>
                      <w:b/>
                      <w:bCs/>
                      <w:color w:val="000000"/>
                      <w:szCs w:val="21"/>
                    </w:rPr>
                  </w:pPr>
                  <w:r>
                    <w:rPr>
                      <w:rFonts w:hint="eastAsia"/>
                      <w:b/>
                      <w:bCs/>
                      <w:color w:val="000000"/>
                      <w:szCs w:val="21"/>
                    </w:rPr>
                    <w:t>管控要求</w:t>
                  </w:r>
                </w:p>
              </w:tc>
              <w:tc>
                <w:tcPr>
                  <w:tcW w:w="2031" w:type="dxa"/>
                  <w:vAlign w:val="center"/>
                </w:tcPr>
                <w:p w14:paraId="56ECA7B7">
                  <w:pPr>
                    <w:tabs>
                      <w:tab w:val="left" w:pos="276"/>
                    </w:tabs>
                    <w:autoSpaceDE w:val="0"/>
                    <w:autoSpaceDN w:val="0"/>
                    <w:adjustRightInd w:val="0"/>
                    <w:snapToGrid w:val="0"/>
                    <w:jc w:val="center"/>
                    <w:rPr>
                      <w:b/>
                      <w:bCs/>
                      <w:color w:val="000000"/>
                      <w:szCs w:val="21"/>
                    </w:rPr>
                  </w:pPr>
                  <w:r>
                    <w:rPr>
                      <w:rFonts w:hint="eastAsia"/>
                      <w:b/>
                      <w:bCs/>
                      <w:color w:val="000000"/>
                      <w:szCs w:val="21"/>
                    </w:rPr>
                    <w:t>相符性分析</w:t>
                  </w:r>
                </w:p>
              </w:tc>
            </w:tr>
            <w:tr w14:paraId="1A2152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644" w:hRule="atLeast"/>
              </w:trPr>
              <w:tc>
                <w:tcPr>
                  <w:tcW w:w="601" w:type="dxa"/>
                  <w:vMerge w:val="restart"/>
                  <w:vAlign w:val="center"/>
                </w:tcPr>
                <w:p w14:paraId="06AB20C3">
                  <w:pPr>
                    <w:tabs>
                      <w:tab w:val="left" w:pos="276"/>
                    </w:tabs>
                    <w:autoSpaceDE w:val="0"/>
                    <w:autoSpaceDN w:val="0"/>
                    <w:adjustRightInd w:val="0"/>
                    <w:snapToGrid w:val="0"/>
                    <w:jc w:val="center"/>
                    <w:rPr>
                      <w:color w:val="000000"/>
                      <w:szCs w:val="21"/>
                    </w:rPr>
                  </w:pPr>
                  <w:r>
                    <w:rPr>
                      <w:rFonts w:hint="eastAsia"/>
                      <w:color w:val="000000"/>
                      <w:szCs w:val="21"/>
                    </w:rPr>
                    <w:t>江苏泗阳经济开发区</w:t>
                  </w:r>
                </w:p>
              </w:tc>
              <w:tc>
                <w:tcPr>
                  <w:tcW w:w="840" w:type="dxa"/>
                  <w:vAlign w:val="center"/>
                </w:tcPr>
                <w:p w14:paraId="6E148CB0">
                  <w:pPr>
                    <w:tabs>
                      <w:tab w:val="left" w:pos="276"/>
                    </w:tabs>
                    <w:autoSpaceDE w:val="0"/>
                    <w:autoSpaceDN w:val="0"/>
                    <w:adjustRightInd w:val="0"/>
                    <w:snapToGrid w:val="0"/>
                    <w:jc w:val="center"/>
                    <w:rPr>
                      <w:color w:val="000000"/>
                      <w:szCs w:val="21"/>
                    </w:rPr>
                  </w:pPr>
                  <w:r>
                    <w:rPr>
                      <w:rFonts w:hint="eastAsia"/>
                      <w:color w:val="000000"/>
                      <w:szCs w:val="21"/>
                    </w:rPr>
                    <w:t>空间布局约束</w:t>
                  </w:r>
                </w:p>
              </w:tc>
              <w:tc>
                <w:tcPr>
                  <w:tcW w:w="5313" w:type="dxa"/>
                  <w:vAlign w:val="center"/>
                </w:tcPr>
                <w:p w14:paraId="25663074">
                  <w:pPr>
                    <w:widowControl/>
                    <w:jc w:val="left"/>
                    <w:rPr>
                      <w:color w:val="000000"/>
                      <w:szCs w:val="21"/>
                    </w:rPr>
                  </w:pPr>
                  <w:r>
                    <w:rPr>
                      <w:color w:val="000000"/>
                      <w:szCs w:val="21"/>
                    </w:rPr>
                    <w:t>禁止引进以下项目：</w:t>
                  </w:r>
                </w:p>
                <w:p w14:paraId="5C5D9700">
                  <w:pPr>
                    <w:widowControl/>
                    <w:numPr>
                      <w:ilvl w:val="0"/>
                      <w:numId w:val="2"/>
                    </w:numPr>
                    <w:jc w:val="left"/>
                    <w:rPr>
                      <w:color w:val="000000"/>
                      <w:szCs w:val="21"/>
                    </w:rPr>
                  </w:pPr>
                  <w:r>
                    <w:rPr>
                      <w:color w:val="000000"/>
                      <w:szCs w:val="21"/>
                    </w:rPr>
                    <w:t>化工、造纸项目以及医药、酿造、冶金等行业中对环境有较大影响的项目；</w:t>
                  </w:r>
                </w:p>
                <w:p w14:paraId="0D76B212">
                  <w:pPr>
                    <w:widowControl/>
                    <w:numPr>
                      <w:ilvl w:val="0"/>
                      <w:numId w:val="2"/>
                    </w:numPr>
                    <w:rPr>
                      <w:color w:val="000000"/>
                      <w:szCs w:val="21"/>
                    </w:rPr>
                  </w:pPr>
                  <w:r>
                    <w:rPr>
                      <w:color w:val="000000"/>
                      <w:szCs w:val="21"/>
                    </w:rPr>
                    <w:t>对环境和人体健康有严重影响的污染项目，包括污染物难以治理的建设项目；</w:t>
                  </w:r>
                </w:p>
                <w:p w14:paraId="1D9A1291">
                  <w:pPr>
                    <w:widowControl/>
                    <w:numPr>
                      <w:ilvl w:val="0"/>
                      <w:numId w:val="2"/>
                    </w:numPr>
                    <w:jc w:val="left"/>
                    <w:rPr>
                      <w:color w:val="000000"/>
                      <w:szCs w:val="21"/>
                    </w:rPr>
                  </w:pPr>
                  <w:r>
                    <w:rPr>
                      <w:color w:val="000000"/>
                      <w:szCs w:val="21"/>
                    </w:rPr>
                    <w:t>废水排放量大于10000t/d的项目；</w:t>
                  </w:r>
                </w:p>
                <w:p w14:paraId="3AC6F6BB">
                  <w:pPr>
                    <w:widowControl/>
                    <w:numPr>
                      <w:ilvl w:val="0"/>
                      <w:numId w:val="2"/>
                    </w:numPr>
                    <w:jc w:val="left"/>
                    <w:rPr>
                      <w:color w:val="000000"/>
                      <w:szCs w:val="21"/>
                    </w:rPr>
                  </w:pPr>
                  <w:r>
                    <w:rPr>
                      <w:color w:val="000000"/>
                      <w:szCs w:val="21"/>
                    </w:rPr>
                    <w:t>含有毒、有明显异味废气排放，且对周围环境造成明显影响的项目。</w:t>
                  </w:r>
                </w:p>
              </w:tc>
              <w:tc>
                <w:tcPr>
                  <w:tcW w:w="2031" w:type="dxa"/>
                  <w:vAlign w:val="center"/>
                </w:tcPr>
                <w:p w14:paraId="7DF4244B">
                  <w:pPr>
                    <w:tabs>
                      <w:tab w:val="left" w:pos="276"/>
                    </w:tabs>
                    <w:autoSpaceDE w:val="0"/>
                    <w:autoSpaceDN w:val="0"/>
                    <w:adjustRightInd w:val="0"/>
                    <w:snapToGrid w:val="0"/>
                    <w:jc w:val="center"/>
                    <w:rPr>
                      <w:color w:val="000000"/>
                      <w:szCs w:val="21"/>
                    </w:rPr>
                  </w:pPr>
                  <w:r>
                    <w:rPr>
                      <w:rFonts w:hint="eastAsia"/>
                      <w:color w:val="000000"/>
                      <w:szCs w:val="21"/>
                    </w:rPr>
                    <w:t>本项目不属于禁止引进行业，符合管控要求。</w:t>
                  </w:r>
                </w:p>
              </w:tc>
            </w:tr>
            <w:tr w14:paraId="60714A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80" w:hRule="atLeast"/>
              </w:trPr>
              <w:tc>
                <w:tcPr>
                  <w:tcW w:w="601" w:type="dxa"/>
                  <w:vMerge w:val="continue"/>
                  <w:vAlign w:val="center"/>
                </w:tcPr>
                <w:p w14:paraId="0B6998AA">
                  <w:pPr>
                    <w:tabs>
                      <w:tab w:val="left" w:pos="276"/>
                    </w:tabs>
                    <w:autoSpaceDE w:val="0"/>
                    <w:autoSpaceDN w:val="0"/>
                    <w:adjustRightInd w:val="0"/>
                    <w:snapToGrid w:val="0"/>
                    <w:jc w:val="center"/>
                    <w:rPr>
                      <w:color w:val="000000"/>
                      <w:szCs w:val="21"/>
                    </w:rPr>
                  </w:pPr>
                </w:p>
              </w:tc>
              <w:tc>
                <w:tcPr>
                  <w:tcW w:w="840" w:type="dxa"/>
                  <w:vAlign w:val="center"/>
                </w:tcPr>
                <w:p w14:paraId="6D125B44">
                  <w:pPr>
                    <w:tabs>
                      <w:tab w:val="left" w:pos="276"/>
                    </w:tabs>
                    <w:autoSpaceDE w:val="0"/>
                    <w:autoSpaceDN w:val="0"/>
                    <w:adjustRightInd w:val="0"/>
                    <w:snapToGrid w:val="0"/>
                    <w:jc w:val="center"/>
                    <w:rPr>
                      <w:color w:val="000000"/>
                      <w:szCs w:val="21"/>
                    </w:rPr>
                  </w:pPr>
                  <w:r>
                    <w:rPr>
                      <w:rFonts w:hint="eastAsia"/>
                      <w:color w:val="000000"/>
                      <w:szCs w:val="21"/>
                    </w:rPr>
                    <w:t>污染物排放管控</w:t>
                  </w:r>
                </w:p>
              </w:tc>
              <w:tc>
                <w:tcPr>
                  <w:tcW w:w="5313" w:type="dxa"/>
                  <w:vAlign w:val="center"/>
                </w:tcPr>
                <w:p w14:paraId="744431AB">
                  <w:pPr>
                    <w:tabs>
                      <w:tab w:val="left" w:pos="276"/>
                    </w:tabs>
                    <w:autoSpaceDE w:val="0"/>
                    <w:autoSpaceDN w:val="0"/>
                    <w:adjustRightInd w:val="0"/>
                    <w:snapToGrid w:val="0"/>
                    <w:rPr>
                      <w:color w:val="000000"/>
                      <w:szCs w:val="21"/>
                    </w:rPr>
                  </w:pPr>
                  <w:r>
                    <w:rPr>
                      <w:rFonts w:hint="eastAsia"/>
                      <w:color w:val="000000"/>
                      <w:szCs w:val="21"/>
                    </w:rPr>
                    <w:t>水污染物排放量：化学需氧量1533吨/年、氨氮383吨/年、总磷38.3吨/年；大气污染物排放量：二氧化硫526.84吨/年、烟粉尘287.45吨/年。</w:t>
                  </w:r>
                </w:p>
              </w:tc>
              <w:tc>
                <w:tcPr>
                  <w:tcW w:w="2031" w:type="dxa"/>
                  <w:vAlign w:val="center"/>
                </w:tcPr>
                <w:p w14:paraId="77325199">
                  <w:pPr>
                    <w:tabs>
                      <w:tab w:val="left" w:pos="276"/>
                    </w:tabs>
                    <w:autoSpaceDE w:val="0"/>
                    <w:autoSpaceDN w:val="0"/>
                    <w:adjustRightInd w:val="0"/>
                    <w:snapToGrid w:val="0"/>
                    <w:jc w:val="center"/>
                    <w:rPr>
                      <w:color w:val="000000"/>
                      <w:szCs w:val="21"/>
                    </w:rPr>
                  </w:pPr>
                  <w:r>
                    <w:rPr>
                      <w:rFonts w:hint="eastAsia"/>
                      <w:color w:val="000000"/>
                      <w:szCs w:val="21"/>
                    </w:rPr>
                    <w:t>项目总量不超</w:t>
                  </w:r>
                  <w:r>
                    <w:rPr>
                      <w:color w:val="000000"/>
                      <w:szCs w:val="21"/>
                    </w:rPr>
                    <w:t>过各污染排放量</w:t>
                  </w:r>
                  <w:r>
                    <w:rPr>
                      <w:rFonts w:hint="eastAsia"/>
                      <w:color w:val="000000"/>
                      <w:szCs w:val="21"/>
                    </w:rPr>
                    <w:t>。</w:t>
                  </w:r>
                </w:p>
              </w:tc>
            </w:tr>
            <w:tr w14:paraId="23BB86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7" w:hRule="atLeast"/>
              </w:trPr>
              <w:tc>
                <w:tcPr>
                  <w:tcW w:w="601" w:type="dxa"/>
                  <w:vMerge w:val="continue"/>
                  <w:vAlign w:val="center"/>
                </w:tcPr>
                <w:p w14:paraId="754D7E70">
                  <w:pPr>
                    <w:tabs>
                      <w:tab w:val="left" w:pos="276"/>
                    </w:tabs>
                    <w:autoSpaceDE w:val="0"/>
                    <w:autoSpaceDN w:val="0"/>
                    <w:adjustRightInd w:val="0"/>
                    <w:snapToGrid w:val="0"/>
                    <w:jc w:val="center"/>
                    <w:rPr>
                      <w:color w:val="000000"/>
                      <w:szCs w:val="21"/>
                    </w:rPr>
                  </w:pPr>
                </w:p>
              </w:tc>
              <w:tc>
                <w:tcPr>
                  <w:tcW w:w="840" w:type="dxa"/>
                  <w:vAlign w:val="center"/>
                </w:tcPr>
                <w:p w14:paraId="38F894F6">
                  <w:pPr>
                    <w:tabs>
                      <w:tab w:val="left" w:pos="276"/>
                    </w:tabs>
                    <w:autoSpaceDE w:val="0"/>
                    <w:autoSpaceDN w:val="0"/>
                    <w:adjustRightInd w:val="0"/>
                    <w:snapToGrid w:val="0"/>
                    <w:jc w:val="center"/>
                    <w:rPr>
                      <w:color w:val="000000"/>
                      <w:szCs w:val="21"/>
                    </w:rPr>
                  </w:pPr>
                  <w:r>
                    <w:rPr>
                      <w:rFonts w:hint="eastAsia"/>
                      <w:color w:val="000000"/>
                      <w:szCs w:val="21"/>
                    </w:rPr>
                    <w:t>环境风险防控</w:t>
                  </w:r>
                </w:p>
              </w:tc>
              <w:tc>
                <w:tcPr>
                  <w:tcW w:w="5313" w:type="dxa"/>
                  <w:vAlign w:val="center"/>
                </w:tcPr>
                <w:p w14:paraId="33776807">
                  <w:pPr>
                    <w:tabs>
                      <w:tab w:val="left" w:pos="276"/>
                    </w:tabs>
                    <w:autoSpaceDE w:val="0"/>
                    <w:autoSpaceDN w:val="0"/>
                    <w:adjustRightInd w:val="0"/>
                    <w:snapToGrid w:val="0"/>
                    <w:rPr>
                      <w:color w:val="000000"/>
                      <w:szCs w:val="21"/>
                    </w:rPr>
                  </w:pPr>
                  <w:r>
                    <w:rPr>
                      <w:rFonts w:hint="eastAsia"/>
                      <w:color w:val="000000"/>
                      <w:szCs w:val="21"/>
                    </w:rPr>
                    <w:t>制定并落实园区建设项目环境风险防范措施和事故应急预案，并定期演练，防止和减轻事故危害。</w:t>
                  </w:r>
                </w:p>
              </w:tc>
              <w:tc>
                <w:tcPr>
                  <w:tcW w:w="2031" w:type="dxa"/>
                  <w:vAlign w:val="center"/>
                </w:tcPr>
                <w:p w14:paraId="06DE9309">
                  <w:pPr>
                    <w:tabs>
                      <w:tab w:val="left" w:pos="276"/>
                    </w:tabs>
                    <w:autoSpaceDE w:val="0"/>
                    <w:autoSpaceDN w:val="0"/>
                    <w:adjustRightInd w:val="0"/>
                    <w:snapToGrid w:val="0"/>
                    <w:jc w:val="center"/>
                    <w:rPr>
                      <w:color w:val="000000"/>
                      <w:szCs w:val="21"/>
                    </w:rPr>
                  </w:pPr>
                  <w:r>
                    <w:rPr>
                      <w:rFonts w:hint="eastAsia"/>
                      <w:color w:val="000000"/>
                      <w:szCs w:val="21"/>
                    </w:rPr>
                    <w:t>项目</w:t>
                  </w:r>
                  <w:r>
                    <w:rPr>
                      <w:color w:val="000000"/>
                      <w:szCs w:val="21"/>
                    </w:rPr>
                    <w:t>制定并落实园区建设项目环境风险防范措施和事故应急预案，并定期演练，防止和减轻事故危害</w:t>
                  </w:r>
                  <w:r>
                    <w:rPr>
                      <w:rFonts w:hint="eastAsia"/>
                      <w:color w:val="000000"/>
                      <w:szCs w:val="21"/>
                    </w:rPr>
                    <w:t>。</w:t>
                  </w:r>
                </w:p>
              </w:tc>
            </w:tr>
            <w:tr w14:paraId="02F77C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04" w:hRule="atLeast"/>
              </w:trPr>
              <w:tc>
                <w:tcPr>
                  <w:tcW w:w="601" w:type="dxa"/>
                  <w:vMerge w:val="continue"/>
                  <w:vAlign w:val="center"/>
                </w:tcPr>
                <w:p w14:paraId="6C22D7BA">
                  <w:pPr>
                    <w:tabs>
                      <w:tab w:val="left" w:pos="276"/>
                    </w:tabs>
                    <w:autoSpaceDE w:val="0"/>
                    <w:autoSpaceDN w:val="0"/>
                    <w:adjustRightInd w:val="0"/>
                    <w:snapToGrid w:val="0"/>
                    <w:jc w:val="center"/>
                    <w:rPr>
                      <w:color w:val="000000"/>
                      <w:szCs w:val="21"/>
                    </w:rPr>
                  </w:pPr>
                </w:p>
              </w:tc>
              <w:tc>
                <w:tcPr>
                  <w:tcW w:w="840" w:type="dxa"/>
                  <w:vAlign w:val="center"/>
                </w:tcPr>
                <w:p w14:paraId="0FBAD982">
                  <w:pPr>
                    <w:tabs>
                      <w:tab w:val="left" w:pos="276"/>
                    </w:tabs>
                    <w:autoSpaceDE w:val="0"/>
                    <w:autoSpaceDN w:val="0"/>
                    <w:adjustRightInd w:val="0"/>
                    <w:snapToGrid w:val="0"/>
                    <w:jc w:val="center"/>
                    <w:rPr>
                      <w:color w:val="000000"/>
                      <w:szCs w:val="21"/>
                    </w:rPr>
                  </w:pPr>
                  <w:r>
                    <w:rPr>
                      <w:rFonts w:hint="eastAsia"/>
                      <w:color w:val="000000"/>
                      <w:szCs w:val="21"/>
                    </w:rPr>
                    <w:t>资源利用效率要求</w:t>
                  </w:r>
                </w:p>
              </w:tc>
              <w:tc>
                <w:tcPr>
                  <w:tcW w:w="5313" w:type="dxa"/>
                  <w:vAlign w:val="center"/>
                </w:tcPr>
                <w:p w14:paraId="0E37091A">
                  <w:pPr>
                    <w:numPr>
                      <w:ilvl w:val="0"/>
                      <w:numId w:val="3"/>
                    </w:numPr>
                    <w:autoSpaceDE w:val="0"/>
                    <w:autoSpaceDN w:val="0"/>
                    <w:adjustRightInd w:val="0"/>
                    <w:snapToGrid w:val="0"/>
                    <w:rPr>
                      <w:color w:val="000000"/>
                      <w:szCs w:val="21"/>
                    </w:rPr>
                  </w:pPr>
                  <w:r>
                    <w:rPr>
                      <w:rFonts w:hint="eastAsia"/>
                      <w:color w:val="000000"/>
                      <w:szCs w:val="21"/>
                    </w:rPr>
                    <w:t>行业企业清洁生产水平达到国内清洁生产先进水平及以上要求。</w:t>
                  </w:r>
                </w:p>
                <w:p w14:paraId="7064D8C0">
                  <w:pPr>
                    <w:numPr>
                      <w:ilvl w:val="0"/>
                      <w:numId w:val="3"/>
                    </w:numPr>
                    <w:autoSpaceDE w:val="0"/>
                    <w:autoSpaceDN w:val="0"/>
                    <w:adjustRightInd w:val="0"/>
                    <w:snapToGrid w:val="0"/>
                    <w:rPr>
                      <w:color w:val="000000"/>
                      <w:szCs w:val="21"/>
                    </w:rPr>
                  </w:pPr>
                  <w:r>
                    <w:rPr>
                      <w:rFonts w:hint="eastAsia"/>
                      <w:color w:val="000000"/>
                      <w:szCs w:val="21"/>
                    </w:rPr>
                    <w:t>禁止销售使用燃料为“</w:t>
                  </w:r>
                  <w:r>
                    <w:rPr>
                      <w:color w:val="000000"/>
                      <w:szCs w:val="21"/>
                    </w:rPr>
                    <w:t>Ⅱ</w:t>
                  </w:r>
                  <w:r>
                    <w:rPr>
                      <w:rFonts w:hint="eastAsia"/>
                      <w:color w:val="000000"/>
                      <w:szCs w:val="21"/>
                    </w:rPr>
                    <w:t>类”（严格），具体包括：除单台出力大于等于20蒸吨/小时锅炉以外燃用的煤炭及其制品；石油焦、油页岩、原油、重油、渣油、煤焦油。</w:t>
                  </w:r>
                </w:p>
              </w:tc>
              <w:tc>
                <w:tcPr>
                  <w:tcW w:w="2031" w:type="dxa"/>
                  <w:vAlign w:val="center"/>
                </w:tcPr>
                <w:p w14:paraId="67DC2154">
                  <w:pPr>
                    <w:tabs>
                      <w:tab w:val="left" w:pos="276"/>
                    </w:tabs>
                    <w:autoSpaceDE w:val="0"/>
                    <w:autoSpaceDN w:val="0"/>
                    <w:adjustRightInd w:val="0"/>
                    <w:snapToGrid w:val="0"/>
                    <w:jc w:val="center"/>
                    <w:rPr>
                      <w:color w:val="000000"/>
                      <w:szCs w:val="21"/>
                    </w:rPr>
                  </w:pPr>
                  <w:r>
                    <w:rPr>
                      <w:color w:val="000000"/>
                      <w:szCs w:val="21"/>
                    </w:rPr>
                    <w:t>行业企业清洁生产水平达到国内清洁生产先进水平及以上要求；项目</w:t>
                  </w:r>
                  <w:r>
                    <w:rPr>
                      <w:rFonts w:hint="eastAsia"/>
                      <w:color w:val="000000"/>
                      <w:szCs w:val="21"/>
                    </w:rPr>
                    <w:t>使用能源为电能、天然气。</w:t>
                  </w:r>
                </w:p>
              </w:tc>
            </w:tr>
          </w:tbl>
          <w:p w14:paraId="6B7B3316">
            <w:pPr>
              <w:keepNext w:val="0"/>
              <w:keepLines w:val="0"/>
              <w:pageBreakBefore w:val="0"/>
              <w:widowControl/>
              <w:kinsoku/>
              <w:wordWrap/>
              <w:overflowPunct/>
              <w:topLinePunct w:val="0"/>
              <w:bidi w:val="0"/>
              <w:snapToGrid w:val="0"/>
              <w:spacing w:before="156" w:beforeLines="50" w:line="360" w:lineRule="auto"/>
              <w:ind w:firstLine="420" w:firstLineChars="200"/>
              <w:jc w:val="left"/>
              <w:textAlignment w:val="auto"/>
              <w:rPr>
                <w:color w:val="000000"/>
                <w:kern w:val="0"/>
                <w:szCs w:val="21"/>
                <w:lang w:bidi="ar"/>
              </w:rPr>
            </w:pPr>
            <w:r>
              <w:rPr>
                <w:rFonts w:hint="eastAsia"/>
                <w:color w:val="000000"/>
                <w:kern w:val="0"/>
                <w:szCs w:val="21"/>
                <w:lang w:bidi="ar"/>
              </w:rPr>
              <w:t>根据上述分析，项目的建设与《宿迁市“三线一单”生态环境分区管控实施方案》文件要求相符。</w:t>
            </w:r>
          </w:p>
          <w:p w14:paraId="7063CDCD">
            <w:pPr>
              <w:keepNext w:val="0"/>
              <w:keepLines w:val="0"/>
              <w:pageBreakBefore w:val="0"/>
              <w:widowControl/>
              <w:kinsoku/>
              <w:wordWrap/>
              <w:overflowPunct/>
              <w:topLinePunct w:val="0"/>
              <w:bidi w:val="0"/>
              <w:snapToGrid w:val="0"/>
              <w:spacing w:line="360" w:lineRule="auto"/>
              <w:ind w:firstLine="420" w:firstLineChars="200"/>
              <w:jc w:val="left"/>
              <w:textAlignment w:val="auto"/>
              <w:rPr>
                <w:color w:val="000000"/>
                <w:kern w:val="0"/>
                <w:szCs w:val="21"/>
                <w:lang w:bidi="ar"/>
              </w:rPr>
            </w:pPr>
            <w:r>
              <w:rPr>
                <w:rFonts w:hint="eastAsia"/>
                <w:color w:val="000000"/>
                <w:kern w:val="0"/>
                <w:szCs w:val="21"/>
                <w:lang w:bidi="ar"/>
              </w:rPr>
              <w:t>②与江苏泗阳经济开发区生态环境准入清单相符性分析</w:t>
            </w:r>
          </w:p>
          <w:p w14:paraId="3FDB1727">
            <w:pPr>
              <w:keepNext w:val="0"/>
              <w:keepLines w:val="0"/>
              <w:pageBreakBefore w:val="0"/>
              <w:widowControl/>
              <w:kinsoku/>
              <w:wordWrap/>
              <w:overflowPunct/>
              <w:topLinePunct w:val="0"/>
              <w:bidi w:val="0"/>
              <w:snapToGrid w:val="0"/>
              <w:spacing w:line="360" w:lineRule="auto"/>
              <w:ind w:firstLine="420" w:firstLineChars="200"/>
              <w:jc w:val="left"/>
              <w:textAlignment w:val="auto"/>
              <w:rPr>
                <w:color w:val="000000"/>
                <w:szCs w:val="21"/>
              </w:rPr>
            </w:pPr>
            <w:r>
              <w:rPr>
                <w:rFonts w:hint="eastAsia"/>
                <w:color w:val="000000"/>
                <w:kern w:val="0"/>
                <w:szCs w:val="21"/>
                <w:lang w:bidi="ar"/>
              </w:rPr>
              <w:t>江苏泗阳经济开发区生态环境准入清单见表1-</w:t>
            </w:r>
            <w:r>
              <w:rPr>
                <w:rFonts w:hint="eastAsia"/>
                <w:color w:val="000000"/>
                <w:kern w:val="0"/>
                <w:szCs w:val="21"/>
                <w:lang w:val="en-US" w:eastAsia="zh-CN" w:bidi="ar"/>
              </w:rPr>
              <w:t>5</w:t>
            </w:r>
            <w:r>
              <w:rPr>
                <w:rFonts w:hint="eastAsia"/>
                <w:color w:val="000000"/>
                <w:kern w:val="0"/>
                <w:szCs w:val="21"/>
                <w:lang w:bidi="ar"/>
              </w:rPr>
              <w:t>。</w:t>
            </w:r>
          </w:p>
          <w:p w14:paraId="5313F960">
            <w:pPr>
              <w:keepNext w:val="0"/>
              <w:keepLines w:val="0"/>
              <w:pageBreakBefore w:val="0"/>
              <w:tabs>
                <w:tab w:val="left" w:pos="276"/>
              </w:tabs>
              <w:kinsoku/>
              <w:wordWrap/>
              <w:overflowPunct/>
              <w:topLinePunct w:val="0"/>
              <w:autoSpaceDE w:val="0"/>
              <w:autoSpaceDN w:val="0"/>
              <w:bidi w:val="0"/>
              <w:adjustRightInd w:val="0"/>
              <w:snapToGrid w:val="0"/>
              <w:spacing w:before="156" w:beforeLines="50"/>
              <w:jc w:val="center"/>
              <w:textAlignment w:val="auto"/>
              <w:rPr>
                <w:b/>
                <w:bCs/>
                <w:color w:val="000000"/>
              </w:rPr>
            </w:pPr>
            <w:r>
              <w:rPr>
                <w:rFonts w:hint="eastAsia"/>
                <w:b/>
                <w:bCs/>
                <w:color w:val="000000"/>
              </w:rPr>
              <w:t>表</w:t>
            </w:r>
            <w:r>
              <w:rPr>
                <w:b/>
                <w:bCs/>
                <w:color w:val="000000"/>
              </w:rPr>
              <w:t>1</w:t>
            </w:r>
            <w:r>
              <w:rPr>
                <w:rFonts w:hint="eastAsia"/>
                <w:b/>
                <w:bCs/>
                <w:color w:val="000000"/>
              </w:rPr>
              <w:t>-</w:t>
            </w:r>
            <w:r>
              <w:rPr>
                <w:rFonts w:hint="eastAsia"/>
                <w:b/>
                <w:bCs/>
                <w:color w:val="000000"/>
                <w:lang w:val="en-US" w:eastAsia="zh-CN"/>
              </w:rPr>
              <w:t>5</w:t>
            </w:r>
            <w:r>
              <w:rPr>
                <w:rFonts w:hint="eastAsia"/>
                <w:b/>
                <w:bCs/>
                <w:color w:val="000000"/>
              </w:rPr>
              <w:t xml:space="preserve"> 与</w:t>
            </w:r>
            <w:r>
              <w:rPr>
                <w:rFonts w:hint="eastAsia"/>
                <w:b/>
                <w:bCs/>
                <w:color w:val="000000"/>
                <w:szCs w:val="21"/>
              </w:rPr>
              <w:t>江苏泗阳经济开发区生态</w:t>
            </w:r>
            <w:r>
              <w:rPr>
                <w:b/>
                <w:bCs/>
                <w:color w:val="000000"/>
                <w:szCs w:val="21"/>
              </w:rPr>
              <w:t>环境准入清单</w:t>
            </w:r>
            <w:r>
              <w:rPr>
                <w:rFonts w:hint="eastAsia"/>
                <w:b/>
                <w:bCs/>
                <w:color w:val="000000"/>
              </w:rPr>
              <w:t>相符性分析</w:t>
            </w:r>
          </w:p>
          <w:tbl>
            <w:tblPr>
              <w:tblStyle w:val="3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29"/>
              <w:gridCol w:w="5100"/>
              <w:gridCol w:w="3156"/>
            </w:tblGrid>
            <w:tr w14:paraId="0D9250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29" w:type="dxa"/>
                  <w:vAlign w:val="center"/>
                </w:tcPr>
                <w:p w14:paraId="4052B948">
                  <w:pPr>
                    <w:adjustRightInd w:val="0"/>
                    <w:snapToGrid w:val="0"/>
                    <w:jc w:val="center"/>
                    <w:rPr>
                      <w:rFonts w:hint="eastAsia" w:ascii="宋体" w:hAnsi="宋体" w:cs="宋体"/>
                      <w:b/>
                      <w:bCs/>
                      <w:color w:val="000000"/>
                      <w:szCs w:val="21"/>
                    </w:rPr>
                  </w:pPr>
                  <w:r>
                    <w:rPr>
                      <w:rStyle w:val="97"/>
                      <w:rFonts w:hint="eastAsia" w:ascii="宋体" w:hAnsi="宋体" w:cs="宋体"/>
                      <w:b/>
                      <w:bCs/>
                      <w:color w:val="000000"/>
                      <w:szCs w:val="21"/>
                    </w:rPr>
                    <w:t>类别</w:t>
                  </w:r>
                </w:p>
              </w:tc>
              <w:tc>
                <w:tcPr>
                  <w:tcW w:w="5100" w:type="dxa"/>
                  <w:vAlign w:val="center"/>
                </w:tcPr>
                <w:p w14:paraId="409ADE17">
                  <w:pPr>
                    <w:adjustRightInd w:val="0"/>
                    <w:snapToGrid w:val="0"/>
                    <w:jc w:val="center"/>
                    <w:rPr>
                      <w:rFonts w:hint="eastAsia" w:ascii="宋体" w:hAnsi="宋体" w:cs="宋体"/>
                      <w:b/>
                      <w:bCs/>
                      <w:color w:val="000000"/>
                      <w:szCs w:val="21"/>
                    </w:rPr>
                  </w:pPr>
                  <w:r>
                    <w:rPr>
                      <w:rStyle w:val="97"/>
                      <w:rFonts w:hint="eastAsia" w:ascii="宋体" w:hAnsi="宋体" w:cs="宋体"/>
                      <w:b/>
                      <w:bCs/>
                      <w:color w:val="000000"/>
                      <w:szCs w:val="21"/>
                    </w:rPr>
                    <w:t>准入要求</w:t>
                  </w:r>
                </w:p>
              </w:tc>
              <w:tc>
                <w:tcPr>
                  <w:tcW w:w="3156" w:type="dxa"/>
                  <w:vAlign w:val="center"/>
                </w:tcPr>
                <w:p w14:paraId="1046F785">
                  <w:pPr>
                    <w:adjustRightInd w:val="0"/>
                    <w:snapToGrid w:val="0"/>
                    <w:jc w:val="center"/>
                    <w:rPr>
                      <w:rFonts w:hint="eastAsia" w:ascii="宋体" w:hAnsi="宋体" w:cs="宋体"/>
                      <w:b/>
                      <w:bCs/>
                      <w:color w:val="000000"/>
                      <w:szCs w:val="21"/>
                    </w:rPr>
                  </w:pPr>
                  <w:r>
                    <w:rPr>
                      <w:rStyle w:val="97"/>
                      <w:rFonts w:hint="eastAsia" w:ascii="宋体" w:hAnsi="宋体" w:cs="宋体"/>
                      <w:b/>
                      <w:bCs/>
                      <w:color w:val="000000"/>
                      <w:szCs w:val="21"/>
                    </w:rPr>
                    <w:t>相符性分析</w:t>
                  </w:r>
                </w:p>
              </w:tc>
            </w:tr>
            <w:tr w14:paraId="6D3F73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29" w:type="dxa"/>
                  <w:vMerge w:val="restart"/>
                  <w:vAlign w:val="center"/>
                </w:tcPr>
                <w:p w14:paraId="412CFE5E">
                  <w:pPr>
                    <w:adjustRightInd w:val="0"/>
                    <w:snapToGrid w:val="0"/>
                    <w:jc w:val="center"/>
                    <w:rPr>
                      <w:color w:val="000000"/>
                      <w:szCs w:val="21"/>
                    </w:rPr>
                  </w:pPr>
                  <w:r>
                    <w:rPr>
                      <w:rStyle w:val="97"/>
                      <w:color w:val="000000"/>
                      <w:szCs w:val="21"/>
                    </w:rPr>
                    <w:t>空间布局约束</w:t>
                  </w:r>
                </w:p>
              </w:tc>
              <w:tc>
                <w:tcPr>
                  <w:tcW w:w="5100" w:type="dxa"/>
                  <w:vAlign w:val="center"/>
                </w:tcPr>
                <w:p w14:paraId="762744F8">
                  <w:pPr>
                    <w:pStyle w:val="10"/>
                    <w:spacing w:before="0" w:after="0" w:line="240" w:lineRule="auto"/>
                    <w:ind w:right="0"/>
                    <w:rPr>
                      <w:color w:val="000000"/>
                      <w:sz w:val="21"/>
                      <w:szCs w:val="21"/>
                    </w:rPr>
                  </w:pPr>
                  <w:r>
                    <w:rPr>
                      <w:color w:val="000000"/>
                      <w:sz w:val="21"/>
                      <w:szCs w:val="21"/>
                    </w:rPr>
                    <w:t>严格落实《限制用地项目目录（2012年本）》、《禁止用地项目目录（2012年本）》、《江苏省限制用地项目目录（2013年本）》、《江苏省禁止用地项目目录（2013年本）》中有关条件、标准或要求。</w:t>
                  </w:r>
                </w:p>
              </w:tc>
              <w:tc>
                <w:tcPr>
                  <w:tcW w:w="3156" w:type="dxa"/>
                  <w:vAlign w:val="center"/>
                </w:tcPr>
                <w:p w14:paraId="5B8DE2B7">
                  <w:pPr>
                    <w:pStyle w:val="10"/>
                    <w:spacing w:before="0" w:after="0" w:line="240" w:lineRule="auto"/>
                    <w:ind w:right="0"/>
                    <w:jc w:val="center"/>
                    <w:rPr>
                      <w:color w:val="000000"/>
                      <w:sz w:val="21"/>
                      <w:szCs w:val="21"/>
                    </w:rPr>
                  </w:pPr>
                  <w:r>
                    <w:rPr>
                      <w:color w:val="000000"/>
                      <w:sz w:val="21"/>
                      <w:szCs w:val="21"/>
                    </w:rPr>
                    <w:t>本项目用地为工业用地，不在《限制用地项目目录（2012年本）》、《禁止用地项目目录（2012年本）》、《江苏省限制用地项目目录（2013年本）》、《江苏省禁止用地项目目录（2013年本）》中</w:t>
                  </w:r>
                  <w:r>
                    <w:rPr>
                      <w:rFonts w:hint="eastAsia"/>
                      <w:color w:val="000000"/>
                      <w:sz w:val="21"/>
                      <w:szCs w:val="21"/>
                    </w:rPr>
                    <w:t>。</w:t>
                  </w:r>
                </w:p>
              </w:tc>
            </w:tr>
            <w:tr w14:paraId="4BFA7F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29" w:type="dxa"/>
                  <w:vMerge w:val="continue"/>
                  <w:vAlign w:val="center"/>
                </w:tcPr>
                <w:p w14:paraId="364A59D6">
                  <w:pPr>
                    <w:pStyle w:val="10"/>
                    <w:spacing w:before="0" w:after="0" w:line="240" w:lineRule="auto"/>
                    <w:ind w:right="0"/>
                    <w:jc w:val="center"/>
                    <w:rPr>
                      <w:rFonts w:hint="eastAsia" w:ascii="宋体" w:hAnsi="宋体" w:cs="宋体"/>
                      <w:color w:val="000000"/>
                      <w:sz w:val="21"/>
                      <w:szCs w:val="21"/>
                    </w:rPr>
                  </w:pPr>
                </w:p>
              </w:tc>
              <w:tc>
                <w:tcPr>
                  <w:tcW w:w="5100" w:type="dxa"/>
                  <w:vAlign w:val="center"/>
                </w:tcPr>
                <w:p w14:paraId="5D6542FA">
                  <w:pPr>
                    <w:pStyle w:val="10"/>
                    <w:spacing w:before="0" w:after="0" w:line="240" w:lineRule="auto"/>
                    <w:ind w:right="0"/>
                    <w:rPr>
                      <w:rFonts w:hint="eastAsia" w:ascii="宋体" w:hAnsi="宋体" w:cs="宋体"/>
                      <w:color w:val="000000"/>
                      <w:sz w:val="21"/>
                      <w:szCs w:val="21"/>
                    </w:rPr>
                  </w:pPr>
                  <w:r>
                    <w:rPr>
                      <w:rFonts w:hint="eastAsia" w:ascii="宋体" w:hAnsi="宋体" w:cs="宋体"/>
                      <w:color w:val="000000"/>
                      <w:sz w:val="21"/>
                      <w:szCs w:val="21"/>
                    </w:rPr>
                    <w:t>提高环境准入门槛，落实入区企业的废水、废气环境影响减缓措施和固废处置措施，设置足够的防护距离，建立健全区域风险防范体系。</w:t>
                  </w:r>
                </w:p>
              </w:tc>
              <w:tc>
                <w:tcPr>
                  <w:tcW w:w="3156" w:type="dxa"/>
                  <w:vAlign w:val="center"/>
                </w:tcPr>
                <w:p w14:paraId="10C761AA">
                  <w:pPr>
                    <w:pStyle w:val="10"/>
                    <w:spacing w:before="0" w:after="0" w:line="240" w:lineRule="auto"/>
                    <w:ind w:right="0"/>
                    <w:jc w:val="center"/>
                    <w:rPr>
                      <w:rFonts w:hint="eastAsia" w:ascii="宋体" w:hAnsi="宋体" w:cs="宋体"/>
                      <w:color w:val="000000"/>
                      <w:sz w:val="21"/>
                      <w:szCs w:val="21"/>
                    </w:rPr>
                  </w:pPr>
                  <w:r>
                    <w:rPr>
                      <w:rFonts w:hint="eastAsia" w:ascii="宋体" w:hAnsi="宋体" w:cs="宋体"/>
                      <w:color w:val="000000"/>
                      <w:sz w:val="21"/>
                      <w:szCs w:val="21"/>
                    </w:rPr>
                    <w:t>项目建成后，将落实废水、废气环境影响减缓措施和固废处置措施，设置足够的防护距离，建立健全区域风险防范体系。</w:t>
                  </w:r>
                </w:p>
              </w:tc>
            </w:tr>
            <w:tr w14:paraId="3B306B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29" w:type="dxa"/>
                  <w:vMerge w:val="continue"/>
                  <w:vAlign w:val="center"/>
                </w:tcPr>
                <w:p w14:paraId="63F4ECFF">
                  <w:pPr>
                    <w:pStyle w:val="10"/>
                    <w:spacing w:before="0" w:after="0" w:line="240" w:lineRule="auto"/>
                    <w:ind w:right="0"/>
                    <w:jc w:val="center"/>
                    <w:rPr>
                      <w:rFonts w:hint="eastAsia" w:ascii="宋体" w:hAnsi="宋体" w:cs="宋体"/>
                      <w:color w:val="000000"/>
                      <w:sz w:val="21"/>
                      <w:szCs w:val="21"/>
                    </w:rPr>
                  </w:pPr>
                </w:p>
              </w:tc>
              <w:tc>
                <w:tcPr>
                  <w:tcW w:w="5100" w:type="dxa"/>
                  <w:vAlign w:val="center"/>
                </w:tcPr>
                <w:p w14:paraId="4634E726">
                  <w:pPr>
                    <w:pStyle w:val="10"/>
                    <w:spacing w:before="0" w:after="0" w:line="240" w:lineRule="auto"/>
                    <w:ind w:right="0"/>
                    <w:rPr>
                      <w:rFonts w:hint="eastAsia" w:ascii="宋体" w:hAnsi="宋体" w:cs="宋体"/>
                      <w:color w:val="000000"/>
                      <w:sz w:val="21"/>
                      <w:szCs w:val="21"/>
                    </w:rPr>
                  </w:pPr>
                  <w:r>
                    <w:rPr>
                      <w:rFonts w:hint="eastAsia" w:ascii="宋体" w:hAnsi="宋体" w:cs="宋体"/>
                      <w:color w:val="000000"/>
                      <w:sz w:val="21"/>
                      <w:szCs w:val="21"/>
                    </w:rPr>
                    <w:t>对于居住区周边已开发的工业用地，应加强对现状企业的环境监督管理，确保其污染物达标排放；对于居住区周边已开发且后续实施用地置换的工业用地，以及居住区周边未开发的工业用地，将优先引入无污染或轻污染的企业或项目，并设置绿化隔离带。</w:t>
                  </w:r>
                </w:p>
              </w:tc>
              <w:tc>
                <w:tcPr>
                  <w:tcW w:w="3156" w:type="dxa"/>
                  <w:vAlign w:val="center"/>
                </w:tcPr>
                <w:p w14:paraId="769487F3">
                  <w:pPr>
                    <w:pStyle w:val="10"/>
                    <w:spacing w:before="0" w:after="0" w:line="240" w:lineRule="auto"/>
                    <w:ind w:right="0"/>
                    <w:jc w:val="center"/>
                    <w:rPr>
                      <w:rFonts w:hint="eastAsia" w:ascii="宋体" w:hAnsi="宋体" w:cs="宋体"/>
                      <w:color w:val="000000"/>
                      <w:sz w:val="21"/>
                      <w:szCs w:val="21"/>
                    </w:rPr>
                  </w:pPr>
                  <w:r>
                    <w:rPr>
                      <w:rFonts w:hint="eastAsia" w:ascii="宋体" w:hAnsi="宋体" w:cs="宋体"/>
                      <w:color w:val="000000"/>
                      <w:sz w:val="21"/>
                      <w:szCs w:val="21"/>
                    </w:rPr>
                    <w:t>项目建成后，将落实各项环境影响减缓措施，确保污染物达标排放。</w:t>
                  </w:r>
                </w:p>
              </w:tc>
            </w:tr>
            <w:tr w14:paraId="0CA7A7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29" w:type="dxa"/>
                  <w:vMerge w:val="restart"/>
                  <w:vAlign w:val="center"/>
                </w:tcPr>
                <w:p w14:paraId="4BA2123E">
                  <w:pPr>
                    <w:adjustRightInd w:val="0"/>
                    <w:snapToGrid w:val="0"/>
                    <w:jc w:val="center"/>
                    <w:rPr>
                      <w:color w:val="000000"/>
                      <w:szCs w:val="21"/>
                    </w:rPr>
                  </w:pPr>
                  <w:r>
                    <w:rPr>
                      <w:rStyle w:val="97"/>
                      <w:color w:val="000000"/>
                      <w:szCs w:val="21"/>
                    </w:rPr>
                    <w:t>污染物排放管控</w:t>
                  </w:r>
                </w:p>
              </w:tc>
              <w:tc>
                <w:tcPr>
                  <w:tcW w:w="5100" w:type="dxa"/>
                  <w:vAlign w:val="center"/>
                </w:tcPr>
                <w:p w14:paraId="23A2B389">
                  <w:pPr>
                    <w:pStyle w:val="10"/>
                    <w:spacing w:before="0" w:after="0" w:line="240" w:lineRule="auto"/>
                    <w:ind w:right="0"/>
                    <w:rPr>
                      <w:color w:val="000000"/>
                      <w:sz w:val="21"/>
                      <w:szCs w:val="21"/>
                    </w:rPr>
                  </w:pPr>
                  <w:r>
                    <w:rPr>
                      <w:color w:val="000000"/>
                      <w:sz w:val="21"/>
                      <w:szCs w:val="21"/>
                    </w:rPr>
                    <w:t>大气污染物：近期：二氧化硫183.56吨/年、烟粉尘158.56吨/年、氮氧化物226.53吨/年、VOCs119.79吨/年；远期：二氧化硫159.16吨/年、烟粉尘144.75吨/年、氮氧化物203.67吨/年、VOCs98.76吨/年；</w:t>
                  </w:r>
                </w:p>
              </w:tc>
              <w:tc>
                <w:tcPr>
                  <w:tcW w:w="3156" w:type="dxa"/>
                  <w:vAlign w:val="center"/>
                </w:tcPr>
                <w:p w14:paraId="33CE4E89">
                  <w:pPr>
                    <w:pStyle w:val="10"/>
                    <w:spacing w:before="0" w:after="0" w:line="240" w:lineRule="auto"/>
                    <w:ind w:right="0"/>
                    <w:jc w:val="center"/>
                    <w:rPr>
                      <w:rFonts w:hint="eastAsia" w:ascii="宋体" w:hAnsi="宋体" w:cs="宋体"/>
                      <w:color w:val="000000"/>
                      <w:sz w:val="21"/>
                      <w:szCs w:val="21"/>
                    </w:rPr>
                  </w:pPr>
                  <w:r>
                    <w:rPr>
                      <w:rFonts w:hint="eastAsia" w:ascii="宋体" w:hAnsi="宋体" w:cs="宋体"/>
                      <w:color w:val="000000"/>
                      <w:sz w:val="21"/>
                      <w:szCs w:val="21"/>
                    </w:rPr>
                    <w:t>项目大气污染物满足园区污染物排放管控要求。</w:t>
                  </w:r>
                </w:p>
              </w:tc>
            </w:tr>
            <w:tr w14:paraId="334A69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29" w:type="dxa"/>
                  <w:vMerge w:val="continue"/>
                  <w:vAlign w:val="center"/>
                </w:tcPr>
                <w:p w14:paraId="16CBE969">
                  <w:pPr>
                    <w:pStyle w:val="10"/>
                    <w:spacing w:before="0" w:after="0" w:line="240" w:lineRule="auto"/>
                    <w:ind w:right="0"/>
                    <w:jc w:val="center"/>
                    <w:rPr>
                      <w:rFonts w:hint="eastAsia" w:ascii="宋体" w:hAnsi="宋体" w:cs="宋体"/>
                      <w:color w:val="000000"/>
                      <w:sz w:val="21"/>
                      <w:szCs w:val="21"/>
                    </w:rPr>
                  </w:pPr>
                </w:p>
              </w:tc>
              <w:tc>
                <w:tcPr>
                  <w:tcW w:w="5100" w:type="dxa"/>
                  <w:vAlign w:val="center"/>
                </w:tcPr>
                <w:p w14:paraId="27C62016">
                  <w:pPr>
                    <w:pStyle w:val="10"/>
                    <w:spacing w:before="0" w:after="0" w:line="240" w:lineRule="auto"/>
                    <w:ind w:right="0"/>
                    <w:rPr>
                      <w:color w:val="000000"/>
                      <w:sz w:val="21"/>
                      <w:szCs w:val="21"/>
                    </w:rPr>
                  </w:pPr>
                  <w:r>
                    <w:rPr>
                      <w:color w:val="000000"/>
                      <w:sz w:val="21"/>
                      <w:szCs w:val="21"/>
                    </w:rPr>
                    <w:t>水污染物（接管晕/排放量）：近期：排水量728万吨/年、433.17万吨/年、COD364.01吨/年、216.58吨/年、氨氮36.40吨/年、21.66吨/年、总磷3.64吨/年、2.17吨/年、总氮109.2吨/年、64.98吨/年；远期：排水量738.71万吨/年、438.87万吨/年、COD295.48吨/年、175.55吨/年、氨氮36.94吨/年、21.94吨/年、总磷3.69吨/年、2.19吨/年、总氮110.81吨/年、65.83吨/年；</w:t>
                  </w:r>
                </w:p>
              </w:tc>
              <w:tc>
                <w:tcPr>
                  <w:tcW w:w="3156" w:type="dxa"/>
                  <w:vAlign w:val="center"/>
                </w:tcPr>
                <w:p w14:paraId="76C9B5A5">
                  <w:pPr>
                    <w:pStyle w:val="10"/>
                    <w:spacing w:before="0" w:after="0" w:line="240" w:lineRule="auto"/>
                    <w:ind w:right="0"/>
                    <w:jc w:val="center"/>
                    <w:rPr>
                      <w:rFonts w:hint="eastAsia" w:ascii="宋体" w:hAnsi="宋体" w:cs="宋体"/>
                      <w:color w:val="000000"/>
                      <w:sz w:val="21"/>
                      <w:szCs w:val="21"/>
                    </w:rPr>
                  </w:pPr>
                  <w:r>
                    <w:rPr>
                      <w:rFonts w:hint="eastAsia" w:ascii="宋体" w:hAnsi="宋体" w:cs="宋体"/>
                      <w:color w:val="000000"/>
                      <w:sz w:val="21"/>
                      <w:szCs w:val="21"/>
                    </w:rPr>
                    <w:t>项目废水污染物满足园区污染物排放管控要求。</w:t>
                  </w:r>
                </w:p>
              </w:tc>
            </w:tr>
            <w:tr w14:paraId="7F86B3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29" w:type="dxa"/>
                  <w:vMerge w:val="continue"/>
                  <w:vAlign w:val="center"/>
                </w:tcPr>
                <w:p w14:paraId="48D0C9E1">
                  <w:pPr>
                    <w:pStyle w:val="10"/>
                    <w:spacing w:before="0" w:after="0" w:line="240" w:lineRule="auto"/>
                    <w:ind w:right="0"/>
                    <w:jc w:val="center"/>
                    <w:rPr>
                      <w:rFonts w:hint="eastAsia" w:ascii="宋体" w:hAnsi="宋体" w:cs="宋体"/>
                      <w:color w:val="000000"/>
                      <w:sz w:val="21"/>
                      <w:szCs w:val="21"/>
                    </w:rPr>
                  </w:pPr>
                </w:p>
              </w:tc>
              <w:tc>
                <w:tcPr>
                  <w:tcW w:w="5100" w:type="dxa"/>
                  <w:vAlign w:val="center"/>
                </w:tcPr>
                <w:p w14:paraId="0CDD94B5">
                  <w:pPr>
                    <w:pStyle w:val="10"/>
                    <w:spacing w:before="0" w:after="0" w:line="240" w:lineRule="auto"/>
                    <w:ind w:right="0"/>
                    <w:rPr>
                      <w:color w:val="000000"/>
                      <w:sz w:val="21"/>
                      <w:szCs w:val="21"/>
                    </w:rPr>
                  </w:pPr>
                  <w:r>
                    <w:rPr>
                      <w:color w:val="000000"/>
                      <w:sz w:val="21"/>
                      <w:szCs w:val="21"/>
                    </w:rPr>
                    <w:t>印染企业接管进入污水处理厂的废水总量应不突破3007208.75吨/年（折10024.03吨/天，按300天计），且印染企业原则上仅服务</w:t>
                  </w:r>
                  <w:r>
                    <w:rPr>
                      <w:rFonts w:hint="eastAsia"/>
                      <w:color w:val="000000"/>
                      <w:sz w:val="21"/>
                      <w:szCs w:val="21"/>
                    </w:rPr>
                    <w:t>于</w:t>
                  </w:r>
                  <w:r>
                    <w:rPr>
                      <w:color w:val="000000"/>
                      <w:sz w:val="21"/>
                      <w:szCs w:val="21"/>
                    </w:rPr>
                    <w:t>区内纺织服装企业；</w:t>
                  </w:r>
                </w:p>
              </w:tc>
              <w:tc>
                <w:tcPr>
                  <w:tcW w:w="3156" w:type="dxa"/>
                  <w:vAlign w:val="center"/>
                </w:tcPr>
                <w:p w14:paraId="2B9EA0AC">
                  <w:pPr>
                    <w:pStyle w:val="10"/>
                    <w:spacing w:before="0" w:after="0" w:line="240" w:lineRule="auto"/>
                    <w:ind w:right="0"/>
                    <w:jc w:val="center"/>
                    <w:rPr>
                      <w:rFonts w:hint="eastAsia" w:ascii="宋体" w:hAnsi="宋体" w:cs="宋体"/>
                      <w:color w:val="0000FF"/>
                      <w:sz w:val="21"/>
                      <w:szCs w:val="21"/>
                    </w:rPr>
                  </w:pPr>
                  <w:r>
                    <w:rPr>
                      <w:rFonts w:hint="eastAsia"/>
                      <w:color w:val="000000"/>
                      <w:sz w:val="21"/>
                      <w:szCs w:val="21"/>
                    </w:rPr>
                    <w:t>不涉及。</w:t>
                  </w:r>
                </w:p>
              </w:tc>
            </w:tr>
            <w:tr w14:paraId="0BF582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29" w:type="dxa"/>
                  <w:vMerge w:val="continue"/>
                  <w:vAlign w:val="center"/>
                </w:tcPr>
                <w:p w14:paraId="6DACF76B">
                  <w:pPr>
                    <w:pStyle w:val="10"/>
                    <w:spacing w:before="0" w:after="0" w:line="240" w:lineRule="auto"/>
                    <w:ind w:right="0"/>
                    <w:jc w:val="center"/>
                    <w:rPr>
                      <w:rFonts w:hint="eastAsia" w:ascii="宋体" w:hAnsi="宋体" w:cs="宋体"/>
                      <w:color w:val="000000"/>
                      <w:sz w:val="21"/>
                      <w:szCs w:val="21"/>
                    </w:rPr>
                  </w:pPr>
                </w:p>
              </w:tc>
              <w:tc>
                <w:tcPr>
                  <w:tcW w:w="5100" w:type="dxa"/>
                  <w:vAlign w:val="center"/>
                </w:tcPr>
                <w:p w14:paraId="1F9CC161">
                  <w:pPr>
                    <w:pStyle w:val="10"/>
                    <w:spacing w:before="0" w:after="0" w:line="240" w:lineRule="auto"/>
                    <w:ind w:right="0"/>
                    <w:rPr>
                      <w:color w:val="000000"/>
                      <w:sz w:val="21"/>
                      <w:szCs w:val="21"/>
                    </w:rPr>
                  </w:pPr>
                  <w:r>
                    <w:rPr>
                      <w:color w:val="000000"/>
                      <w:sz w:val="21"/>
                      <w:szCs w:val="21"/>
                    </w:rPr>
                    <w:t>酿造企业接管进入污水处理厂的废水总量应不突破现有核定总</w:t>
                  </w:r>
                  <w:r>
                    <w:rPr>
                      <w:rFonts w:hint="eastAsia"/>
                      <w:color w:val="000000"/>
                      <w:sz w:val="21"/>
                      <w:szCs w:val="21"/>
                      <w:lang w:val="en-US" w:eastAsia="zh-CN"/>
                    </w:rPr>
                    <w:t>量</w:t>
                  </w:r>
                  <w:r>
                    <w:rPr>
                      <w:color w:val="000000"/>
                      <w:sz w:val="21"/>
                      <w:szCs w:val="21"/>
                    </w:rPr>
                    <w:t>（168万吨/年）；</w:t>
                  </w:r>
                </w:p>
              </w:tc>
              <w:tc>
                <w:tcPr>
                  <w:tcW w:w="3156" w:type="dxa"/>
                  <w:vAlign w:val="center"/>
                </w:tcPr>
                <w:p w14:paraId="5BB3634E">
                  <w:pPr>
                    <w:pStyle w:val="10"/>
                    <w:spacing w:before="0" w:after="0" w:line="240" w:lineRule="auto"/>
                    <w:ind w:right="0"/>
                    <w:jc w:val="center"/>
                    <w:rPr>
                      <w:rFonts w:hint="eastAsia" w:ascii="宋体" w:hAnsi="宋体" w:cs="宋体"/>
                      <w:color w:val="000000"/>
                      <w:sz w:val="21"/>
                      <w:szCs w:val="21"/>
                    </w:rPr>
                  </w:pPr>
                  <w:r>
                    <w:rPr>
                      <w:rFonts w:hint="eastAsia"/>
                      <w:color w:val="000000"/>
                      <w:sz w:val="21"/>
                      <w:szCs w:val="21"/>
                    </w:rPr>
                    <w:t>不涉及。</w:t>
                  </w:r>
                </w:p>
              </w:tc>
            </w:tr>
            <w:tr w14:paraId="1CCBDB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29" w:type="dxa"/>
                  <w:vMerge w:val="restart"/>
                  <w:vAlign w:val="center"/>
                </w:tcPr>
                <w:p w14:paraId="64A00A8F">
                  <w:pPr>
                    <w:adjustRightInd w:val="0"/>
                    <w:snapToGrid w:val="0"/>
                    <w:jc w:val="center"/>
                    <w:rPr>
                      <w:color w:val="000000"/>
                      <w:szCs w:val="21"/>
                    </w:rPr>
                  </w:pPr>
                  <w:r>
                    <w:rPr>
                      <w:rStyle w:val="97"/>
                      <w:color w:val="000000"/>
                      <w:szCs w:val="21"/>
                    </w:rPr>
                    <w:t>环境风险管控</w:t>
                  </w:r>
                </w:p>
              </w:tc>
              <w:tc>
                <w:tcPr>
                  <w:tcW w:w="5100" w:type="dxa"/>
                  <w:vAlign w:val="center"/>
                </w:tcPr>
                <w:p w14:paraId="6AC20E20">
                  <w:pPr>
                    <w:pStyle w:val="10"/>
                    <w:spacing w:before="0" w:after="0" w:line="240" w:lineRule="auto"/>
                    <w:ind w:right="0"/>
                    <w:rPr>
                      <w:rFonts w:hint="eastAsia" w:ascii="宋体" w:hAnsi="宋体" w:cs="宋体"/>
                      <w:color w:val="000000"/>
                      <w:sz w:val="21"/>
                      <w:szCs w:val="21"/>
                    </w:rPr>
                  </w:pPr>
                  <w:r>
                    <w:rPr>
                      <w:rFonts w:hint="eastAsia" w:ascii="宋体" w:hAnsi="宋体" w:cs="宋体"/>
                      <w:color w:val="000000"/>
                      <w:sz w:val="21"/>
                      <w:szCs w:val="21"/>
                    </w:rPr>
                    <w:t>开发区及入区企业应制定并落实各类事故风险防范措施及应急预案；</w:t>
                  </w:r>
                </w:p>
              </w:tc>
              <w:tc>
                <w:tcPr>
                  <w:tcW w:w="3156" w:type="dxa"/>
                  <w:vAlign w:val="center"/>
                </w:tcPr>
                <w:p w14:paraId="31A4DD55">
                  <w:pPr>
                    <w:pStyle w:val="10"/>
                    <w:spacing w:before="0" w:after="0" w:line="240" w:lineRule="auto"/>
                    <w:ind w:right="0"/>
                    <w:jc w:val="center"/>
                    <w:rPr>
                      <w:rFonts w:hint="eastAsia" w:ascii="宋体" w:hAnsi="宋体" w:cs="宋体"/>
                      <w:color w:val="000000"/>
                      <w:sz w:val="21"/>
                      <w:szCs w:val="21"/>
                    </w:rPr>
                  </w:pPr>
                  <w:r>
                    <w:rPr>
                      <w:rFonts w:hint="eastAsia" w:ascii="宋体" w:hAnsi="宋体" w:cs="宋体"/>
                      <w:color w:val="000000"/>
                      <w:sz w:val="21"/>
                      <w:szCs w:val="21"/>
                    </w:rPr>
                    <w:t>企业建设完成后，将进行突发环境事件应急预案的编制，最大限度地防止和减轻事故的危害。</w:t>
                  </w:r>
                </w:p>
              </w:tc>
            </w:tr>
            <w:tr w14:paraId="42F907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29" w:type="dxa"/>
                  <w:vMerge w:val="continue"/>
                  <w:vAlign w:val="center"/>
                </w:tcPr>
                <w:p w14:paraId="53AE8EE3">
                  <w:pPr>
                    <w:pStyle w:val="10"/>
                    <w:spacing w:before="0" w:after="0" w:line="240" w:lineRule="auto"/>
                    <w:ind w:right="0"/>
                    <w:jc w:val="center"/>
                    <w:rPr>
                      <w:rFonts w:hint="eastAsia" w:ascii="宋体" w:hAnsi="宋体" w:cs="宋体"/>
                      <w:color w:val="000000"/>
                      <w:sz w:val="21"/>
                      <w:szCs w:val="21"/>
                    </w:rPr>
                  </w:pPr>
                </w:p>
              </w:tc>
              <w:tc>
                <w:tcPr>
                  <w:tcW w:w="5100" w:type="dxa"/>
                  <w:vAlign w:val="center"/>
                </w:tcPr>
                <w:p w14:paraId="6AAC7893">
                  <w:pPr>
                    <w:pStyle w:val="10"/>
                    <w:spacing w:before="0" w:after="0" w:line="240" w:lineRule="auto"/>
                    <w:ind w:right="0"/>
                    <w:rPr>
                      <w:rFonts w:hint="eastAsia" w:ascii="宋体" w:hAnsi="宋体" w:cs="宋体"/>
                      <w:color w:val="000000"/>
                      <w:sz w:val="21"/>
                      <w:szCs w:val="21"/>
                    </w:rPr>
                  </w:pPr>
                  <w:r>
                    <w:rPr>
                      <w:rFonts w:hint="eastAsia" w:ascii="宋体" w:hAnsi="宋体" w:cs="宋体"/>
                      <w:color w:val="000000"/>
                      <w:sz w:val="21"/>
                      <w:szCs w:val="21"/>
                    </w:rPr>
                    <w:t>区内各企业须按规范要求建设贮存、使用危险化学品的装置，杜绝泄露物料进入环境；储备必要的设备物资，并每年组织实战演练，最大限度地防止和减轻事故的危害。排放工业废水的企业应设置足够容量的事故污水池，严禁污水超标排放。</w:t>
                  </w:r>
                </w:p>
              </w:tc>
              <w:tc>
                <w:tcPr>
                  <w:tcW w:w="3156" w:type="dxa"/>
                  <w:vAlign w:val="center"/>
                </w:tcPr>
                <w:p w14:paraId="759A7EA2">
                  <w:pPr>
                    <w:pStyle w:val="10"/>
                    <w:spacing w:before="0" w:after="0" w:line="240" w:lineRule="auto"/>
                    <w:ind w:right="0"/>
                    <w:jc w:val="center"/>
                    <w:rPr>
                      <w:rFonts w:hint="eastAsia" w:ascii="宋体" w:hAnsi="宋体" w:cs="宋体"/>
                      <w:color w:val="000000"/>
                      <w:sz w:val="21"/>
                      <w:szCs w:val="21"/>
                    </w:rPr>
                  </w:pPr>
                  <w:r>
                    <w:rPr>
                      <w:rFonts w:hint="eastAsia" w:ascii="宋体" w:hAnsi="宋体" w:cs="宋体"/>
                      <w:color w:val="000000"/>
                      <w:sz w:val="21"/>
                      <w:szCs w:val="21"/>
                    </w:rPr>
                    <w:t>企业建设完成后，将进行突发环境事件应急预案的编制，最大限度地防止和减轻事故的危害。</w:t>
                  </w:r>
                </w:p>
              </w:tc>
            </w:tr>
            <w:tr w14:paraId="37E72D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29" w:type="dxa"/>
                  <w:vMerge w:val="restart"/>
                  <w:vAlign w:val="center"/>
                </w:tcPr>
                <w:p w14:paraId="66B04CD4">
                  <w:pPr>
                    <w:adjustRightInd w:val="0"/>
                    <w:snapToGrid w:val="0"/>
                    <w:jc w:val="center"/>
                    <w:rPr>
                      <w:color w:val="000000"/>
                      <w:szCs w:val="21"/>
                    </w:rPr>
                  </w:pPr>
                  <w:r>
                    <w:rPr>
                      <w:rStyle w:val="97"/>
                      <w:color w:val="000000"/>
                      <w:szCs w:val="21"/>
                    </w:rPr>
                    <w:t>资源开发效率要求</w:t>
                  </w:r>
                </w:p>
              </w:tc>
              <w:tc>
                <w:tcPr>
                  <w:tcW w:w="5100" w:type="dxa"/>
                  <w:vAlign w:val="center"/>
                </w:tcPr>
                <w:p w14:paraId="14805828">
                  <w:pPr>
                    <w:pStyle w:val="10"/>
                    <w:spacing w:before="0" w:after="0" w:line="240" w:lineRule="auto"/>
                    <w:ind w:right="0"/>
                    <w:rPr>
                      <w:rFonts w:hint="eastAsia" w:ascii="宋体" w:hAnsi="宋体" w:cs="宋体"/>
                      <w:color w:val="000000"/>
                      <w:sz w:val="21"/>
                      <w:szCs w:val="21"/>
                    </w:rPr>
                  </w:pPr>
                  <w:r>
                    <w:rPr>
                      <w:rFonts w:hint="eastAsia" w:ascii="宋体" w:hAnsi="宋体" w:cs="宋体"/>
                      <w:color w:val="000000"/>
                      <w:sz w:val="21"/>
                      <w:szCs w:val="21"/>
                    </w:rPr>
                    <w:t>新建、改建、扩建项目应采用先进的技术和设备，清洁生产水平应达到国际同行业先进水平；</w:t>
                  </w:r>
                </w:p>
              </w:tc>
              <w:tc>
                <w:tcPr>
                  <w:tcW w:w="3156" w:type="dxa"/>
                  <w:vAlign w:val="center"/>
                </w:tcPr>
                <w:p w14:paraId="1AC2A2AB">
                  <w:pPr>
                    <w:pStyle w:val="10"/>
                    <w:spacing w:before="0" w:after="0" w:line="240" w:lineRule="auto"/>
                    <w:ind w:right="0"/>
                    <w:jc w:val="center"/>
                    <w:rPr>
                      <w:rFonts w:hint="eastAsia" w:ascii="宋体" w:hAnsi="宋体" w:cs="宋体"/>
                      <w:color w:val="000000"/>
                      <w:sz w:val="21"/>
                      <w:szCs w:val="21"/>
                    </w:rPr>
                  </w:pPr>
                  <w:r>
                    <w:rPr>
                      <w:rFonts w:hint="eastAsia" w:ascii="宋体" w:hAnsi="宋体" w:cs="宋体"/>
                      <w:color w:val="000000"/>
                      <w:sz w:val="21"/>
                      <w:szCs w:val="21"/>
                    </w:rPr>
                    <w:t>项目将采用先进的技术和设备，清洁生产水平应达到国际同行业先进水平。</w:t>
                  </w:r>
                </w:p>
              </w:tc>
            </w:tr>
            <w:tr w14:paraId="70A334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29" w:type="dxa"/>
                  <w:vMerge w:val="continue"/>
                  <w:vAlign w:val="center"/>
                </w:tcPr>
                <w:p w14:paraId="3AB8F929">
                  <w:pPr>
                    <w:adjustRightInd w:val="0"/>
                    <w:snapToGrid w:val="0"/>
                    <w:jc w:val="center"/>
                    <w:rPr>
                      <w:color w:val="000000"/>
                      <w:szCs w:val="21"/>
                    </w:rPr>
                  </w:pPr>
                </w:p>
              </w:tc>
              <w:tc>
                <w:tcPr>
                  <w:tcW w:w="5100" w:type="dxa"/>
                  <w:vAlign w:val="center"/>
                </w:tcPr>
                <w:p w14:paraId="653B69C4">
                  <w:pPr>
                    <w:pStyle w:val="10"/>
                    <w:spacing w:before="0" w:after="0" w:line="240" w:lineRule="auto"/>
                    <w:ind w:right="0"/>
                    <w:rPr>
                      <w:rFonts w:hint="eastAsia" w:ascii="宋体" w:hAnsi="宋体" w:cs="宋体"/>
                      <w:color w:val="000000"/>
                      <w:sz w:val="21"/>
                      <w:szCs w:val="21"/>
                    </w:rPr>
                  </w:pPr>
                  <w:r>
                    <w:rPr>
                      <w:rFonts w:hint="eastAsia" w:ascii="宋体" w:hAnsi="宋体" w:cs="宋体"/>
                      <w:color w:val="000000"/>
                      <w:sz w:val="21"/>
                      <w:szCs w:val="21"/>
                    </w:rPr>
                    <w:t>印染行业资源开发利用应满足《印染行业规范条件》；</w:t>
                  </w:r>
                </w:p>
              </w:tc>
              <w:tc>
                <w:tcPr>
                  <w:tcW w:w="3156" w:type="dxa"/>
                  <w:vAlign w:val="center"/>
                </w:tcPr>
                <w:p w14:paraId="3355762C">
                  <w:pPr>
                    <w:pStyle w:val="10"/>
                    <w:spacing w:before="0" w:after="0" w:line="240" w:lineRule="auto"/>
                    <w:ind w:right="0"/>
                    <w:jc w:val="center"/>
                    <w:rPr>
                      <w:rFonts w:hint="eastAsia" w:ascii="宋体" w:hAnsi="宋体" w:cs="宋体"/>
                      <w:color w:val="000000"/>
                      <w:sz w:val="21"/>
                      <w:szCs w:val="21"/>
                    </w:rPr>
                  </w:pPr>
                  <w:r>
                    <w:rPr>
                      <w:rFonts w:hint="eastAsia"/>
                      <w:color w:val="000000"/>
                      <w:sz w:val="21"/>
                      <w:szCs w:val="21"/>
                    </w:rPr>
                    <w:t>不涉及。</w:t>
                  </w:r>
                </w:p>
              </w:tc>
            </w:tr>
            <w:tr w14:paraId="49D4AA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29" w:type="dxa"/>
                  <w:vMerge w:val="continue"/>
                  <w:vAlign w:val="center"/>
                </w:tcPr>
                <w:p w14:paraId="400FB34E">
                  <w:pPr>
                    <w:pStyle w:val="10"/>
                    <w:spacing w:before="0" w:after="0" w:line="240" w:lineRule="auto"/>
                    <w:ind w:right="0"/>
                    <w:jc w:val="center"/>
                    <w:rPr>
                      <w:rFonts w:hint="eastAsia" w:ascii="宋体" w:hAnsi="宋体" w:cs="宋体"/>
                      <w:color w:val="000000"/>
                      <w:sz w:val="21"/>
                      <w:szCs w:val="21"/>
                    </w:rPr>
                  </w:pPr>
                </w:p>
              </w:tc>
              <w:tc>
                <w:tcPr>
                  <w:tcW w:w="5100" w:type="dxa"/>
                  <w:vAlign w:val="center"/>
                </w:tcPr>
                <w:p w14:paraId="355E8B2F">
                  <w:pPr>
                    <w:pStyle w:val="10"/>
                    <w:spacing w:before="0" w:after="0" w:line="240" w:lineRule="auto"/>
                    <w:ind w:right="0"/>
                    <w:rPr>
                      <w:rFonts w:hint="eastAsia" w:ascii="宋体" w:hAnsi="宋体" w:cs="宋体"/>
                      <w:color w:val="000000"/>
                      <w:sz w:val="21"/>
                      <w:szCs w:val="21"/>
                    </w:rPr>
                  </w:pPr>
                  <w:r>
                    <w:rPr>
                      <w:rFonts w:hint="eastAsia" w:ascii="宋体" w:hAnsi="宋体" w:cs="宋体"/>
                      <w:color w:val="000000"/>
                      <w:sz w:val="21"/>
                      <w:szCs w:val="21"/>
                    </w:rPr>
                    <w:t>禁止新建、扩建燃用高污染燃料的项目和设施，已建成的应逐步或依法限期改用天然气、电或者其他清洁能源；</w:t>
                  </w:r>
                </w:p>
              </w:tc>
              <w:tc>
                <w:tcPr>
                  <w:tcW w:w="3156" w:type="dxa"/>
                  <w:vAlign w:val="center"/>
                </w:tcPr>
                <w:p w14:paraId="070E475F">
                  <w:pPr>
                    <w:pStyle w:val="10"/>
                    <w:spacing w:before="0" w:after="0" w:line="240" w:lineRule="auto"/>
                    <w:ind w:right="0"/>
                    <w:jc w:val="center"/>
                    <w:rPr>
                      <w:rFonts w:hint="eastAsia" w:ascii="宋体" w:hAnsi="宋体" w:cs="宋体"/>
                      <w:color w:val="000000"/>
                      <w:sz w:val="21"/>
                      <w:szCs w:val="21"/>
                    </w:rPr>
                  </w:pPr>
                  <w:r>
                    <w:rPr>
                      <w:rFonts w:hint="eastAsia" w:ascii="宋体" w:hAnsi="宋体" w:cs="宋体"/>
                      <w:color w:val="000000"/>
                      <w:sz w:val="21"/>
                      <w:szCs w:val="21"/>
                    </w:rPr>
                    <w:t>不涉及。</w:t>
                  </w:r>
                </w:p>
              </w:tc>
            </w:tr>
            <w:tr w14:paraId="09EB99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29" w:type="dxa"/>
                  <w:vMerge w:val="continue"/>
                  <w:vAlign w:val="center"/>
                </w:tcPr>
                <w:p w14:paraId="7EAF2941">
                  <w:pPr>
                    <w:pStyle w:val="10"/>
                    <w:spacing w:before="0" w:after="0" w:line="240" w:lineRule="auto"/>
                    <w:ind w:right="0"/>
                    <w:jc w:val="center"/>
                    <w:rPr>
                      <w:rFonts w:hint="eastAsia" w:ascii="宋体" w:hAnsi="宋体" w:cs="宋体"/>
                      <w:color w:val="000000"/>
                      <w:sz w:val="21"/>
                      <w:szCs w:val="21"/>
                    </w:rPr>
                  </w:pPr>
                </w:p>
              </w:tc>
              <w:tc>
                <w:tcPr>
                  <w:tcW w:w="5100" w:type="dxa"/>
                  <w:vAlign w:val="center"/>
                </w:tcPr>
                <w:p w14:paraId="20CEA1EB">
                  <w:pPr>
                    <w:pStyle w:val="10"/>
                    <w:spacing w:before="0" w:after="0" w:line="240" w:lineRule="auto"/>
                    <w:ind w:right="0"/>
                    <w:rPr>
                      <w:rFonts w:hint="eastAsia" w:ascii="宋体" w:hAnsi="宋体" w:cs="宋体"/>
                      <w:color w:val="000000"/>
                      <w:sz w:val="21"/>
                      <w:szCs w:val="21"/>
                    </w:rPr>
                  </w:pPr>
                  <w:r>
                    <w:rPr>
                      <w:color w:val="000000"/>
                      <w:sz w:val="21"/>
                      <w:szCs w:val="21"/>
                    </w:rPr>
                    <w:t>力争2027年碳排放达到峰值。</w:t>
                  </w:r>
                </w:p>
              </w:tc>
              <w:tc>
                <w:tcPr>
                  <w:tcW w:w="3156" w:type="dxa"/>
                  <w:vAlign w:val="center"/>
                </w:tcPr>
                <w:p w14:paraId="32267F3A">
                  <w:pPr>
                    <w:pStyle w:val="10"/>
                    <w:spacing w:before="0" w:after="0" w:line="240" w:lineRule="auto"/>
                    <w:ind w:right="0"/>
                    <w:jc w:val="center"/>
                    <w:rPr>
                      <w:rFonts w:hint="eastAsia" w:ascii="宋体" w:hAnsi="宋体" w:cs="宋体"/>
                      <w:color w:val="000000"/>
                      <w:sz w:val="21"/>
                      <w:szCs w:val="21"/>
                    </w:rPr>
                  </w:pPr>
                  <w:r>
                    <w:rPr>
                      <w:rFonts w:hint="eastAsia" w:ascii="宋体" w:hAnsi="宋体" w:cs="宋体"/>
                      <w:color w:val="000000"/>
                      <w:sz w:val="21"/>
                      <w:szCs w:val="21"/>
                    </w:rPr>
                    <w:t>不涉及。</w:t>
                  </w:r>
                </w:p>
              </w:tc>
            </w:tr>
          </w:tbl>
          <w:p w14:paraId="2E5F5924">
            <w:pPr>
              <w:keepNext w:val="0"/>
              <w:keepLines w:val="0"/>
              <w:pageBreakBefore w:val="0"/>
              <w:widowControl w:val="0"/>
              <w:kinsoku/>
              <w:wordWrap/>
              <w:overflowPunct/>
              <w:topLinePunct w:val="0"/>
              <w:autoSpaceDE/>
              <w:autoSpaceDN/>
              <w:bidi w:val="0"/>
              <w:adjustRightInd/>
              <w:snapToGrid w:val="0"/>
              <w:spacing w:before="156" w:beforeLines="50" w:line="360" w:lineRule="auto"/>
              <w:textAlignment w:val="auto"/>
              <w:rPr>
                <w:b/>
                <w:bCs/>
                <w:color w:val="000000"/>
                <w:szCs w:val="21"/>
              </w:rPr>
            </w:pPr>
            <w:r>
              <w:rPr>
                <w:b/>
                <w:bCs/>
                <w:color w:val="000000"/>
                <w:szCs w:val="21"/>
              </w:rPr>
              <w:t>3、与江苏省生态环境厅《省生态环境厅关于进一步做好建设项目环评审批工作的通知》苏环办〔2019〕36号的相符性</w:t>
            </w:r>
          </w:p>
          <w:p w14:paraId="1AEB8A1B">
            <w:pPr>
              <w:pStyle w:val="75"/>
              <w:keepNext w:val="0"/>
              <w:keepLines w:val="0"/>
              <w:pageBreakBefore w:val="0"/>
              <w:widowControl w:val="0"/>
              <w:kinsoku/>
              <w:wordWrap/>
              <w:overflowPunct/>
              <w:topLinePunct w:val="0"/>
              <w:autoSpaceDE/>
              <w:autoSpaceDN/>
              <w:bidi w:val="0"/>
              <w:adjustRightInd/>
              <w:snapToGrid w:val="0"/>
              <w:spacing w:before="156" w:beforeLines="50"/>
              <w:textAlignment w:val="auto"/>
              <w:rPr>
                <w:rFonts w:ascii="Times New Roman" w:hAnsi="Times New Roman" w:cs="Times New Roman"/>
                <w:b/>
                <w:bCs/>
                <w:color w:val="000000"/>
                <w:spacing w:val="-9"/>
                <w:sz w:val="21"/>
                <w:szCs w:val="21"/>
                <w:lang w:eastAsia="zh-CN"/>
              </w:rPr>
            </w:pPr>
            <w:r>
              <w:rPr>
                <w:rFonts w:ascii="Times New Roman" w:hAnsi="Times New Roman" w:cs="Times New Roman"/>
                <w:b/>
                <w:color w:val="000000"/>
                <w:spacing w:val="-29"/>
                <w:sz w:val="21"/>
                <w:szCs w:val="20"/>
                <w:lang w:eastAsia="zh-CN"/>
              </w:rPr>
              <w:t xml:space="preserve">表 </w:t>
            </w:r>
            <w:r>
              <w:rPr>
                <w:rFonts w:ascii="Times New Roman" w:hAnsi="Times New Roman" w:eastAsia="Times New Roman" w:cs="Times New Roman"/>
                <w:b/>
                <w:color w:val="000000"/>
                <w:sz w:val="21"/>
                <w:szCs w:val="20"/>
                <w:lang w:eastAsia="zh-CN"/>
              </w:rPr>
              <w:t>1-</w:t>
            </w:r>
            <w:r>
              <w:rPr>
                <w:rFonts w:hint="eastAsia" w:ascii="Times New Roman" w:hAnsi="Times New Roman" w:cs="Times New Roman"/>
                <w:b/>
                <w:color w:val="000000"/>
                <w:sz w:val="21"/>
                <w:szCs w:val="20"/>
                <w:lang w:val="en-US" w:eastAsia="zh-CN"/>
              </w:rPr>
              <w:t>6</w:t>
            </w:r>
            <w:r>
              <w:rPr>
                <w:rFonts w:ascii="Times New Roman" w:hAnsi="Times New Roman" w:cs="Times New Roman"/>
                <w:b/>
                <w:color w:val="000000"/>
                <w:sz w:val="21"/>
                <w:szCs w:val="20"/>
                <w:lang w:eastAsia="zh-CN"/>
              </w:rPr>
              <w:t xml:space="preserve"> </w:t>
            </w:r>
            <w:r>
              <w:rPr>
                <w:rFonts w:ascii="Times New Roman" w:hAnsi="Times New Roman" w:cs="Times New Roman"/>
                <w:b/>
                <w:color w:val="000000"/>
                <w:spacing w:val="-7"/>
                <w:sz w:val="21"/>
                <w:szCs w:val="20"/>
                <w:lang w:eastAsia="zh-CN"/>
              </w:rPr>
              <w:t>与《省生态环境厅关于进一步做好建设项目环评审批工作的通知》</w:t>
            </w:r>
            <w:r>
              <w:rPr>
                <w:rFonts w:ascii="Times New Roman" w:hAnsi="Times New Roman" w:cs="Times New Roman"/>
                <w:b/>
                <w:color w:val="000000"/>
                <w:sz w:val="21"/>
                <w:szCs w:val="20"/>
                <w:lang w:eastAsia="zh-CN"/>
              </w:rPr>
              <w:t>（苏环办〔</w:t>
            </w:r>
            <w:r>
              <w:rPr>
                <w:rFonts w:ascii="Times New Roman" w:hAnsi="Times New Roman" w:eastAsia="Times New Roman" w:cs="Times New Roman"/>
                <w:b/>
                <w:color w:val="000000"/>
                <w:sz w:val="21"/>
                <w:szCs w:val="20"/>
                <w:lang w:eastAsia="zh-CN"/>
              </w:rPr>
              <w:t>2019</w:t>
            </w:r>
            <w:r>
              <w:rPr>
                <w:rFonts w:ascii="Times New Roman" w:hAnsi="Times New Roman" w:cs="Times New Roman"/>
                <w:b/>
                <w:color w:val="000000"/>
                <w:sz w:val="21"/>
                <w:szCs w:val="20"/>
                <w:lang w:eastAsia="zh-CN"/>
              </w:rPr>
              <w:t>〕</w:t>
            </w:r>
            <w:r>
              <w:rPr>
                <w:rFonts w:ascii="Times New Roman" w:hAnsi="Times New Roman" w:eastAsia="Times New Roman" w:cs="Times New Roman"/>
                <w:b/>
                <w:color w:val="000000"/>
                <w:sz w:val="21"/>
                <w:szCs w:val="20"/>
                <w:lang w:eastAsia="zh-CN"/>
              </w:rPr>
              <w:t>36</w:t>
            </w:r>
            <w:r>
              <w:rPr>
                <w:rFonts w:ascii="Times New Roman" w:hAnsi="Times New Roman" w:cs="Times New Roman"/>
                <w:b/>
                <w:color w:val="000000"/>
                <w:sz w:val="21"/>
                <w:szCs w:val="20"/>
                <w:lang w:eastAsia="zh-CN"/>
              </w:rPr>
              <w:t>号）相符性分析</w:t>
            </w:r>
          </w:p>
          <w:tbl>
            <w:tblPr>
              <w:tblStyle w:val="30"/>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28" w:type="dxa"/>
                <w:bottom w:w="0" w:type="dxa"/>
                <w:right w:w="28" w:type="dxa"/>
              </w:tblCellMar>
            </w:tblPr>
            <w:tblGrid>
              <w:gridCol w:w="4866"/>
              <w:gridCol w:w="3188"/>
              <w:gridCol w:w="731"/>
            </w:tblGrid>
            <w:tr w14:paraId="79BD693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866" w:type="dxa"/>
                  <w:vAlign w:val="center"/>
                </w:tcPr>
                <w:p w14:paraId="591DE0FC">
                  <w:pPr>
                    <w:pStyle w:val="75"/>
                    <w:rPr>
                      <w:rFonts w:ascii="Times New Roman" w:hAnsi="Times New Roman" w:cs="Times New Roman"/>
                      <w:b/>
                      <w:color w:val="000000"/>
                      <w:sz w:val="21"/>
                      <w:szCs w:val="21"/>
                    </w:rPr>
                  </w:pPr>
                  <w:r>
                    <w:rPr>
                      <w:rFonts w:ascii="Times New Roman" w:hAnsi="Times New Roman" w:cs="Times New Roman"/>
                      <w:b/>
                      <w:color w:val="000000"/>
                      <w:sz w:val="21"/>
                      <w:szCs w:val="21"/>
                    </w:rPr>
                    <w:t>文件要求</w:t>
                  </w:r>
                </w:p>
              </w:tc>
              <w:tc>
                <w:tcPr>
                  <w:tcW w:w="3188" w:type="dxa"/>
                  <w:vAlign w:val="center"/>
                </w:tcPr>
                <w:p w14:paraId="6A4CFFB5">
                  <w:pPr>
                    <w:pStyle w:val="75"/>
                    <w:rPr>
                      <w:rFonts w:ascii="Times New Roman" w:hAnsi="Times New Roman" w:cs="Times New Roman"/>
                      <w:b/>
                      <w:color w:val="000000"/>
                      <w:sz w:val="21"/>
                      <w:szCs w:val="21"/>
                    </w:rPr>
                  </w:pPr>
                  <w:r>
                    <w:rPr>
                      <w:rFonts w:ascii="Times New Roman" w:hAnsi="Times New Roman" w:cs="Times New Roman"/>
                      <w:b/>
                      <w:color w:val="000000"/>
                      <w:sz w:val="21"/>
                      <w:szCs w:val="21"/>
                    </w:rPr>
                    <w:t>本项目情况</w:t>
                  </w:r>
                </w:p>
              </w:tc>
              <w:tc>
                <w:tcPr>
                  <w:tcW w:w="731" w:type="dxa"/>
                  <w:vAlign w:val="center"/>
                </w:tcPr>
                <w:p w14:paraId="26FAACA1">
                  <w:pPr>
                    <w:pStyle w:val="75"/>
                    <w:rPr>
                      <w:rFonts w:ascii="Times New Roman" w:hAnsi="Times New Roman" w:cs="Times New Roman"/>
                      <w:b/>
                      <w:color w:val="000000"/>
                      <w:sz w:val="21"/>
                      <w:szCs w:val="21"/>
                    </w:rPr>
                  </w:pPr>
                  <w:r>
                    <w:rPr>
                      <w:rFonts w:ascii="Times New Roman" w:hAnsi="Times New Roman" w:cs="Times New Roman"/>
                      <w:b/>
                      <w:color w:val="000000"/>
                      <w:sz w:val="21"/>
                      <w:szCs w:val="21"/>
                    </w:rPr>
                    <w:t>相符性</w:t>
                  </w:r>
                </w:p>
              </w:tc>
            </w:tr>
            <w:tr w14:paraId="7973C57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866" w:type="dxa"/>
                  <w:vAlign w:val="center"/>
                </w:tcPr>
                <w:p w14:paraId="727A3CD1">
                  <w:pPr>
                    <w:pStyle w:val="75"/>
                    <w:jc w:val="both"/>
                    <w:rPr>
                      <w:rFonts w:ascii="Times New Roman" w:hAnsi="Times New Roman" w:cs="Times New Roman"/>
                      <w:color w:val="000000"/>
                      <w:sz w:val="21"/>
                      <w:szCs w:val="21"/>
                      <w:lang w:eastAsia="zh-CN"/>
                    </w:rPr>
                  </w:pPr>
                  <w:r>
                    <w:rPr>
                      <w:rFonts w:ascii="Times New Roman" w:hAnsi="Times New Roman" w:cs="Times New Roman"/>
                      <w:color w:val="000000"/>
                      <w:sz w:val="21"/>
                      <w:szCs w:val="21"/>
                      <w:lang w:eastAsia="zh-CN"/>
                    </w:rPr>
                    <w:t>有下列情形之一的，不予批准：（1）建设项目类型及其选址、布局、规模等不符合环境保护法律法规和相关法定规划；（2）所在区域环境质量未达到国家或者地方环境质量标准，且建设项目拟采取的措施不能满足区域环境质量改善目标管理要求；（3）建设项目采取的污染防治措施无法确保污染物排放达到国家和地方排放标准，或者未采取必要措施预防和控制生态破坏；（4）改建、改建和技术改造项目，未针对项目原有环境污染和生态破坏提出有效防止措施；（5）建设项目的环境影响报告书、环境影响报告表的基础资料数据明显不实，内容存在重大缺陷、遗漏，或者环境影响评价结论不明确、不合理。</w:t>
                  </w:r>
                </w:p>
              </w:tc>
              <w:tc>
                <w:tcPr>
                  <w:tcW w:w="3188" w:type="dxa"/>
                  <w:vAlign w:val="center"/>
                </w:tcPr>
                <w:p w14:paraId="567C1609">
                  <w:pPr>
                    <w:pStyle w:val="75"/>
                    <w:jc w:val="both"/>
                    <w:rPr>
                      <w:rFonts w:ascii="Times New Roman" w:hAnsi="Times New Roman" w:cs="Times New Roman"/>
                      <w:sz w:val="21"/>
                      <w:szCs w:val="21"/>
                      <w:lang w:eastAsia="zh-CN"/>
                    </w:rPr>
                  </w:pPr>
                  <w:r>
                    <w:rPr>
                      <w:rFonts w:ascii="Times New Roman" w:hAnsi="Times New Roman" w:cs="Times New Roman"/>
                      <w:sz w:val="21"/>
                      <w:szCs w:val="21"/>
                      <w:lang w:eastAsia="zh-CN"/>
                    </w:rPr>
                    <w:t>本项目选址符合规划要求，符合江苏省泗阳经济开发区产业定位。项目采取措施满足排放标准及区域环境质量改善目标管理要求。</w:t>
                  </w:r>
                </w:p>
              </w:tc>
              <w:tc>
                <w:tcPr>
                  <w:tcW w:w="731" w:type="dxa"/>
                  <w:vAlign w:val="center"/>
                </w:tcPr>
                <w:p w14:paraId="716637B3">
                  <w:pPr>
                    <w:pStyle w:val="75"/>
                    <w:rPr>
                      <w:rFonts w:ascii="Times New Roman" w:hAnsi="Times New Roman" w:cs="Times New Roman"/>
                      <w:color w:val="000000"/>
                      <w:sz w:val="21"/>
                      <w:szCs w:val="21"/>
                    </w:rPr>
                  </w:pPr>
                  <w:r>
                    <w:rPr>
                      <w:rFonts w:ascii="Times New Roman" w:hAnsi="Times New Roman" w:cs="Times New Roman"/>
                      <w:color w:val="000000"/>
                      <w:sz w:val="21"/>
                      <w:szCs w:val="21"/>
                    </w:rPr>
                    <w:t>符合</w:t>
                  </w:r>
                </w:p>
              </w:tc>
            </w:tr>
            <w:tr w14:paraId="3A1605F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866" w:type="dxa"/>
                  <w:vAlign w:val="center"/>
                </w:tcPr>
                <w:p w14:paraId="696B2E62">
                  <w:pPr>
                    <w:pStyle w:val="75"/>
                    <w:jc w:val="both"/>
                    <w:rPr>
                      <w:rFonts w:ascii="Times New Roman" w:hAnsi="Times New Roman" w:cs="Times New Roman"/>
                      <w:color w:val="000000"/>
                      <w:sz w:val="21"/>
                      <w:szCs w:val="21"/>
                      <w:lang w:eastAsia="zh-CN"/>
                    </w:rPr>
                  </w:pPr>
                  <w:r>
                    <w:rPr>
                      <w:rFonts w:ascii="Times New Roman" w:hAnsi="Times New Roman" w:cs="Times New Roman"/>
                      <w:color w:val="000000"/>
                      <w:sz w:val="21"/>
                      <w:szCs w:val="21"/>
                      <w:lang w:eastAsia="zh-CN"/>
                    </w:rPr>
                    <w:t>严格控制在优先保护类耕地集中区域新建有色金属冶练、石油加工、化工、焦化、电镀、制革等行业企业，有关环境保护主管部门依法不予审批可能造成耕地土壤污染的建设项目环境影响报告书或者报告表。</w:t>
                  </w:r>
                </w:p>
              </w:tc>
              <w:tc>
                <w:tcPr>
                  <w:tcW w:w="3188" w:type="dxa"/>
                  <w:vAlign w:val="center"/>
                </w:tcPr>
                <w:p w14:paraId="4FDF62CE">
                  <w:pPr>
                    <w:pStyle w:val="75"/>
                    <w:jc w:val="both"/>
                    <w:rPr>
                      <w:rFonts w:ascii="Times New Roman" w:hAnsi="Times New Roman" w:cs="Times New Roman"/>
                      <w:color w:val="000000"/>
                      <w:sz w:val="21"/>
                      <w:szCs w:val="21"/>
                      <w:lang w:eastAsia="zh-CN"/>
                    </w:rPr>
                  </w:pPr>
                  <w:r>
                    <w:rPr>
                      <w:rFonts w:ascii="Times New Roman" w:hAnsi="Times New Roman" w:cs="Times New Roman"/>
                      <w:color w:val="000000"/>
                      <w:sz w:val="21"/>
                      <w:szCs w:val="21"/>
                      <w:lang w:eastAsia="zh-CN"/>
                    </w:rPr>
                    <w:t>本项目用地为工业用地，不属于限制类企业</w:t>
                  </w:r>
                </w:p>
              </w:tc>
              <w:tc>
                <w:tcPr>
                  <w:tcW w:w="731" w:type="dxa"/>
                  <w:vAlign w:val="center"/>
                </w:tcPr>
                <w:p w14:paraId="47DE66AE">
                  <w:pPr>
                    <w:pStyle w:val="75"/>
                    <w:rPr>
                      <w:rFonts w:ascii="Times New Roman" w:hAnsi="Times New Roman" w:cs="Times New Roman"/>
                      <w:color w:val="000000"/>
                      <w:sz w:val="21"/>
                      <w:szCs w:val="21"/>
                    </w:rPr>
                  </w:pPr>
                  <w:r>
                    <w:rPr>
                      <w:rFonts w:ascii="Times New Roman" w:hAnsi="Times New Roman" w:cs="Times New Roman"/>
                      <w:color w:val="000000"/>
                      <w:sz w:val="21"/>
                      <w:szCs w:val="21"/>
                    </w:rPr>
                    <w:t>符合</w:t>
                  </w:r>
                </w:p>
              </w:tc>
            </w:tr>
            <w:tr w14:paraId="4C26330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866" w:type="dxa"/>
                  <w:vAlign w:val="center"/>
                </w:tcPr>
                <w:p w14:paraId="79F0A082">
                  <w:pPr>
                    <w:pStyle w:val="75"/>
                    <w:jc w:val="both"/>
                    <w:rPr>
                      <w:rFonts w:ascii="Times New Roman" w:hAnsi="Times New Roman" w:cs="Times New Roman"/>
                      <w:color w:val="000000"/>
                      <w:sz w:val="21"/>
                      <w:szCs w:val="21"/>
                      <w:lang w:eastAsia="zh-CN"/>
                    </w:rPr>
                  </w:pPr>
                  <w:r>
                    <w:rPr>
                      <w:rFonts w:ascii="Times New Roman" w:hAnsi="Times New Roman" w:cs="Times New Roman"/>
                      <w:color w:val="000000"/>
                      <w:sz w:val="21"/>
                      <w:szCs w:val="21"/>
                      <w:lang w:eastAsia="zh-CN"/>
                    </w:rPr>
                    <w:t>严格落实污染物排放总量控制制度，把主要污染物排放总量指标作为建设项目环境影响评价审批的前置条件。排放主要污染物的建设项目，在环境影响评价文件审批前，须取得主要污染物排放总量指标。</w:t>
                  </w:r>
                </w:p>
              </w:tc>
              <w:tc>
                <w:tcPr>
                  <w:tcW w:w="3188" w:type="dxa"/>
                  <w:vAlign w:val="center"/>
                </w:tcPr>
                <w:p w14:paraId="1F4AA71F">
                  <w:pPr>
                    <w:pStyle w:val="75"/>
                    <w:jc w:val="both"/>
                    <w:rPr>
                      <w:rFonts w:ascii="Times New Roman" w:hAnsi="Times New Roman" w:cs="Times New Roman"/>
                      <w:color w:val="000000"/>
                      <w:sz w:val="21"/>
                      <w:szCs w:val="21"/>
                      <w:lang w:eastAsia="zh-CN"/>
                    </w:rPr>
                  </w:pPr>
                  <w:r>
                    <w:rPr>
                      <w:rFonts w:ascii="Times New Roman" w:hAnsi="Times New Roman" w:cs="Times New Roman"/>
                      <w:color w:val="000000"/>
                      <w:sz w:val="21"/>
                      <w:szCs w:val="21"/>
                      <w:lang w:eastAsia="zh-CN"/>
                    </w:rPr>
                    <w:t>本项目严格落实污染物排放总量控制制度，会在文件审批前，取得主要污染物排放总量指标。</w:t>
                  </w:r>
                </w:p>
              </w:tc>
              <w:tc>
                <w:tcPr>
                  <w:tcW w:w="731" w:type="dxa"/>
                  <w:vAlign w:val="center"/>
                </w:tcPr>
                <w:p w14:paraId="0DFA0889">
                  <w:pPr>
                    <w:pStyle w:val="75"/>
                    <w:rPr>
                      <w:rFonts w:ascii="Times New Roman" w:hAnsi="Times New Roman" w:cs="Times New Roman"/>
                      <w:color w:val="000000"/>
                      <w:sz w:val="21"/>
                      <w:szCs w:val="21"/>
                    </w:rPr>
                  </w:pPr>
                  <w:r>
                    <w:rPr>
                      <w:rFonts w:ascii="Times New Roman" w:hAnsi="Times New Roman" w:cs="Times New Roman"/>
                      <w:color w:val="000000"/>
                      <w:sz w:val="21"/>
                      <w:szCs w:val="21"/>
                    </w:rPr>
                    <w:t>符合</w:t>
                  </w:r>
                </w:p>
              </w:tc>
            </w:tr>
            <w:tr w14:paraId="0996F0F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866" w:type="dxa"/>
                  <w:vAlign w:val="center"/>
                </w:tcPr>
                <w:p w14:paraId="70817E45">
                  <w:pPr>
                    <w:pStyle w:val="75"/>
                    <w:jc w:val="both"/>
                    <w:rPr>
                      <w:rFonts w:ascii="Times New Roman" w:hAnsi="Times New Roman" w:cs="Times New Roman"/>
                      <w:color w:val="000000"/>
                      <w:sz w:val="21"/>
                      <w:szCs w:val="21"/>
                      <w:lang w:eastAsia="zh-CN"/>
                    </w:rPr>
                  </w:pPr>
                  <w:r>
                    <w:rPr>
                      <w:rFonts w:ascii="Times New Roman" w:hAnsi="Times New Roman" w:cs="Times New Roman"/>
                      <w:color w:val="000000"/>
                      <w:sz w:val="21"/>
                      <w:szCs w:val="21"/>
                      <w:lang w:eastAsia="zh-CN"/>
                    </w:rPr>
                    <w:t>（1）规划环评要作为规划所包含项目环评的重要依据，对于不符合规划环评结论及审查意见的项目环评，依法不予审批。（2）对于现有同类型项目环境污染或生态破坏严重、环境违法违规现象多发，致使环境容量接近或超过承载能力的地区，在现有问题整改到位前，依法暂停审批该地区同类行业的项目环评文件。（3）对环境质量现状超标的地区，项目拟采取的措施不能满足区域环境质量改善目标管理要求的，依法不予审批其环评文件。对未达到环境质量目标考核要求的地区，除民生项目与节能减排项目外，依法暂停审批该地区新增排放相应重点污染物的项目环评文件。</w:t>
                  </w:r>
                </w:p>
              </w:tc>
              <w:tc>
                <w:tcPr>
                  <w:tcW w:w="3188" w:type="dxa"/>
                  <w:vAlign w:val="center"/>
                </w:tcPr>
                <w:p w14:paraId="32D60345">
                  <w:pPr>
                    <w:pStyle w:val="75"/>
                    <w:jc w:val="both"/>
                    <w:rPr>
                      <w:rFonts w:ascii="Times New Roman" w:hAnsi="Times New Roman" w:cs="Times New Roman"/>
                      <w:sz w:val="21"/>
                      <w:szCs w:val="21"/>
                      <w:lang w:eastAsia="zh-CN"/>
                    </w:rPr>
                  </w:pPr>
                  <w:r>
                    <w:rPr>
                      <w:rFonts w:ascii="Times New Roman" w:hAnsi="Times New Roman" w:cs="Times New Roman"/>
                      <w:sz w:val="21"/>
                      <w:szCs w:val="21"/>
                      <w:lang w:eastAsia="zh-CN"/>
                    </w:rPr>
                    <w:t>本项目位于江苏省泗阳经济开发区，江苏省泗阳经济开发区已编制规划环评，本项目严格依据规划环评进行建设。本项目为</w:t>
                  </w:r>
                  <w:r>
                    <w:rPr>
                      <w:rFonts w:hint="eastAsia" w:ascii="Times New Roman" w:hAnsi="Times New Roman" w:cs="Times New Roman"/>
                      <w:sz w:val="21"/>
                      <w:szCs w:val="21"/>
                      <w:lang w:eastAsia="zh-CN"/>
                    </w:rPr>
                    <w:t>玻璃酒瓶</w:t>
                  </w:r>
                  <w:r>
                    <w:rPr>
                      <w:rFonts w:ascii="Times New Roman" w:hAnsi="Times New Roman" w:cs="Times New Roman"/>
                      <w:sz w:val="21"/>
                      <w:szCs w:val="21"/>
                      <w:lang w:eastAsia="zh-CN"/>
                    </w:rPr>
                    <w:t>生产</w:t>
                  </w:r>
                  <w:r>
                    <w:rPr>
                      <w:rFonts w:hint="eastAsia" w:ascii="Times New Roman" w:hAnsi="Times New Roman" w:cs="Times New Roman"/>
                      <w:sz w:val="21"/>
                      <w:szCs w:val="21"/>
                      <w:lang w:val="en-US" w:eastAsia="zh-CN"/>
                    </w:rPr>
                    <w:t>加工</w:t>
                  </w:r>
                  <w:r>
                    <w:rPr>
                      <w:rFonts w:ascii="Times New Roman" w:hAnsi="Times New Roman" w:cs="Times New Roman"/>
                      <w:sz w:val="21"/>
                      <w:szCs w:val="21"/>
                      <w:lang w:eastAsia="zh-CN"/>
                    </w:rPr>
                    <w:t>项目，项目产生污染物主要为</w:t>
                  </w:r>
                  <w:r>
                    <w:rPr>
                      <w:rFonts w:hint="eastAsia" w:ascii="Times New Roman" w:hAnsi="Times New Roman" w:cs="Times New Roman"/>
                      <w:sz w:val="21"/>
                      <w:szCs w:val="21"/>
                      <w:lang w:val="en-US" w:eastAsia="zh-CN"/>
                    </w:rPr>
                    <w:t>有机废气、COD、SS、氨氮、总磷、氟化物等</w:t>
                  </w:r>
                  <w:r>
                    <w:rPr>
                      <w:rFonts w:ascii="Times New Roman" w:hAnsi="Times New Roman" w:cs="Times New Roman"/>
                      <w:sz w:val="21"/>
                      <w:szCs w:val="21"/>
                      <w:lang w:eastAsia="zh-CN"/>
                    </w:rPr>
                    <w:t>，区域同类型环境污染违规现象较少，无严重生态破坏现象，项目区域仍具有一定的环境容量。项目产生的废气处理后达标排放；</w:t>
                  </w:r>
                  <w:r>
                    <w:rPr>
                      <w:rFonts w:hint="eastAsia" w:ascii="Times New Roman" w:hAnsi="Times New Roman" w:cs="Times New Roman"/>
                      <w:sz w:val="21"/>
                      <w:szCs w:val="21"/>
                      <w:lang w:eastAsia="zh-CN"/>
                    </w:rPr>
                    <w:t>新增废水</w:t>
                  </w:r>
                  <w:r>
                    <w:rPr>
                      <w:rFonts w:hint="eastAsia" w:ascii="Times New Roman" w:hAnsi="Times New Roman" w:cs="Times New Roman"/>
                      <w:sz w:val="21"/>
                      <w:szCs w:val="21"/>
                      <w:lang w:val="en-US" w:eastAsia="zh-CN"/>
                    </w:rPr>
                    <w:t>经预处理后达标接管至城东污水处理厂二期进一步处理</w:t>
                  </w:r>
                  <w:r>
                    <w:rPr>
                      <w:rFonts w:ascii="Times New Roman" w:hAnsi="Times New Roman" w:cs="Times New Roman"/>
                      <w:sz w:val="21"/>
                      <w:szCs w:val="21"/>
                      <w:lang w:eastAsia="zh-CN"/>
                    </w:rPr>
                    <w:t>。</w:t>
                  </w:r>
                </w:p>
              </w:tc>
              <w:tc>
                <w:tcPr>
                  <w:tcW w:w="731" w:type="dxa"/>
                  <w:vAlign w:val="center"/>
                </w:tcPr>
                <w:p w14:paraId="57483E9D">
                  <w:pPr>
                    <w:pStyle w:val="75"/>
                    <w:rPr>
                      <w:rFonts w:ascii="Times New Roman" w:hAnsi="Times New Roman" w:cs="Times New Roman"/>
                      <w:color w:val="000000"/>
                      <w:sz w:val="21"/>
                      <w:szCs w:val="21"/>
                    </w:rPr>
                  </w:pPr>
                  <w:r>
                    <w:rPr>
                      <w:rFonts w:ascii="Times New Roman" w:hAnsi="Times New Roman" w:cs="Times New Roman"/>
                      <w:color w:val="000000"/>
                      <w:sz w:val="21"/>
                      <w:szCs w:val="21"/>
                    </w:rPr>
                    <w:t>符合</w:t>
                  </w:r>
                </w:p>
              </w:tc>
            </w:tr>
            <w:tr w14:paraId="763C7E6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866" w:type="dxa"/>
                  <w:vAlign w:val="center"/>
                </w:tcPr>
                <w:p w14:paraId="7EA7FF96">
                  <w:pPr>
                    <w:pStyle w:val="75"/>
                    <w:jc w:val="both"/>
                    <w:rPr>
                      <w:rFonts w:ascii="Times New Roman" w:hAnsi="Times New Roman" w:cs="Times New Roman"/>
                      <w:color w:val="000000"/>
                      <w:sz w:val="21"/>
                      <w:szCs w:val="21"/>
                      <w:lang w:eastAsia="zh-CN"/>
                    </w:rPr>
                  </w:pPr>
                  <w:r>
                    <w:rPr>
                      <w:rFonts w:ascii="Times New Roman" w:hAnsi="Times New Roman" w:cs="Times New Roman"/>
                      <w:color w:val="000000"/>
                      <w:sz w:val="21"/>
                      <w:szCs w:val="21"/>
                      <w:lang w:eastAsia="zh-CN"/>
                    </w:rPr>
                    <w:t>生态保护红线原则上按禁止开发区域的要求进行管理，严禁不符合主体功能定位的各类开发活动，严禁任意改变用途</w:t>
                  </w:r>
                </w:p>
              </w:tc>
              <w:tc>
                <w:tcPr>
                  <w:tcW w:w="3188" w:type="dxa"/>
                  <w:vAlign w:val="center"/>
                </w:tcPr>
                <w:p w14:paraId="0E0509FE">
                  <w:pPr>
                    <w:pStyle w:val="75"/>
                    <w:jc w:val="both"/>
                    <w:rPr>
                      <w:rFonts w:ascii="Times New Roman" w:hAnsi="Times New Roman" w:cs="Times New Roman"/>
                      <w:color w:val="000000"/>
                      <w:sz w:val="21"/>
                      <w:szCs w:val="21"/>
                      <w:lang w:eastAsia="zh-CN"/>
                    </w:rPr>
                  </w:pPr>
                  <w:r>
                    <w:rPr>
                      <w:rFonts w:ascii="Times New Roman" w:hAnsi="Times New Roman" w:cs="Times New Roman"/>
                      <w:color w:val="000000"/>
                      <w:sz w:val="21"/>
                      <w:szCs w:val="21"/>
                      <w:lang w:eastAsia="zh-CN"/>
                    </w:rPr>
                    <w:t>本项目建设不在生态保护红线范围内。</w:t>
                  </w:r>
                </w:p>
              </w:tc>
              <w:tc>
                <w:tcPr>
                  <w:tcW w:w="731" w:type="dxa"/>
                  <w:vAlign w:val="center"/>
                </w:tcPr>
                <w:p w14:paraId="725D0959">
                  <w:pPr>
                    <w:pStyle w:val="75"/>
                    <w:rPr>
                      <w:rFonts w:ascii="Times New Roman" w:hAnsi="Times New Roman" w:cs="Times New Roman"/>
                      <w:color w:val="000000"/>
                      <w:sz w:val="21"/>
                      <w:szCs w:val="21"/>
                      <w:lang w:eastAsia="zh-CN"/>
                    </w:rPr>
                  </w:pPr>
                  <w:r>
                    <w:rPr>
                      <w:rFonts w:ascii="Times New Roman" w:hAnsi="Times New Roman" w:cs="Times New Roman"/>
                      <w:color w:val="000000"/>
                      <w:sz w:val="21"/>
                      <w:szCs w:val="21"/>
                      <w:lang w:eastAsia="zh-CN"/>
                    </w:rPr>
                    <w:t>符合</w:t>
                  </w:r>
                </w:p>
              </w:tc>
            </w:tr>
          </w:tbl>
          <w:p w14:paraId="09C97AE7">
            <w:pPr>
              <w:keepNext w:val="0"/>
              <w:keepLines w:val="0"/>
              <w:pageBreakBefore w:val="0"/>
              <w:widowControl w:val="0"/>
              <w:kinsoku/>
              <w:wordWrap/>
              <w:overflowPunct/>
              <w:topLinePunct w:val="0"/>
              <w:autoSpaceDE/>
              <w:autoSpaceDN/>
              <w:bidi w:val="0"/>
              <w:adjustRightInd/>
              <w:snapToGrid w:val="0"/>
              <w:spacing w:before="157" w:beforeLines="50" w:line="360" w:lineRule="auto"/>
              <w:textAlignment w:val="auto"/>
              <w:rPr>
                <w:b/>
                <w:bCs/>
                <w:color w:val="000000"/>
                <w:szCs w:val="21"/>
              </w:rPr>
            </w:pPr>
            <w:r>
              <w:rPr>
                <w:b/>
                <w:bCs/>
                <w:color w:val="000000"/>
                <w:szCs w:val="21"/>
              </w:rPr>
              <w:t>4、</w:t>
            </w:r>
            <w:r>
              <w:rPr>
                <w:rFonts w:hint="eastAsia"/>
                <w:b/>
                <w:bCs/>
                <w:color w:val="000000"/>
                <w:szCs w:val="21"/>
              </w:rPr>
              <w:t>与《市政府办公室关于印发宿迁市2023年大气、水、土壤、工业固体废物污染防治工作方案的通知》（宿政办发〔2023〕3号）相关内容相符性分析</w:t>
            </w:r>
          </w:p>
          <w:p w14:paraId="117CA8CB">
            <w:pPr>
              <w:pStyle w:val="29"/>
              <w:spacing w:before="156" w:beforeLines="50" w:after="0" w:line="240" w:lineRule="auto"/>
              <w:ind w:right="0" w:firstLine="0" w:firstLineChars="0"/>
              <w:jc w:val="center"/>
              <w:rPr>
                <w:rFonts w:eastAsia="宋体"/>
                <w:sz w:val="21"/>
                <w:szCs w:val="21"/>
              </w:rPr>
            </w:pPr>
            <w:r>
              <w:rPr>
                <w:rFonts w:eastAsia="宋体"/>
                <w:b/>
                <w:bCs/>
                <w:sz w:val="21"/>
                <w:szCs w:val="21"/>
              </w:rPr>
              <w:t>表1-</w:t>
            </w:r>
            <w:r>
              <w:rPr>
                <w:rFonts w:hint="eastAsia" w:eastAsia="宋体"/>
                <w:b/>
                <w:bCs/>
                <w:sz w:val="21"/>
                <w:szCs w:val="21"/>
                <w:lang w:val="en-US" w:eastAsia="zh-CN"/>
              </w:rPr>
              <w:t>7</w:t>
            </w:r>
            <w:r>
              <w:rPr>
                <w:rFonts w:eastAsia="宋体"/>
                <w:b/>
                <w:bCs/>
                <w:sz w:val="21"/>
                <w:szCs w:val="21"/>
              </w:rPr>
              <w:t xml:space="preserve"> 与《市政府办公室关于印发宿迁市2023年大气、水、土壤、工业固体废物污染防治工作方案的通知》（宿政办发〔2023〕3号）相关内容相符性分析</w:t>
            </w:r>
          </w:p>
          <w:tbl>
            <w:tblPr>
              <w:tblStyle w:val="3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363"/>
              <w:gridCol w:w="2653"/>
              <w:gridCol w:w="769"/>
            </w:tblGrid>
            <w:tr w14:paraId="0132C9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364" w:type="dxa"/>
                  <w:tcBorders>
                    <w:tl2br w:val="nil"/>
                    <w:tr2bl w:val="nil"/>
                  </w:tcBorders>
                  <w:vAlign w:val="center"/>
                </w:tcPr>
                <w:p w14:paraId="7664220C">
                  <w:pPr>
                    <w:pStyle w:val="75"/>
                    <w:rPr>
                      <w:rFonts w:ascii="Times New Roman" w:hAnsi="Times New Roman" w:cs="Times New Roman"/>
                      <w:b/>
                      <w:sz w:val="21"/>
                      <w:szCs w:val="21"/>
                    </w:rPr>
                  </w:pPr>
                  <w:r>
                    <w:rPr>
                      <w:rFonts w:ascii="Times New Roman" w:hAnsi="Times New Roman" w:cs="Times New Roman"/>
                      <w:b/>
                      <w:sz w:val="21"/>
                      <w:szCs w:val="21"/>
                    </w:rPr>
                    <w:t>文件要求</w:t>
                  </w:r>
                </w:p>
              </w:tc>
              <w:tc>
                <w:tcPr>
                  <w:tcW w:w="2653" w:type="dxa"/>
                  <w:tcBorders>
                    <w:tl2br w:val="nil"/>
                    <w:tr2bl w:val="nil"/>
                  </w:tcBorders>
                  <w:vAlign w:val="center"/>
                </w:tcPr>
                <w:p w14:paraId="7A7B304D">
                  <w:pPr>
                    <w:pStyle w:val="75"/>
                    <w:rPr>
                      <w:rFonts w:hint="eastAsia"/>
                      <w:b/>
                      <w:bCs/>
                      <w:kern w:val="0"/>
                      <w:sz w:val="21"/>
                      <w:szCs w:val="21"/>
                      <w:lang w:eastAsia="zh-CN"/>
                    </w:rPr>
                  </w:pPr>
                  <w:r>
                    <w:rPr>
                      <w:rFonts w:ascii="Times New Roman" w:hAnsi="Times New Roman" w:cs="Times New Roman"/>
                      <w:b/>
                      <w:sz w:val="21"/>
                      <w:szCs w:val="21"/>
                    </w:rPr>
                    <w:t>项目情况</w:t>
                  </w:r>
                </w:p>
              </w:tc>
              <w:tc>
                <w:tcPr>
                  <w:tcW w:w="769" w:type="dxa"/>
                  <w:tcBorders>
                    <w:tl2br w:val="nil"/>
                    <w:tr2bl w:val="nil"/>
                  </w:tcBorders>
                  <w:vAlign w:val="center"/>
                </w:tcPr>
                <w:p w14:paraId="62F8E33F">
                  <w:pPr>
                    <w:pStyle w:val="75"/>
                    <w:rPr>
                      <w:rFonts w:hint="eastAsia"/>
                      <w:b/>
                      <w:bCs/>
                      <w:kern w:val="0"/>
                      <w:sz w:val="21"/>
                      <w:szCs w:val="21"/>
                      <w:lang w:eastAsia="zh-CN"/>
                    </w:rPr>
                  </w:pPr>
                  <w:r>
                    <w:rPr>
                      <w:rFonts w:ascii="Times New Roman" w:hAnsi="Times New Roman" w:cs="Times New Roman"/>
                      <w:b/>
                      <w:sz w:val="21"/>
                      <w:szCs w:val="21"/>
                    </w:rPr>
                    <w:t>相符性</w:t>
                  </w:r>
                </w:p>
              </w:tc>
            </w:tr>
            <w:tr w14:paraId="14A2D2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8786" w:type="dxa"/>
                  <w:gridSpan w:val="3"/>
                  <w:tcBorders>
                    <w:tl2br w:val="nil"/>
                    <w:tr2bl w:val="nil"/>
                  </w:tcBorders>
                  <w:vAlign w:val="center"/>
                </w:tcPr>
                <w:p w14:paraId="146F8089">
                  <w:pPr>
                    <w:autoSpaceDE w:val="0"/>
                    <w:autoSpaceDN w:val="0"/>
                    <w:adjustRightInd w:val="0"/>
                    <w:snapToGrid w:val="0"/>
                    <w:jc w:val="center"/>
                    <w:rPr>
                      <w:rFonts w:hint="eastAsia" w:ascii="宋体" w:hAnsi="宋体" w:cs="宋体"/>
                      <w:kern w:val="0"/>
                      <w:szCs w:val="21"/>
                    </w:rPr>
                  </w:pPr>
                  <w:r>
                    <w:rPr>
                      <w:b/>
                      <w:bCs/>
                      <w:kern w:val="0"/>
                      <w:szCs w:val="21"/>
                    </w:rPr>
                    <w:t>宿迁市2023年大气污染防治工作方案</w:t>
                  </w:r>
                </w:p>
              </w:tc>
            </w:tr>
            <w:tr w14:paraId="08F469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364" w:type="dxa"/>
                  <w:tcBorders>
                    <w:tl2br w:val="nil"/>
                    <w:tr2bl w:val="nil"/>
                  </w:tcBorders>
                  <w:vAlign w:val="center"/>
                </w:tcPr>
                <w:p w14:paraId="456B953A">
                  <w:pPr>
                    <w:autoSpaceDE w:val="0"/>
                    <w:autoSpaceDN w:val="0"/>
                    <w:adjustRightInd w:val="0"/>
                    <w:snapToGrid w:val="0"/>
                    <w:ind w:firstLine="420" w:firstLineChars="200"/>
                    <w:rPr>
                      <w:kern w:val="0"/>
                      <w:szCs w:val="21"/>
                    </w:rPr>
                  </w:pPr>
                  <w:r>
                    <w:rPr>
                      <w:kern w:val="0"/>
                      <w:szCs w:val="21"/>
                    </w:rPr>
                    <w:t>15.深入开展低VOCs含量清洁原料替代。禁止建设生产和使用高VOCs含量的溶剂型涂料、油墨、胶黏剂等项目</w:t>
                  </w:r>
                  <w:r>
                    <w:rPr>
                      <w:rFonts w:hint="eastAsia" w:ascii="宋体" w:hAnsi="宋体" w:cs="宋体"/>
                      <w:kern w:val="0"/>
                      <w:szCs w:val="21"/>
                    </w:rPr>
                    <w:t>。</w:t>
                  </w:r>
                </w:p>
                <w:p w14:paraId="4B48B6D0">
                  <w:pPr>
                    <w:autoSpaceDE w:val="0"/>
                    <w:autoSpaceDN w:val="0"/>
                    <w:adjustRightInd w:val="0"/>
                    <w:snapToGrid w:val="0"/>
                    <w:ind w:firstLine="420" w:firstLineChars="200"/>
                    <w:rPr>
                      <w:kern w:val="0"/>
                      <w:szCs w:val="21"/>
                    </w:rPr>
                  </w:pPr>
                  <w:r>
                    <w:rPr>
                      <w:kern w:val="0"/>
                      <w:szCs w:val="21"/>
                    </w:rPr>
                    <w:t>开展含VOCs原辅材料达标情况联合检查。严格执行涂料、油墨、胶黏剂、清洗剂VOCs含量限值标准，确保生产、销售、进口、使用符合标准的产品。建立多部门联合执法机制，加强对相关产品生产、销售、使用环节VOCs含量限值执行情况的监督检查，臭氧高发季节加大检测频次，曝光不合格产品并追溯其生产、销售、进口、使用企业，依法追究责任。</w:t>
                  </w:r>
                </w:p>
              </w:tc>
              <w:tc>
                <w:tcPr>
                  <w:tcW w:w="2653" w:type="dxa"/>
                  <w:tcBorders>
                    <w:tl2br w:val="nil"/>
                    <w:tr2bl w:val="nil"/>
                  </w:tcBorders>
                  <w:vAlign w:val="center"/>
                </w:tcPr>
                <w:p w14:paraId="3F9A188A">
                  <w:pPr>
                    <w:adjustRightInd w:val="0"/>
                    <w:snapToGrid w:val="0"/>
                    <w:jc w:val="center"/>
                    <w:rPr>
                      <w:rFonts w:hint="default" w:ascii="宋体" w:hAnsi="宋体" w:eastAsia="宋体" w:cs="宋体"/>
                      <w:b/>
                      <w:bCs/>
                      <w:kern w:val="0"/>
                      <w:szCs w:val="21"/>
                      <w:lang w:val="en-US" w:eastAsia="zh-CN"/>
                    </w:rPr>
                  </w:pPr>
                  <w:r>
                    <w:rPr>
                      <w:szCs w:val="21"/>
                    </w:rPr>
                    <w:t>本项目</w:t>
                  </w:r>
                  <w:r>
                    <w:rPr>
                      <w:rFonts w:hint="eastAsia"/>
                      <w:szCs w:val="21"/>
                    </w:rPr>
                    <w:t>油墨</w:t>
                  </w:r>
                  <w:r>
                    <w:rPr>
                      <w:rFonts w:hint="eastAsia"/>
                      <w:szCs w:val="21"/>
                      <w:lang w:val="en-US" w:eastAsia="zh-CN"/>
                    </w:rPr>
                    <w:t>中VOCs含量为57%</w:t>
                  </w:r>
                  <w:r>
                    <w:rPr>
                      <w:rFonts w:hint="eastAsia" w:ascii="Times New Roman" w:hAnsi="Times New Roman" w:eastAsia="宋体" w:cs="Times New Roman"/>
                      <w:szCs w:val="21"/>
                      <w:lang w:val="en-US" w:eastAsia="zh-CN"/>
                    </w:rPr>
                    <w:t>，未达到《油墨中可挥发性有机化合物（VOCs）含量的限值》（GB38507-2020）表1中溶剂油墨-网印油墨限值75%。</w:t>
                  </w:r>
                </w:p>
              </w:tc>
              <w:tc>
                <w:tcPr>
                  <w:tcW w:w="769" w:type="dxa"/>
                  <w:tcBorders>
                    <w:tl2br w:val="nil"/>
                    <w:tr2bl w:val="nil"/>
                  </w:tcBorders>
                  <w:vAlign w:val="center"/>
                </w:tcPr>
                <w:p w14:paraId="15AC2AD8">
                  <w:pPr>
                    <w:autoSpaceDE w:val="0"/>
                    <w:autoSpaceDN w:val="0"/>
                    <w:adjustRightInd w:val="0"/>
                    <w:snapToGrid w:val="0"/>
                    <w:jc w:val="center"/>
                    <w:rPr>
                      <w:rFonts w:hint="eastAsia" w:ascii="宋体" w:hAnsi="宋体" w:cs="宋体"/>
                      <w:b/>
                      <w:bCs/>
                      <w:kern w:val="0"/>
                      <w:szCs w:val="21"/>
                    </w:rPr>
                  </w:pPr>
                  <w:r>
                    <w:rPr>
                      <w:rFonts w:hint="eastAsia" w:ascii="宋体" w:hAnsi="宋体" w:cs="宋体"/>
                      <w:kern w:val="0"/>
                      <w:szCs w:val="21"/>
                    </w:rPr>
                    <w:t>相符</w:t>
                  </w:r>
                </w:p>
              </w:tc>
            </w:tr>
            <w:tr w14:paraId="606656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364" w:type="dxa"/>
                  <w:tcBorders>
                    <w:tl2br w:val="nil"/>
                    <w:tr2bl w:val="nil"/>
                  </w:tcBorders>
                  <w:vAlign w:val="center"/>
                </w:tcPr>
                <w:p w14:paraId="2383F736">
                  <w:pPr>
                    <w:autoSpaceDE w:val="0"/>
                    <w:autoSpaceDN w:val="0"/>
                    <w:adjustRightInd w:val="0"/>
                    <w:snapToGrid w:val="0"/>
                    <w:ind w:firstLine="420" w:firstLineChars="200"/>
                    <w:rPr>
                      <w:rFonts w:hint="eastAsia" w:ascii="宋体" w:hAnsi="宋体" w:cs="宋体"/>
                      <w:b/>
                      <w:bCs/>
                      <w:kern w:val="0"/>
                      <w:szCs w:val="21"/>
                    </w:rPr>
                  </w:pPr>
                  <w:r>
                    <w:rPr>
                      <w:kern w:val="0"/>
                      <w:szCs w:val="21"/>
                    </w:rPr>
                    <w:t>17</w:t>
                  </w:r>
                  <w:r>
                    <w:rPr>
                      <w:rFonts w:hint="eastAsia"/>
                      <w:kern w:val="0"/>
                      <w:szCs w:val="21"/>
                    </w:rPr>
                    <w:t>.</w:t>
                  </w:r>
                  <w:r>
                    <w:rPr>
                      <w:kern w:val="0"/>
                      <w:szCs w:val="21"/>
                    </w:rPr>
                    <w:t>推进VOCs在线数据联网、验收。按照《江苏省污染源自动监测监控管理办法（2022年修订）》要求，推动单排放口VOCs排放设计小时废气排放量1万立方米及以上的化工行业、3万立方米及以上的其他行业安装VOCs自动监测设备，按照</w:t>
                  </w:r>
                  <w:r>
                    <w:rPr>
                      <w:rFonts w:hint="eastAsia" w:ascii="宋体" w:hAnsi="宋体" w:cs="宋体"/>
                      <w:kern w:val="0"/>
                      <w:szCs w:val="21"/>
                    </w:rPr>
                    <w:t>“应装尽装、应联尽联、应验尽验”</w:t>
                  </w:r>
                  <w:r>
                    <w:rPr>
                      <w:kern w:val="0"/>
                      <w:szCs w:val="21"/>
                    </w:rPr>
                    <w:t>的原则，全面完成安装、验收和联网工作。</w:t>
                  </w:r>
                </w:p>
              </w:tc>
              <w:tc>
                <w:tcPr>
                  <w:tcW w:w="2653" w:type="dxa"/>
                  <w:tcBorders>
                    <w:tl2br w:val="nil"/>
                    <w:tr2bl w:val="nil"/>
                  </w:tcBorders>
                  <w:vAlign w:val="center"/>
                </w:tcPr>
                <w:p w14:paraId="18AFAA49">
                  <w:pPr>
                    <w:pStyle w:val="29"/>
                    <w:spacing w:before="0" w:after="0" w:line="240" w:lineRule="auto"/>
                    <w:ind w:right="0" w:firstLine="0" w:firstLineChars="0"/>
                    <w:jc w:val="center"/>
                    <w:rPr>
                      <w:rFonts w:hint="eastAsia" w:ascii="宋体" w:hAnsi="宋体" w:eastAsia="宋体" w:cs="宋体"/>
                      <w:sz w:val="21"/>
                      <w:szCs w:val="21"/>
                    </w:rPr>
                  </w:pPr>
                  <w:r>
                    <w:rPr>
                      <w:rFonts w:eastAsia="宋体"/>
                      <w:sz w:val="21"/>
                      <w:szCs w:val="21"/>
                    </w:rPr>
                    <w:t>本项目</w:t>
                  </w:r>
                  <w:r>
                    <w:rPr>
                      <w:rFonts w:hint="eastAsia" w:eastAsia="宋体"/>
                      <w:sz w:val="21"/>
                      <w:szCs w:val="21"/>
                    </w:rPr>
                    <w:t>有机废气</w:t>
                  </w:r>
                  <w:r>
                    <w:rPr>
                      <w:rFonts w:hint="eastAsia" w:eastAsia="宋体"/>
                      <w:sz w:val="21"/>
                      <w:szCs w:val="21"/>
                      <w:lang w:val="en-US" w:eastAsia="zh-CN"/>
                    </w:rPr>
                    <w:t>排口风量不超过3万立方米/小时</w:t>
                  </w:r>
                  <w:r>
                    <w:rPr>
                      <w:rFonts w:hint="eastAsia" w:eastAsia="宋体"/>
                      <w:sz w:val="21"/>
                      <w:szCs w:val="21"/>
                    </w:rPr>
                    <w:t>，无需安装</w:t>
                  </w:r>
                  <w:r>
                    <w:rPr>
                      <w:rFonts w:eastAsia="宋体"/>
                      <w:sz w:val="21"/>
                      <w:szCs w:val="21"/>
                    </w:rPr>
                    <w:t>VOCs自动监测设备</w:t>
                  </w:r>
                  <w:r>
                    <w:rPr>
                      <w:rFonts w:hint="eastAsia" w:eastAsia="宋体"/>
                      <w:sz w:val="21"/>
                      <w:szCs w:val="21"/>
                    </w:rPr>
                    <w:t>。</w:t>
                  </w:r>
                </w:p>
              </w:tc>
              <w:tc>
                <w:tcPr>
                  <w:tcW w:w="769" w:type="dxa"/>
                  <w:tcBorders>
                    <w:tl2br w:val="nil"/>
                    <w:tr2bl w:val="nil"/>
                  </w:tcBorders>
                  <w:vAlign w:val="center"/>
                </w:tcPr>
                <w:p w14:paraId="262479EE">
                  <w:pPr>
                    <w:autoSpaceDE w:val="0"/>
                    <w:autoSpaceDN w:val="0"/>
                    <w:adjustRightInd w:val="0"/>
                    <w:snapToGrid w:val="0"/>
                    <w:jc w:val="center"/>
                    <w:rPr>
                      <w:rFonts w:hint="eastAsia" w:ascii="宋体" w:hAnsi="宋体" w:cs="宋体"/>
                      <w:kern w:val="0"/>
                      <w:szCs w:val="21"/>
                    </w:rPr>
                  </w:pPr>
                  <w:r>
                    <w:rPr>
                      <w:rFonts w:hint="eastAsia" w:ascii="宋体" w:hAnsi="宋体" w:cs="宋体"/>
                      <w:kern w:val="0"/>
                      <w:szCs w:val="21"/>
                    </w:rPr>
                    <w:t>相符</w:t>
                  </w:r>
                </w:p>
              </w:tc>
            </w:tr>
            <w:tr w14:paraId="770AC7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8786" w:type="dxa"/>
                  <w:gridSpan w:val="3"/>
                  <w:tcBorders>
                    <w:tl2br w:val="nil"/>
                    <w:tr2bl w:val="nil"/>
                  </w:tcBorders>
                  <w:vAlign w:val="center"/>
                </w:tcPr>
                <w:p w14:paraId="5120EC01">
                  <w:pPr>
                    <w:autoSpaceDE w:val="0"/>
                    <w:autoSpaceDN w:val="0"/>
                    <w:adjustRightInd w:val="0"/>
                    <w:snapToGrid w:val="0"/>
                    <w:jc w:val="center"/>
                    <w:rPr>
                      <w:rFonts w:hint="eastAsia" w:ascii="宋体" w:hAnsi="宋体" w:cs="宋体"/>
                      <w:kern w:val="0"/>
                      <w:szCs w:val="21"/>
                    </w:rPr>
                  </w:pPr>
                  <w:r>
                    <w:rPr>
                      <w:b/>
                      <w:bCs/>
                      <w:kern w:val="0"/>
                      <w:szCs w:val="21"/>
                    </w:rPr>
                    <w:t>宿迁市2023年度水污染防治工作计划</w:t>
                  </w:r>
                </w:p>
              </w:tc>
            </w:tr>
            <w:tr w14:paraId="797933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364" w:type="dxa"/>
                  <w:tcBorders>
                    <w:tl2br w:val="nil"/>
                    <w:tr2bl w:val="nil"/>
                  </w:tcBorders>
                  <w:vAlign w:val="center"/>
                </w:tcPr>
                <w:p w14:paraId="7394F508">
                  <w:pPr>
                    <w:autoSpaceDE w:val="0"/>
                    <w:autoSpaceDN w:val="0"/>
                    <w:adjustRightInd w:val="0"/>
                    <w:snapToGrid w:val="0"/>
                    <w:ind w:firstLine="420" w:firstLineChars="200"/>
                    <w:rPr>
                      <w:rFonts w:hint="eastAsia" w:ascii="宋体" w:hAnsi="宋体" w:cs="宋体"/>
                      <w:b/>
                      <w:bCs/>
                      <w:kern w:val="0"/>
                      <w:szCs w:val="21"/>
                    </w:rPr>
                  </w:pPr>
                  <w:r>
                    <w:rPr>
                      <w:kern w:val="0"/>
                      <w:szCs w:val="21"/>
                    </w:rPr>
                    <w:t>1．规范工业企业排水行为。根据江苏省工业废水与生活污水分质处理工作推进方案及技术评估指南，推动工业废水与生活污水分类收集、分质处理。</w:t>
                  </w:r>
                </w:p>
              </w:tc>
              <w:tc>
                <w:tcPr>
                  <w:tcW w:w="2653" w:type="dxa"/>
                  <w:tcBorders>
                    <w:tl2br w:val="nil"/>
                    <w:tr2bl w:val="nil"/>
                  </w:tcBorders>
                  <w:vAlign w:val="center"/>
                </w:tcPr>
                <w:p w14:paraId="34892B45">
                  <w:pPr>
                    <w:adjustRightInd w:val="0"/>
                    <w:snapToGrid w:val="0"/>
                    <w:rPr>
                      <w:rFonts w:hint="eastAsia" w:ascii="宋体" w:hAnsi="宋体" w:cs="宋体"/>
                      <w:b/>
                      <w:bCs/>
                      <w:kern w:val="0"/>
                      <w:szCs w:val="21"/>
                    </w:rPr>
                  </w:pPr>
                  <w:r>
                    <w:rPr>
                      <w:rFonts w:hint="eastAsia"/>
                      <w:bCs/>
                      <w:szCs w:val="21"/>
                    </w:rPr>
                    <w:t>本项目生活废水经化粪池处理，生产废水经厂内污水处理站处理。</w:t>
                  </w:r>
                </w:p>
              </w:tc>
              <w:tc>
                <w:tcPr>
                  <w:tcW w:w="769" w:type="dxa"/>
                  <w:tcBorders>
                    <w:tl2br w:val="nil"/>
                    <w:tr2bl w:val="nil"/>
                  </w:tcBorders>
                  <w:vAlign w:val="center"/>
                </w:tcPr>
                <w:p w14:paraId="0D4DB72F">
                  <w:pPr>
                    <w:autoSpaceDE w:val="0"/>
                    <w:autoSpaceDN w:val="0"/>
                    <w:adjustRightInd w:val="0"/>
                    <w:snapToGrid w:val="0"/>
                    <w:jc w:val="center"/>
                    <w:rPr>
                      <w:rFonts w:hint="eastAsia" w:ascii="宋体" w:hAnsi="宋体" w:cs="宋体"/>
                      <w:kern w:val="0"/>
                      <w:szCs w:val="21"/>
                    </w:rPr>
                  </w:pPr>
                  <w:r>
                    <w:rPr>
                      <w:rFonts w:hint="eastAsia" w:ascii="宋体" w:hAnsi="宋体" w:cs="宋体"/>
                      <w:kern w:val="0"/>
                      <w:szCs w:val="21"/>
                    </w:rPr>
                    <w:t>相符</w:t>
                  </w:r>
                </w:p>
              </w:tc>
            </w:tr>
            <w:tr w14:paraId="2537F9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364" w:type="dxa"/>
                  <w:tcBorders>
                    <w:tl2br w:val="nil"/>
                    <w:tr2bl w:val="nil"/>
                  </w:tcBorders>
                  <w:vAlign w:val="center"/>
                </w:tcPr>
                <w:p w14:paraId="39BE921D">
                  <w:pPr>
                    <w:autoSpaceDE w:val="0"/>
                    <w:autoSpaceDN w:val="0"/>
                    <w:adjustRightInd w:val="0"/>
                    <w:snapToGrid w:val="0"/>
                    <w:ind w:firstLine="420" w:firstLineChars="200"/>
                    <w:rPr>
                      <w:rFonts w:hint="eastAsia" w:ascii="宋体" w:hAnsi="宋体" w:cs="宋体"/>
                      <w:b/>
                      <w:bCs/>
                      <w:kern w:val="0"/>
                      <w:szCs w:val="21"/>
                    </w:rPr>
                  </w:pPr>
                  <w:r>
                    <w:rPr>
                      <w:kern w:val="0"/>
                      <w:szCs w:val="21"/>
                    </w:rPr>
                    <w:t>2．推进企业内部雨污分流改造。严格按照《宿迁市中心城区工业企业内部雨污分流排查改造工作方案》要求，推进实施新一轮园区企业内部雨污分流改造。持续开展国家级、省级园区内部企业雨污分流排查，动态排定企业内部雨污分流改造计划，督促落地实施。进一步排查梳理省级以上工业园区，尤其是中心城区和各县建成区园区环境基础设施配套情况，对标园区限值限量管理及水主要污染物排放总量控制要求，实施园区雨污混流、污水管网空白问题整改。宿豫区、市湖滨新区等地园区尚未配套工业污水处理厂，需加快工业污水分质处理工程研究，开展现有城镇污水处理厂进水浓度分析，提出工业废水分类收集、分质处理计划，预留环境总量，实施厂网改造。</w:t>
                  </w:r>
                </w:p>
              </w:tc>
              <w:tc>
                <w:tcPr>
                  <w:tcW w:w="2653" w:type="dxa"/>
                  <w:tcBorders>
                    <w:tl2br w:val="nil"/>
                    <w:tr2bl w:val="nil"/>
                  </w:tcBorders>
                  <w:vAlign w:val="center"/>
                </w:tcPr>
                <w:p w14:paraId="5EF8284B">
                  <w:pPr>
                    <w:adjustRightInd w:val="0"/>
                    <w:snapToGrid w:val="0"/>
                    <w:rPr>
                      <w:bCs/>
                      <w:szCs w:val="21"/>
                    </w:rPr>
                  </w:pPr>
                  <w:r>
                    <w:rPr>
                      <w:bCs/>
                      <w:szCs w:val="21"/>
                    </w:rPr>
                    <w:t>厂区内雨污分流，生活污水经化粪池处理</w:t>
                  </w:r>
                  <w:r>
                    <w:rPr>
                      <w:rFonts w:hint="eastAsia"/>
                      <w:bCs/>
                      <w:szCs w:val="21"/>
                    </w:rPr>
                    <w:t>后与经污水处理站处理的生产废水一同</w:t>
                  </w:r>
                  <w:r>
                    <w:rPr>
                      <w:bCs/>
                      <w:szCs w:val="21"/>
                    </w:rPr>
                    <w:t>由园区市政污水管网进入</w:t>
                  </w:r>
                  <w:r>
                    <w:rPr>
                      <w:rFonts w:hint="eastAsia"/>
                    </w:rPr>
                    <w:t>城东污水处理厂二期处理</w:t>
                  </w:r>
                  <w:r>
                    <w:rPr>
                      <w:bCs/>
                      <w:szCs w:val="21"/>
                    </w:rPr>
                    <w:t>进一步处理。</w:t>
                  </w:r>
                </w:p>
              </w:tc>
              <w:tc>
                <w:tcPr>
                  <w:tcW w:w="769" w:type="dxa"/>
                  <w:tcBorders>
                    <w:tl2br w:val="nil"/>
                    <w:tr2bl w:val="nil"/>
                  </w:tcBorders>
                  <w:vAlign w:val="center"/>
                </w:tcPr>
                <w:p w14:paraId="712EA334">
                  <w:pPr>
                    <w:autoSpaceDE w:val="0"/>
                    <w:autoSpaceDN w:val="0"/>
                    <w:adjustRightInd w:val="0"/>
                    <w:snapToGrid w:val="0"/>
                    <w:jc w:val="center"/>
                    <w:rPr>
                      <w:rFonts w:hint="eastAsia" w:ascii="宋体" w:hAnsi="宋体" w:cs="宋体"/>
                      <w:kern w:val="0"/>
                      <w:szCs w:val="21"/>
                    </w:rPr>
                  </w:pPr>
                  <w:r>
                    <w:rPr>
                      <w:rFonts w:hint="eastAsia" w:ascii="宋体" w:hAnsi="宋体" w:cs="宋体"/>
                      <w:kern w:val="0"/>
                      <w:szCs w:val="21"/>
                    </w:rPr>
                    <w:t>相符</w:t>
                  </w:r>
                </w:p>
              </w:tc>
            </w:tr>
          </w:tbl>
          <w:p w14:paraId="10A7C4A9">
            <w:pPr>
              <w:keepNext w:val="0"/>
              <w:keepLines w:val="0"/>
              <w:pageBreakBefore w:val="0"/>
              <w:widowControl w:val="0"/>
              <w:numPr>
                <w:ilvl w:val="0"/>
                <w:numId w:val="0"/>
              </w:numPr>
              <w:kinsoku/>
              <w:wordWrap/>
              <w:overflowPunct/>
              <w:topLinePunct w:val="0"/>
              <w:autoSpaceDE w:val="0"/>
              <w:autoSpaceDN w:val="0"/>
              <w:bidi w:val="0"/>
              <w:adjustRightInd w:val="0"/>
              <w:snapToGrid w:val="0"/>
              <w:spacing w:before="157" w:beforeLines="50" w:line="360" w:lineRule="auto"/>
              <w:textAlignment w:val="auto"/>
              <w:rPr>
                <w:rFonts w:hint="default"/>
                <w:lang w:val="en-US" w:eastAsia="zh-CN"/>
              </w:rPr>
            </w:pPr>
            <w:r>
              <w:rPr>
                <w:rFonts w:hint="eastAsia"/>
                <w:b/>
                <w:bCs/>
                <w:lang w:val="en-US" w:eastAsia="zh-CN"/>
              </w:rPr>
              <w:t>5、与</w:t>
            </w:r>
            <w:r>
              <w:rPr>
                <w:b/>
                <w:bCs/>
                <w:color w:val="000000"/>
                <w:szCs w:val="21"/>
                <w:highlight w:val="none"/>
              </w:rPr>
              <w:t>中运河</w:t>
            </w:r>
            <w:r>
              <w:rPr>
                <w:rFonts w:hint="eastAsia"/>
                <w:b/>
                <w:bCs/>
                <w:color w:val="000000"/>
                <w:szCs w:val="21"/>
                <w:highlight w:val="none"/>
                <w:lang w:val="en-US" w:eastAsia="zh-CN"/>
              </w:rPr>
              <w:t>姜桥水源地相符性分析</w:t>
            </w:r>
          </w:p>
          <w:p w14:paraId="3E6BD2B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20" w:firstLineChars="200"/>
              <w:jc w:val="left"/>
              <w:textAlignment w:val="auto"/>
              <w:rPr>
                <w:b/>
                <w:bCs/>
                <w:color w:val="000000"/>
                <w:szCs w:val="21"/>
              </w:rPr>
            </w:pPr>
            <w:r>
              <w:rPr>
                <w:rFonts w:hint="eastAsia"/>
                <w:kern w:val="0"/>
                <w:szCs w:val="21"/>
              </w:rPr>
              <w:t>本项目建设地位于</w:t>
            </w:r>
            <w:r>
              <w:rPr>
                <w:rFonts w:hint="eastAsia" w:ascii="Times New Roman" w:hAnsi="Times New Roman" w:eastAsia="宋体" w:cs="Times New Roman"/>
                <w:szCs w:val="21"/>
                <w:lang w:val="en-US" w:eastAsia="zh-CN"/>
              </w:rPr>
              <w:t>宿迁市泗阳经济开发区</w:t>
            </w:r>
            <w:r>
              <w:rPr>
                <w:color w:val="000000"/>
                <w:kern w:val="0"/>
                <w:szCs w:val="21"/>
              </w:rPr>
              <w:t>众兴东路282号</w:t>
            </w:r>
            <w:r>
              <w:rPr>
                <w:rFonts w:hint="eastAsia"/>
                <w:kern w:val="0"/>
                <w:szCs w:val="21"/>
              </w:rPr>
              <w:t>，根据《</w:t>
            </w:r>
            <w:r>
              <w:rPr>
                <w:rFonts w:hint="eastAsia" w:ascii="Times New Roman" w:hAnsi="Times New Roman" w:eastAsia="宋体" w:cs="Times New Roman"/>
                <w:szCs w:val="21"/>
                <w:lang w:val="en-US" w:eastAsia="zh-CN"/>
              </w:rPr>
              <w:t>省政府关于同意泗阳县中运河姜桥饮用水水源地保护区划分方案的批复</w:t>
            </w:r>
            <w:r>
              <w:rPr>
                <w:rFonts w:hint="eastAsia"/>
                <w:kern w:val="0"/>
                <w:szCs w:val="21"/>
              </w:rPr>
              <w:t>》（苏政</w:t>
            </w:r>
            <w:r>
              <w:rPr>
                <w:rFonts w:hint="eastAsia"/>
                <w:kern w:val="0"/>
                <w:szCs w:val="21"/>
                <w:lang w:val="en-US" w:eastAsia="zh-CN"/>
              </w:rPr>
              <w:t>复</w:t>
            </w:r>
            <w:r>
              <w:rPr>
                <w:rFonts w:hint="eastAsia"/>
                <w:kern w:val="0"/>
                <w:szCs w:val="21"/>
              </w:rPr>
              <w:t>〔20</w:t>
            </w:r>
            <w:r>
              <w:rPr>
                <w:rFonts w:hint="eastAsia"/>
                <w:kern w:val="0"/>
                <w:szCs w:val="21"/>
                <w:lang w:val="en-US" w:eastAsia="zh-CN"/>
              </w:rPr>
              <w:t>23</w:t>
            </w:r>
            <w:r>
              <w:rPr>
                <w:rFonts w:hint="eastAsia"/>
                <w:kern w:val="0"/>
                <w:szCs w:val="21"/>
              </w:rPr>
              <w:t>〕</w:t>
            </w:r>
            <w:r>
              <w:rPr>
                <w:rFonts w:hint="eastAsia"/>
                <w:kern w:val="0"/>
                <w:szCs w:val="21"/>
                <w:lang w:val="en-US" w:eastAsia="zh-CN"/>
              </w:rPr>
              <w:t>35</w:t>
            </w:r>
            <w:r>
              <w:rPr>
                <w:rFonts w:hint="eastAsia"/>
                <w:kern w:val="0"/>
                <w:szCs w:val="21"/>
              </w:rPr>
              <w:t>号），</w:t>
            </w:r>
            <w:r>
              <w:rPr>
                <w:rFonts w:hint="eastAsia"/>
                <w:kern w:val="0"/>
                <w:szCs w:val="21"/>
                <w:lang w:val="en-US" w:eastAsia="zh-CN"/>
              </w:rPr>
              <w:t>项目与</w:t>
            </w:r>
            <w:r>
              <w:rPr>
                <w:color w:val="auto"/>
                <w:szCs w:val="21"/>
                <w:highlight w:val="none"/>
              </w:rPr>
              <w:t>泗阳县中运河</w:t>
            </w:r>
            <w:r>
              <w:rPr>
                <w:rFonts w:hint="eastAsia"/>
                <w:color w:val="auto"/>
                <w:szCs w:val="21"/>
                <w:highlight w:val="none"/>
                <w:lang w:val="en-US" w:eastAsia="zh-CN"/>
              </w:rPr>
              <w:t>姜桥水源地</w:t>
            </w:r>
            <w:r>
              <w:rPr>
                <w:rFonts w:hint="eastAsia"/>
                <w:kern w:val="0"/>
                <w:szCs w:val="21"/>
                <w:highlight w:val="none"/>
              </w:rPr>
              <w:t>距离约</w:t>
            </w:r>
            <w:r>
              <w:rPr>
                <w:rFonts w:hint="eastAsia"/>
                <w:kern w:val="0"/>
                <w:szCs w:val="21"/>
                <w:highlight w:val="none"/>
                <w:lang w:val="en-US" w:eastAsia="zh-CN"/>
              </w:rPr>
              <w:t>3.8</w:t>
            </w:r>
            <w:r>
              <w:rPr>
                <w:rFonts w:hint="eastAsia"/>
                <w:kern w:val="0"/>
                <w:szCs w:val="21"/>
                <w:highlight w:val="none"/>
              </w:rPr>
              <w:t>km，</w:t>
            </w:r>
            <w:r>
              <w:rPr>
                <w:rFonts w:hint="eastAsia"/>
                <w:kern w:val="0"/>
                <w:szCs w:val="21"/>
                <w:highlight w:val="none"/>
                <w:lang w:val="en-US" w:eastAsia="zh-CN"/>
              </w:rPr>
              <w:t>对中运河姜桥水源地生态环境不产生影响</w:t>
            </w:r>
            <w:r>
              <w:rPr>
                <w:rFonts w:hint="eastAsia"/>
                <w:kern w:val="0"/>
                <w:szCs w:val="21"/>
              </w:rPr>
              <w:t>。具体情况见表1-</w:t>
            </w:r>
            <w:r>
              <w:rPr>
                <w:rFonts w:hint="eastAsia"/>
                <w:kern w:val="0"/>
                <w:szCs w:val="21"/>
                <w:lang w:val="en-US" w:eastAsia="zh-CN"/>
              </w:rPr>
              <w:t>8</w:t>
            </w:r>
            <w:r>
              <w:rPr>
                <w:rFonts w:hint="eastAsia"/>
                <w:kern w:val="0"/>
                <w:szCs w:val="21"/>
              </w:rPr>
              <w:t>。</w:t>
            </w:r>
          </w:p>
          <w:p w14:paraId="491A37B5">
            <w:pPr>
              <w:adjustRightInd w:val="0"/>
              <w:snapToGrid w:val="0"/>
              <w:spacing w:before="120" w:beforeLines="50"/>
              <w:jc w:val="center"/>
              <w:rPr>
                <w:color w:val="000000"/>
                <w:szCs w:val="21"/>
              </w:rPr>
            </w:pPr>
            <w:r>
              <w:rPr>
                <w:b/>
                <w:bCs/>
                <w:color w:val="000000"/>
                <w:szCs w:val="21"/>
              </w:rPr>
              <w:t>表1-</w:t>
            </w:r>
            <w:r>
              <w:rPr>
                <w:rFonts w:hint="eastAsia"/>
                <w:b/>
                <w:bCs/>
                <w:color w:val="000000"/>
                <w:szCs w:val="21"/>
                <w:lang w:val="en-US" w:eastAsia="zh-CN"/>
              </w:rPr>
              <w:t>8</w:t>
            </w:r>
            <w:r>
              <w:rPr>
                <w:rFonts w:hint="eastAsia"/>
                <w:b/>
                <w:bCs/>
                <w:color w:val="000000"/>
                <w:szCs w:val="21"/>
              </w:rPr>
              <w:t xml:space="preserve"> </w:t>
            </w:r>
            <w:r>
              <w:rPr>
                <w:rFonts w:hint="eastAsia"/>
                <w:b/>
                <w:bCs/>
                <w:color w:val="000000"/>
                <w:szCs w:val="21"/>
                <w:lang w:val="en-US" w:eastAsia="zh-CN"/>
              </w:rPr>
              <w:t>中运河姜桥水源地</w:t>
            </w:r>
            <w:r>
              <w:rPr>
                <w:b/>
                <w:bCs/>
                <w:color w:val="000000"/>
                <w:szCs w:val="21"/>
              </w:rPr>
              <w:t>区域一览表</w:t>
            </w:r>
          </w:p>
          <w:tbl>
            <w:tblPr>
              <w:tblStyle w:val="30"/>
              <w:tblW w:w="494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223"/>
              <w:gridCol w:w="991"/>
              <w:gridCol w:w="6480"/>
            </w:tblGrid>
            <w:tr w14:paraId="69B48F9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703" w:type="pct"/>
                  <w:tcBorders>
                    <w:top w:val="single" w:color="auto" w:sz="12" w:space="0"/>
                  </w:tcBorders>
                  <w:noWrap w:val="0"/>
                  <w:vAlign w:val="center"/>
                </w:tcPr>
                <w:p w14:paraId="4D12B605">
                  <w:pPr>
                    <w:adjustRightInd w:val="0"/>
                    <w:snapToGrid w:val="0"/>
                    <w:spacing w:line="280" w:lineRule="exact"/>
                    <w:jc w:val="center"/>
                    <w:rPr>
                      <w:b/>
                      <w:bCs/>
                      <w:color w:val="000000"/>
                      <w:szCs w:val="21"/>
                    </w:rPr>
                  </w:pPr>
                  <w:r>
                    <w:rPr>
                      <w:b/>
                      <w:bCs/>
                      <w:color w:val="000000"/>
                      <w:szCs w:val="21"/>
                    </w:rPr>
                    <w:t>名称</w:t>
                  </w:r>
                </w:p>
              </w:tc>
              <w:tc>
                <w:tcPr>
                  <w:tcW w:w="569" w:type="pct"/>
                  <w:tcBorders>
                    <w:top w:val="single" w:color="auto" w:sz="12" w:space="0"/>
                  </w:tcBorders>
                  <w:noWrap w:val="0"/>
                  <w:vAlign w:val="center"/>
                </w:tcPr>
                <w:p w14:paraId="7335B0BC">
                  <w:pPr>
                    <w:adjustRightInd w:val="0"/>
                    <w:snapToGrid w:val="0"/>
                    <w:spacing w:line="280" w:lineRule="exact"/>
                    <w:jc w:val="center"/>
                    <w:rPr>
                      <w:b/>
                      <w:bCs/>
                      <w:color w:val="000000"/>
                      <w:szCs w:val="21"/>
                    </w:rPr>
                  </w:pPr>
                  <w:r>
                    <w:rPr>
                      <w:b/>
                      <w:bCs/>
                      <w:color w:val="000000"/>
                      <w:szCs w:val="21"/>
                    </w:rPr>
                    <w:t>主导生态功能</w:t>
                  </w:r>
                </w:p>
              </w:tc>
              <w:tc>
                <w:tcPr>
                  <w:tcW w:w="3726" w:type="pct"/>
                  <w:tcBorders>
                    <w:top w:val="single" w:color="auto" w:sz="12" w:space="0"/>
                  </w:tcBorders>
                  <w:noWrap w:val="0"/>
                  <w:vAlign w:val="center"/>
                </w:tcPr>
                <w:p w14:paraId="0D6E9D85">
                  <w:pPr>
                    <w:adjustRightInd w:val="0"/>
                    <w:snapToGrid w:val="0"/>
                    <w:spacing w:line="280" w:lineRule="exact"/>
                    <w:jc w:val="center"/>
                    <w:rPr>
                      <w:rFonts w:hint="default" w:eastAsia="宋体"/>
                      <w:b/>
                      <w:bCs/>
                      <w:color w:val="000000"/>
                      <w:szCs w:val="21"/>
                      <w:lang w:val="en-US" w:eastAsia="zh-CN"/>
                    </w:rPr>
                  </w:pPr>
                  <w:r>
                    <w:rPr>
                      <w:rFonts w:hint="eastAsia"/>
                      <w:b/>
                      <w:bCs/>
                      <w:color w:val="auto"/>
                      <w:szCs w:val="21"/>
                      <w:lang w:val="en-US" w:eastAsia="zh-CN"/>
                    </w:rPr>
                    <w:t>生态空间管控区域范围</w:t>
                  </w:r>
                </w:p>
              </w:tc>
            </w:tr>
            <w:tr w14:paraId="08B1FE3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703" w:type="pct"/>
                  <w:noWrap w:val="0"/>
                  <w:vAlign w:val="center"/>
                </w:tcPr>
                <w:p w14:paraId="59925456">
                  <w:pPr>
                    <w:jc w:val="center"/>
                    <w:rPr>
                      <w:color w:val="000000"/>
                      <w:szCs w:val="21"/>
                    </w:rPr>
                  </w:pPr>
                  <w:r>
                    <w:rPr>
                      <w:color w:val="000000"/>
                      <w:szCs w:val="21"/>
                      <w:highlight w:val="none"/>
                    </w:rPr>
                    <w:t>泗阳县中运河</w:t>
                  </w:r>
                  <w:r>
                    <w:rPr>
                      <w:rFonts w:hint="eastAsia"/>
                      <w:color w:val="000000"/>
                      <w:szCs w:val="21"/>
                      <w:highlight w:val="none"/>
                      <w:lang w:val="en-US" w:eastAsia="zh-CN"/>
                    </w:rPr>
                    <w:t>姜桥水源地</w:t>
                  </w:r>
                </w:p>
              </w:tc>
              <w:tc>
                <w:tcPr>
                  <w:tcW w:w="569" w:type="pct"/>
                  <w:noWrap w:val="0"/>
                  <w:vAlign w:val="center"/>
                </w:tcPr>
                <w:p w14:paraId="30234388">
                  <w:pPr>
                    <w:widowControl/>
                    <w:jc w:val="center"/>
                    <w:rPr>
                      <w:color w:val="000000"/>
                      <w:szCs w:val="21"/>
                    </w:rPr>
                  </w:pPr>
                  <w:r>
                    <w:rPr>
                      <w:color w:val="000000"/>
                      <w:szCs w:val="21"/>
                    </w:rPr>
                    <w:t>水源水质保护</w:t>
                  </w:r>
                </w:p>
              </w:tc>
              <w:tc>
                <w:tcPr>
                  <w:tcW w:w="3726" w:type="pct"/>
                  <w:noWrap w:val="0"/>
                  <w:vAlign w:val="center"/>
                </w:tcPr>
                <w:p w14:paraId="261E99C3">
                  <w:pPr>
                    <w:widowControl/>
                    <w:rPr>
                      <w:rFonts w:hint="eastAsia"/>
                      <w:color w:val="000000"/>
                      <w:kern w:val="0"/>
                      <w:szCs w:val="21"/>
                    </w:rPr>
                  </w:pPr>
                  <w:r>
                    <w:rPr>
                      <w:rFonts w:hint="eastAsia"/>
                      <w:color w:val="000000"/>
                      <w:kern w:val="0"/>
                      <w:szCs w:val="21"/>
                    </w:rPr>
                    <w:t xml:space="preserve">一级保护区：以取水口为中心，向东1000米，向西1000米，及其两岸背水坡之间的水域范围；一级保护区水域与相对应的两岸背水坡堤脚外100米之间的陆域范围。 </w:t>
                  </w:r>
                </w:p>
                <w:p w14:paraId="639755B4">
                  <w:pPr>
                    <w:widowControl/>
                    <w:rPr>
                      <w:rFonts w:hint="eastAsia" w:eastAsia="宋体"/>
                      <w:color w:val="000000"/>
                      <w:kern w:val="0"/>
                      <w:szCs w:val="21"/>
                      <w:lang w:val="en-US" w:eastAsia="zh-CN"/>
                    </w:rPr>
                  </w:pPr>
                  <w:r>
                    <w:rPr>
                      <w:rFonts w:hint="eastAsia"/>
                      <w:color w:val="000000"/>
                      <w:kern w:val="0"/>
                      <w:szCs w:val="21"/>
                    </w:rPr>
                    <w:t>二级保护区：一级保护区外向东延伸</w:t>
                  </w:r>
                  <w:r>
                    <w:rPr>
                      <w:rFonts w:hint="eastAsia"/>
                      <w:color w:val="000000"/>
                      <w:kern w:val="0"/>
                      <w:szCs w:val="21"/>
                      <w:lang w:val="en-US" w:eastAsia="zh-CN"/>
                    </w:rPr>
                    <w:t>2000</w:t>
                  </w:r>
                  <w:r>
                    <w:rPr>
                      <w:rFonts w:hint="eastAsia"/>
                      <w:color w:val="000000"/>
                      <w:kern w:val="0"/>
                      <w:szCs w:val="21"/>
                    </w:rPr>
                    <w:t>米，向西延伸2000米</w:t>
                  </w:r>
                  <w:r>
                    <w:rPr>
                      <w:rFonts w:hint="eastAsia"/>
                      <w:color w:val="000000"/>
                      <w:kern w:val="0"/>
                      <w:szCs w:val="21"/>
                      <w:lang w:eastAsia="zh-CN"/>
                    </w:rPr>
                    <w:t>，</w:t>
                  </w:r>
                  <w:r>
                    <w:rPr>
                      <w:rFonts w:hint="eastAsia"/>
                      <w:color w:val="000000"/>
                      <w:kern w:val="0"/>
                      <w:szCs w:val="21"/>
                      <w:lang w:val="en-US" w:eastAsia="zh-CN"/>
                    </w:rPr>
                    <w:t>以及与之平交的成子河上溯950米</w:t>
                  </w:r>
                  <w:r>
                    <w:rPr>
                      <w:rFonts w:hint="eastAsia"/>
                      <w:color w:val="000000"/>
                      <w:kern w:val="0"/>
                      <w:szCs w:val="21"/>
                    </w:rPr>
                    <w:t>的水域范围；二级保护区水域与相对应的两岸背水坡堤脚外100米之间的陆域范围</w:t>
                  </w:r>
                  <w:r>
                    <w:rPr>
                      <w:rFonts w:hint="eastAsia"/>
                      <w:color w:val="000000"/>
                      <w:kern w:val="0"/>
                      <w:szCs w:val="21"/>
                      <w:lang w:eastAsia="zh-CN"/>
                    </w:rPr>
                    <w:t>。</w:t>
                  </w:r>
                </w:p>
              </w:tc>
            </w:tr>
          </w:tbl>
          <w:p w14:paraId="50D03695">
            <w:pPr>
              <w:autoSpaceDE w:val="0"/>
              <w:autoSpaceDN w:val="0"/>
              <w:adjustRightInd w:val="0"/>
              <w:snapToGrid w:val="0"/>
              <w:spacing w:line="360" w:lineRule="auto"/>
              <w:rPr>
                <w:rFonts w:cs="宋体"/>
                <w:kern w:val="0"/>
                <w:szCs w:val="21"/>
              </w:rPr>
            </w:pPr>
          </w:p>
        </w:tc>
      </w:tr>
    </w:tbl>
    <w:p w14:paraId="54625C86">
      <w:pPr>
        <w:spacing w:line="360" w:lineRule="auto"/>
        <w:ind w:firstLine="600"/>
        <w:rPr>
          <w:rFonts w:eastAsia="黑体"/>
          <w:sz w:val="30"/>
        </w:rPr>
        <w:sectPr>
          <w:footerReference r:id="rId4" w:type="default"/>
          <w:pgSz w:w="11906" w:h="16838"/>
          <w:pgMar w:top="1701" w:right="1531" w:bottom="1701" w:left="1531" w:header="851" w:footer="1247" w:gutter="0"/>
          <w:pgBorders>
            <w:top w:val="none" w:sz="0" w:space="0"/>
            <w:left w:val="none" w:sz="0" w:space="0"/>
            <w:bottom w:val="none" w:sz="0" w:space="0"/>
            <w:right w:val="none" w:sz="0" w:space="0"/>
          </w:pgBorders>
          <w:pgNumType w:start="1"/>
          <w:cols w:space="720" w:num="1"/>
          <w:docGrid w:type="lines" w:linePitch="312" w:charSpace="0"/>
        </w:sectPr>
      </w:pPr>
    </w:p>
    <w:p w14:paraId="0BE33EC8">
      <w:pPr>
        <w:pStyle w:val="27"/>
        <w:jc w:val="center"/>
        <w:outlineLvl w:val="0"/>
        <w:rPr>
          <w:rFonts w:ascii="Times New Roman" w:hAnsi="Times New Roman" w:eastAsia="黑体"/>
          <w:snapToGrid w:val="0"/>
          <w:sz w:val="30"/>
          <w:szCs w:val="30"/>
        </w:rPr>
      </w:pPr>
      <w:bookmarkStart w:id="5" w:name="_Toc21976"/>
      <w:r>
        <w:rPr>
          <w:rFonts w:hint="eastAsia" w:ascii="Times New Roman" w:hAnsi="Times New Roman" w:eastAsia="黑体"/>
          <w:snapToGrid w:val="0"/>
          <w:sz w:val="30"/>
          <w:szCs w:val="30"/>
        </w:rPr>
        <w:t>二、建设项目工程分析</w:t>
      </w:r>
      <w:bookmarkEnd w:id="5"/>
    </w:p>
    <w:tbl>
      <w:tblPr>
        <w:tblStyle w:val="3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3"/>
        <w:gridCol w:w="8161"/>
      </w:tblGrid>
      <w:tr w14:paraId="759D07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794" w:hRule="atLeast"/>
          <w:jc w:val="center"/>
        </w:trPr>
        <w:tc>
          <w:tcPr>
            <w:tcW w:w="753" w:type="dxa"/>
            <w:vAlign w:val="center"/>
          </w:tcPr>
          <w:p w14:paraId="27EC3462">
            <w:pPr>
              <w:pStyle w:val="27"/>
              <w:adjustRightInd w:val="0"/>
              <w:snapToGrid w:val="0"/>
              <w:spacing w:before="0" w:beforeAutospacing="0" w:after="0" w:afterAutospacing="0"/>
              <w:jc w:val="center"/>
              <w:rPr>
                <w:rFonts w:ascii="Times New Roman" w:hAnsi="Times New Roman" w:cs="宋体"/>
                <w:sz w:val="21"/>
                <w:szCs w:val="21"/>
              </w:rPr>
            </w:pPr>
            <w:r>
              <w:rPr>
                <w:rFonts w:hint="eastAsia" w:ascii="Times New Roman" w:hAnsi="Times New Roman" w:cs="宋体"/>
                <w:sz w:val="21"/>
                <w:szCs w:val="21"/>
              </w:rPr>
              <w:t>建设内容</w:t>
            </w:r>
          </w:p>
        </w:tc>
        <w:tc>
          <w:tcPr>
            <w:tcW w:w="8161" w:type="dxa"/>
          </w:tcPr>
          <w:p w14:paraId="2BA25025">
            <w:pPr>
              <w:keepNext w:val="0"/>
              <w:keepLines w:val="0"/>
              <w:pageBreakBefore w:val="0"/>
              <w:numPr>
                <w:ilvl w:val="0"/>
                <w:numId w:val="4"/>
              </w:numPr>
              <w:kinsoku/>
              <w:wordWrap/>
              <w:overflowPunct/>
              <w:topLinePunct w:val="0"/>
              <w:autoSpaceDE/>
              <w:autoSpaceDN/>
              <w:bidi w:val="0"/>
              <w:adjustRightInd w:val="0"/>
              <w:snapToGrid w:val="0"/>
              <w:spacing w:line="360" w:lineRule="auto"/>
              <w:textAlignment w:val="auto"/>
              <w:rPr>
                <w:rFonts w:hint="eastAsia" w:ascii="宋体" w:hAnsi="宋体" w:cs="宋体"/>
                <w:b/>
                <w:color w:val="auto"/>
                <w:szCs w:val="21"/>
              </w:rPr>
            </w:pPr>
            <w:r>
              <w:rPr>
                <w:rFonts w:hint="eastAsia" w:ascii="宋体" w:hAnsi="宋体" w:cs="宋体"/>
                <w:b/>
                <w:color w:val="auto"/>
                <w:szCs w:val="21"/>
              </w:rPr>
              <w:t>项目由来</w:t>
            </w:r>
          </w:p>
          <w:p w14:paraId="0CE96C4B">
            <w:pPr>
              <w:keepNext w:val="0"/>
              <w:keepLines w:val="0"/>
              <w:pageBreakBefore w:val="0"/>
              <w:widowControl/>
              <w:kinsoku/>
              <w:wordWrap/>
              <w:overflowPunct/>
              <w:topLinePunct w:val="0"/>
              <w:autoSpaceDE/>
              <w:autoSpaceDN/>
              <w:bidi w:val="0"/>
              <w:snapToGrid w:val="0"/>
              <w:spacing w:line="360" w:lineRule="auto"/>
              <w:ind w:firstLine="420" w:firstLineChars="200"/>
              <w:textAlignment w:val="auto"/>
              <w:rPr>
                <w:color w:val="auto"/>
                <w:kern w:val="0"/>
                <w:szCs w:val="21"/>
              </w:rPr>
            </w:pPr>
            <w:r>
              <w:rPr>
                <w:color w:val="auto"/>
              </w:rPr>
              <w:t>江苏晶瑞玻璃有限公司</w:t>
            </w:r>
            <w:r>
              <w:rPr>
                <w:bCs/>
                <w:color w:val="auto"/>
              </w:rPr>
              <w:t>成立于2012年4月11日，</w:t>
            </w:r>
            <w:r>
              <w:rPr>
                <w:color w:val="auto"/>
                <w:kern w:val="0"/>
                <w:szCs w:val="21"/>
              </w:rPr>
              <w:t>注册地位于泗阳县经济开发区众兴东路282号。</w:t>
            </w:r>
          </w:p>
          <w:p w14:paraId="71EC2C58">
            <w:pPr>
              <w:keepNext w:val="0"/>
              <w:keepLines w:val="0"/>
              <w:pageBreakBefore w:val="0"/>
              <w:widowControl/>
              <w:kinsoku/>
              <w:wordWrap/>
              <w:overflowPunct/>
              <w:topLinePunct w:val="0"/>
              <w:autoSpaceDE/>
              <w:autoSpaceDN/>
              <w:bidi w:val="0"/>
              <w:snapToGrid w:val="0"/>
              <w:spacing w:line="360" w:lineRule="auto"/>
              <w:ind w:firstLine="420" w:firstLineChars="200"/>
              <w:textAlignment w:val="auto"/>
              <w:rPr>
                <w:color w:val="auto"/>
                <w:szCs w:val="21"/>
              </w:rPr>
            </w:pPr>
            <w:r>
              <w:rPr>
                <w:rFonts w:hint="eastAsia"/>
                <w:color w:val="auto"/>
                <w:szCs w:val="21"/>
              </w:rPr>
              <w:t>2014年6月，</w:t>
            </w:r>
            <w:r>
              <w:rPr>
                <w:color w:val="auto"/>
                <w:szCs w:val="21"/>
              </w:rPr>
              <w:t>江苏晶瑞玻璃有限公司</w:t>
            </w:r>
            <w:r>
              <w:rPr>
                <w:rFonts w:hint="eastAsia"/>
                <w:color w:val="auto"/>
                <w:szCs w:val="21"/>
              </w:rPr>
              <w:t>委托江苏绿源工程设计研究有限公司编制《</w:t>
            </w:r>
            <w:r>
              <w:rPr>
                <w:rFonts w:hint="eastAsia"/>
                <w:color w:val="auto"/>
                <w:kern w:val="0"/>
                <w:szCs w:val="21"/>
              </w:rPr>
              <w:t>年产1</w:t>
            </w:r>
            <w:r>
              <w:rPr>
                <w:rFonts w:hint="eastAsia" w:ascii="宋体" w:hAnsi="宋体" w:cs="宋体"/>
                <w:color w:val="auto"/>
                <w:kern w:val="0"/>
                <w:szCs w:val="21"/>
              </w:rPr>
              <w:t>.</w:t>
            </w:r>
            <w:r>
              <w:rPr>
                <w:rFonts w:hint="eastAsia"/>
                <w:color w:val="auto"/>
                <w:kern w:val="0"/>
                <w:szCs w:val="21"/>
              </w:rPr>
              <w:t>1亿只玻璃酒瓶项目</w:t>
            </w:r>
            <w:r>
              <w:rPr>
                <w:rFonts w:hint="eastAsia"/>
                <w:color w:val="auto"/>
                <w:szCs w:val="21"/>
              </w:rPr>
              <w:t>环境影响报告表》，2014年7月22日，项目通过原泗阳县环境保护局审批（批复文号：泗环评</w:t>
            </w:r>
            <w:r>
              <w:rPr>
                <w:color w:val="auto"/>
                <w:kern w:val="0"/>
                <w:szCs w:val="21"/>
              </w:rPr>
              <w:t>﹝</w:t>
            </w:r>
            <w:r>
              <w:rPr>
                <w:rFonts w:hint="eastAsia"/>
                <w:color w:val="auto"/>
                <w:kern w:val="0"/>
                <w:szCs w:val="21"/>
              </w:rPr>
              <w:t>2014</w:t>
            </w:r>
            <w:r>
              <w:rPr>
                <w:color w:val="auto"/>
                <w:kern w:val="0"/>
                <w:szCs w:val="21"/>
              </w:rPr>
              <w:t>﹞</w:t>
            </w:r>
            <w:r>
              <w:rPr>
                <w:rFonts w:hint="eastAsia"/>
                <w:color w:val="auto"/>
                <w:szCs w:val="21"/>
              </w:rPr>
              <w:t>96号）。2017年1月，原泗阳县环境保护局对</w:t>
            </w:r>
            <w:r>
              <w:rPr>
                <w:rFonts w:hint="eastAsia"/>
                <w:color w:val="auto"/>
                <w:kern w:val="0"/>
                <w:szCs w:val="21"/>
              </w:rPr>
              <w:t>年产1</w:t>
            </w:r>
            <w:r>
              <w:rPr>
                <w:rFonts w:hint="eastAsia" w:ascii="宋体" w:hAnsi="宋体" w:cs="宋体"/>
                <w:color w:val="auto"/>
                <w:kern w:val="0"/>
                <w:szCs w:val="21"/>
              </w:rPr>
              <w:t>.</w:t>
            </w:r>
            <w:r>
              <w:rPr>
                <w:rFonts w:hint="eastAsia"/>
                <w:color w:val="auto"/>
                <w:kern w:val="0"/>
                <w:szCs w:val="21"/>
              </w:rPr>
              <w:t>1亿只玻璃酒瓶项目</w:t>
            </w:r>
            <w:r>
              <w:rPr>
                <w:rFonts w:hint="eastAsia"/>
                <w:color w:val="auto"/>
                <w:szCs w:val="21"/>
              </w:rPr>
              <w:t>开展了竣工环保验收，同意该项目通过环境保护验收（环验</w:t>
            </w:r>
            <w:r>
              <w:rPr>
                <w:color w:val="auto"/>
                <w:kern w:val="0"/>
                <w:szCs w:val="21"/>
              </w:rPr>
              <w:t>﹝</w:t>
            </w:r>
            <w:r>
              <w:rPr>
                <w:rFonts w:hint="eastAsia"/>
                <w:color w:val="auto"/>
                <w:kern w:val="0"/>
                <w:szCs w:val="21"/>
              </w:rPr>
              <w:t>2017</w:t>
            </w:r>
            <w:r>
              <w:rPr>
                <w:color w:val="auto"/>
                <w:kern w:val="0"/>
                <w:szCs w:val="21"/>
              </w:rPr>
              <w:t>﹞</w:t>
            </w:r>
            <w:r>
              <w:rPr>
                <w:rFonts w:hint="eastAsia"/>
                <w:color w:val="auto"/>
                <w:szCs w:val="21"/>
              </w:rPr>
              <w:t>001号）。</w:t>
            </w:r>
            <w:r>
              <w:rPr>
                <w:rFonts w:hint="eastAsia"/>
                <w:color w:val="auto"/>
              </w:rPr>
              <w:t>2019年11月30日，该项目取得排污许可证，编号：91321323593926158R001U。</w:t>
            </w:r>
          </w:p>
          <w:p w14:paraId="0C6E2787">
            <w:pPr>
              <w:pStyle w:val="10"/>
              <w:keepNext w:val="0"/>
              <w:keepLines w:val="0"/>
              <w:pageBreakBefore w:val="0"/>
              <w:kinsoku/>
              <w:wordWrap/>
              <w:overflowPunct/>
              <w:topLinePunct w:val="0"/>
              <w:autoSpaceDE/>
              <w:autoSpaceDN/>
              <w:bidi w:val="0"/>
              <w:snapToGrid w:val="0"/>
              <w:spacing w:before="0" w:after="0" w:line="360" w:lineRule="auto"/>
              <w:ind w:right="0" w:firstLine="420" w:firstLineChars="200"/>
              <w:textAlignment w:val="auto"/>
              <w:rPr>
                <w:color w:val="auto"/>
              </w:rPr>
            </w:pPr>
            <w:r>
              <w:rPr>
                <w:rFonts w:hint="eastAsia"/>
                <w:color w:val="auto"/>
                <w:sz w:val="21"/>
                <w:szCs w:val="22"/>
              </w:rPr>
              <w:t>2022年3月</w:t>
            </w:r>
            <w:r>
              <w:rPr>
                <w:color w:val="auto"/>
                <w:sz w:val="21"/>
                <w:szCs w:val="21"/>
              </w:rPr>
              <w:t>江苏晶瑞玻璃有限公司</w:t>
            </w:r>
            <w:r>
              <w:rPr>
                <w:rFonts w:hint="eastAsia"/>
                <w:color w:val="auto"/>
                <w:sz w:val="21"/>
                <w:szCs w:val="22"/>
              </w:rPr>
              <w:t>委托江苏瑞景环保科技有限公司编制了《</w:t>
            </w:r>
            <w:r>
              <w:rPr>
                <w:rFonts w:hint="eastAsia"/>
                <w:bCs/>
                <w:color w:val="auto"/>
                <w:sz w:val="21"/>
                <w:szCs w:val="21"/>
              </w:rPr>
              <w:t>年产600万只真空离子镀膜玻璃瓶与6000万只水性玻璃釉酒瓶项目</w:t>
            </w:r>
            <w:r>
              <w:rPr>
                <w:rFonts w:hint="eastAsia"/>
                <w:color w:val="auto"/>
                <w:sz w:val="21"/>
                <w:szCs w:val="22"/>
              </w:rPr>
              <w:t>环境影响报告表》，2022年10月25日，项目取得宿迁市生态环境局批复（批复文号：宿环建管表</w:t>
            </w:r>
            <w:r>
              <w:rPr>
                <w:color w:val="auto"/>
                <w:sz w:val="21"/>
                <w:szCs w:val="21"/>
              </w:rPr>
              <w:t>﹝</w:t>
            </w:r>
            <w:r>
              <w:rPr>
                <w:rFonts w:hint="eastAsia"/>
                <w:color w:val="auto"/>
                <w:sz w:val="21"/>
                <w:szCs w:val="21"/>
              </w:rPr>
              <w:t>2022</w:t>
            </w:r>
            <w:r>
              <w:rPr>
                <w:color w:val="auto"/>
                <w:sz w:val="21"/>
                <w:szCs w:val="21"/>
              </w:rPr>
              <w:t>﹞</w:t>
            </w:r>
            <w:r>
              <w:rPr>
                <w:rFonts w:hint="eastAsia"/>
                <w:color w:val="auto"/>
                <w:sz w:val="21"/>
                <w:szCs w:val="21"/>
              </w:rPr>
              <w:t>20098</w:t>
            </w:r>
            <w:r>
              <w:rPr>
                <w:rFonts w:hint="eastAsia"/>
                <w:color w:val="auto"/>
                <w:sz w:val="21"/>
                <w:szCs w:val="22"/>
              </w:rPr>
              <w:t>号）。</w:t>
            </w:r>
            <w:r>
              <w:rPr>
                <w:rFonts w:hint="eastAsia"/>
                <w:bCs/>
                <w:color w:val="auto"/>
                <w:sz w:val="21"/>
                <w:szCs w:val="21"/>
              </w:rPr>
              <w:t>该项目企业于2023年9月17日开展自主验收，</w:t>
            </w:r>
            <w:r>
              <w:rPr>
                <w:rFonts w:hint="eastAsia"/>
                <w:color w:val="auto"/>
                <w:sz w:val="21"/>
                <w:szCs w:val="22"/>
              </w:rPr>
              <w:t>根据验收意见验收合格。</w:t>
            </w:r>
          </w:p>
          <w:p w14:paraId="78EF2DBF">
            <w:pPr>
              <w:keepNext w:val="0"/>
              <w:keepLines w:val="0"/>
              <w:pageBreakBefore w:val="0"/>
              <w:widowControl/>
              <w:kinsoku/>
              <w:wordWrap/>
              <w:overflowPunct/>
              <w:topLinePunct w:val="0"/>
              <w:autoSpaceDE/>
              <w:autoSpaceDN/>
              <w:bidi w:val="0"/>
              <w:snapToGrid w:val="0"/>
              <w:spacing w:line="360" w:lineRule="auto"/>
              <w:ind w:firstLine="420" w:firstLineChars="200"/>
              <w:textAlignment w:val="auto"/>
              <w:rPr>
                <w:color w:val="auto"/>
              </w:rPr>
            </w:pPr>
            <w:r>
              <w:rPr>
                <w:rFonts w:hint="eastAsia"/>
                <w:color w:val="auto"/>
              </w:rPr>
              <w:t>2023年11月</w:t>
            </w:r>
            <w:r>
              <w:rPr>
                <w:color w:val="auto"/>
                <w:szCs w:val="21"/>
              </w:rPr>
              <w:t>江苏晶瑞玻璃有限公司</w:t>
            </w:r>
            <w:r>
              <w:rPr>
                <w:rFonts w:hint="eastAsia"/>
                <w:color w:val="auto"/>
                <w:szCs w:val="22"/>
              </w:rPr>
              <w:t>委托江苏瑞景环保科技有限公司编制了《</w:t>
            </w:r>
            <w:r>
              <w:rPr>
                <w:rFonts w:hint="eastAsia"/>
                <w:bCs/>
                <w:color w:val="auto"/>
                <w:szCs w:val="21"/>
              </w:rPr>
              <w:t>年产4500万只中高档酒瓶技术改造项目环境影响报告表</w:t>
            </w:r>
            <w:r>
              <w:rPr>
                <w:rFonts w:hint="eastAsia"/>
                <w:color w:val="auto"/>
                <w:szCs w:val="22"/>
              </w:rPr>
              <w:t>》，2024年4月24日，项目取得宿迁市生态环境局批复（批复文号：宿环建管表</w:t>
            </w:r>
            <w:r>
              <w:rPr>
                <w:color w:val="auto"/>
                <w:kern w:val="0"/>
                <w:szCs w:val="21"/>
              </w:rPr>
              <w:t>﹝</w:t>
            </w:r>
            <w:r>
              <w:rPr>
                <w:rFonts w:hint="eastAsia"/>
                <w:color w:val="auto"/>
                <w:kern w:val="0"/>
                <w:szCs w:val="21"/>
              </w:rPr>
              <w:t>2024</w:t>
            </w:r>
            <w:r>
              <w:rPr>
                <w:color w:val="auto"/>
                <w:kern w:val="0"/>
                <w:szCs w:val="21"/>
              </w:rPr>
              <w:t>﹞</w:t>
            </w:r>
            <w:r>
              <w:rPr>
                <w:rFonts w:hint="eastAsia"/>
                <w:color w:val="auto"/>
                <w:kern w:val="0"/>
                <w:szCs w:val="21"/>
              </w:rPr>
              <w:t>20035</w:t>
            </w:r>
            <w:r>
              <w:rPr>
                <w:rFonts w:hint="eastAsia"/>
                <w:color w:val="auto"/>
                <w:szCs w:val="22"/>
              </w:rPr>
              <w:t>号）</w:t>
            </w:r>
            <w:r>
              <w:rPr>
                <w:rFonts w:hint="eastAsia"/>
                <w:color w:val="auto"/>
                <w:szCs w:val="22"/>
                <w:lang w:eastAsia="zh-CN"/>
              </w:rPr>
              <w:t>。</w:t>
            </w:r>
            <w:r>
              <w:rPr>
                <w:rFonts w:hint="eastAsia"/>
                <w:bCs/>
                <w:color w:val="auto"/>
                <w:sz w:val="21"/>
                <w:szCs w:val="21"/>
              </w:rPr>
              <w:t>该项目企业于202</w:t>
            </w:r>
            <w:r>
              <w:rPr>
                <w:rFonts w:hint="eastAsia"/>
                <w:bCs/>
                <w:color w:val="auto"/>
                <w:sz w:val="21"/>
                <w:szCs w:val="21"/>
                <w:lang w:val="en-US" w:eastAsia="zh-CN"/>
              </w:rPr>
              <w:t>5</w:t>
            </w:r>
            <w:r>
              <w:rPr>
                <w:rFonts w:hint="eastAsia"/>
                <w:bCs/>
                <w:color w:val="auto"/>
                <w:sz w:val="21"/>
                <w:szCs w:val="21"/>
              </w:rPr>
              <w:t>年</w:t>
            </w:r>
            <w:r>
              <w:rPr>
                <w:rFonts w:hint="eastAsia"/>
                <w:bCs/>
                <w:color w:val="auto"/>
                <w:sz w:val="21"/>
                <w:szCs w:val="21"/>
                <w:lang w:val="en-US" w:eastAsia="zh-CN"/>
              </w:rPr>
              <w:t>3</w:t>
            </w:r>
            <w:r>
              <w:rPr>
                <w:rFonts w:hint="eastAsia"/>
                <w:bCs/>
                <w:color w:val="auto"/>
                <w:sz w:val="21"/>
                <w:szCs w:val="21"/>
              </w:rPr>
              <w:t>月1</w:t>
            </w:r>
            <w:r>
              <w:rPr>
                <w:rFonts w:hint="eastAsia"/>
                <w:bCs/>
                <w:color w:val="auto"/>
                <w:sz w:val="21"/>
                <w:szCs w:val="21"/>
                <w:lang w:val="en-US" w:eastAsia="zh-CN"/>
              </w:rPr>
              <w:t>5</w:t>
            </w:r>
            <w:r>
              <w:rPr>
                <w:rFonts w:hint="eastAsia"/>
                <w:bCs/>
                <w:color w:val="auto"/>
                <w:sz w:val="21"/>
                <w:szCs w:val="21"/>
              </w:rPr>
              <w:t>日开展自主验收，</w:t>
            </w:r>
            <w:r>
              <w:rPr>
                <w:rFonts w:hint="eastAsia"/>
                <w:color w:val="auto"/>
                <w:sz w:val="21"/>
                <w:szCs w:val="22"/>
              </w:rPr>
              <w:t>根据验收意见验收合格</w:t>
            </w:r>
            <w:r>
              <w:rPr>
                <w:rFonts w:hint="eastAsia"/>
                <w:color w:val="auto"/>
                <w:szCs w:val="22"/>
              </w:rPr>
              <w:t>。</w:t>
            </w:r>
          </w:p>
          <w:p w14:paraId="0ABAF213">
            <w:pPr>
              <w:keepNext w:val="0"/>
              <w:keepLines w:val="0"/>
              <w:pageBreakBefore w:val="0"/>
              <w:widowControl/>
              <w:kinsoku/>
              <w:wordWrap/>
              <w:overflowPunct/>
              <w:topLinePunct w:val="0"/>
              <w:autoSpaceDE/>
              <w:autoSpaceDN/>
              <w:bidi w:val="0"/>
              <w:snapToGrid w:val="0"/>
              <w:spacing w:line="360" w:lineRule="auto"/>
              <w:ind w:firstLine="420" w:firstLineChars="200"/>
              <w:textAlignment w:val="auto"/>
              <w:rPr>
                <w:color w:val="auto"/>
                <w:kern w:val="0"/>
                <w:szCs w:val="21"/>
              </w:rPr>
            </w:pPr>
            <w:r>
              <w:rPr>
                <w:rFonts w:hint="eastAsia"/>
                <w:color w:val="auto"/>
              </w:rPr>
              <w:t>现企业</w:t>
            </w:r>
            <w:r>
              <w:rPr>
                <w:color w:val="auto"/>
              </w:rPr>
              <w:t>拟投资</w:t>
            </w:r>
            <w:r>
              <w:rPr>
                <w:rFonts w:hint="eastAsia"/>
                <w:color w:val="auto"/>
              </w:rPr>
              <w:t>500</w:t>
            </w:r>
            <w:r>
              <w:rPr>
                <w:color w:val="auto"/>
              </w:rPr>
              <w:t>万元</w:t>
            </w:r>
            <w:r>
              <w:rPr>
                <w:rFonts w:hint="eastAsia"/>
                <w:color w:val="auto"/>
              </w:rPr>
              <w:t>，新增超声波清洗机、内雕打印机、全自动</w:t>
            </w:r>
            <w:r>
              <w:rPr>
                <w:rFonts w:hint="eastAsia"/>
                <w:color w:val="auto"/>
                <w:lang w:val="en-US" w:eastAsia="zh-CN"/>
              </w:rPr>
              <w:t>直</w:t>
            </w:r>
            <w:r>
              <w:rPr>
                <w:rFonts w:hint="eastAsia"/>
                <w:color w:val="auto"/>
              </w:rPr>
              <w:t>印机、</w:t>
            </w:r>
            <w:r>
              <w:rPr>
                <w:rFonts w:hint="eastAsia"/>
                <w:color w:val="auto"/>
                <w:lang w:val="en-US" w:eastAsia="zh-CN"/>
              </w:rPr>
              <w:t>6</w:t>
            </w:r>
            <w:r>
              <w:rPr>
                <w:rFonts w:hint="eastAsia"/>
                <w:color w:val="auto"/>
              </w:rPr>
              <w:t>色全自动直印机、半自动直印机等设备，建设年产4500万只中高档玻璃制品激光内雕与2000万中高档玻璃酒瓶直印移印深加工项目。本次扩建</w:t>
            </w:r>
            <w:r>
              <w:rPr>
                <w:color w:val="auto"/>
              </w:rPr>
              <w:t>项目已</w:t>
            </w:r>
            <w:r>
              <w:rPr>
                <w:rFonts w:hint="eastAsia"/>
                <w:color w:val="auto"/>
                <w:kern w:val="0"/>
                <w:szCs w:val="21"/>
              </w:rPr>
              <w:t>于202</w:t>
            </w:r>
            <w:r>
              <w:rPr>
                <w:rFonts w:hint="eastAsia"/>
                <w:color w:val="auto"/>
                <w:kern w:val="0"/>
                <w:szCs w:val="21"/>
                <w:lang w:val="en-US" w:eastAsia="zh-CN"/>
              </w:rPr>
              <w:t>5</w:t>
            </w:r>
            <w:r>
              <w:rPr>
                <w:rFonts w:hint="eastAsia"/>
                <w:color w:val="auto"/>
                <w:kern w:val="0"/>
                <w:szCs w:val="21"/>
              </w:rPr>
              <w:t>年</w:t>
            </w:r>
            <w:r>
              <w:rPr>
                <w:rFonts w:hint="eastAsia"/>
                <w:color w:val="auto"/>
                <w:kern w:val="0"/>
                <w:szCs w:val="21"/>
                <w:lang w:val="en-US" w:eastAsia="zh-CN"/>
              </w:rPr>
              <w:t>9</w:t>
            </w:r>
            <w:r>
              <w:rPr>
                <w:rFonts w:hint="eastAsia"/>
                <w:color w:val="auto"/>
                <w:kern w:val="0"/>
                <w:szCs w:val="21"/>
              </w:rPr>
              <w:t>月</w:t>
            </w:r>
            <w:r>
              <w:rPr>
                <w:rFonts w:hint="eastAsia"/>
                <w:color w:val="auto"/>
                <w:kern w:val="0"/>
                <w:szCs w:val="21"/>
                <w:lang w:val="en-US" w:eastAsia="zh-CN"/>
              </w:rPr>
              <w:t>23</w:t>
            </w:r>
            <w:r>
              <w:rPr>
                <w:rFonts w:hint="eastAsia"/>
                <w:color w:val="auto"/>
                <w:kern w:val="0"/>
                <w:szCs w:val="21"/>
              </w:rPr>
              <w:t>日取得投资项目备案证，项目备案证号：泗经开备〔20</w:t>
            </w:r>
            <w:r>
              <w:rPr>
                <w:rFonts w:hint="eastAsia"/>
                <w:color w:val="auto"/>
                <w:kern w:val="0"/>
                <w:szCs w:val="21"/>
                <w:lang w:val="en-US" w:eastAsia="zh-CN"/>
              </w:rPr>
              <w:t>25</w:t>
            </w:r>
            <w:r>
              <w:rPr>
                <w:rFonts w:hint="eastAsia"/>
                <w:color w:val="auto"/>
                <w:kern w:val="0"/>
                <w:szCs w:val="21"/>
              </w:rPr>
              <w:t>〕</w:t>
            </w:r>
            <w:r>
              <w:rPr>
                <w:rFonts w:hint="eastAsia"/>
                <w:color w:val="auto"/>
                <w:kern w:val="0"/>
                <w:szCs w:val="21"/>
                <w:lang w:val="en-US" w:eastAsia="zh-CN"/>
              </w:rPr>
              <w:t>277</w:t>
            </w:r>
            <w:r>
              <w:rPr>
                <w:rFonts w:hint="eastAsia"/>
                <w:color w:val="auto"/>
                <w:kern w:val="0"/>
                <w:szCs w:val="21"/>
              </w:rPr>
              <w:t>号（</w:t>
            </w:r>
            <w:r>
              <w:rPr>
                <w:rFonts w:hint="eastAsia" w:ascii="宋体" w:hAnsi="宋体" w:cs="宋体"/>
                <w:color w:val="auto"/>
                <w:kern w:val="0"/>
                <w:szCs w:val="21"/>
              </w:rPr>
              <w:t>项目代码</w:t>
            </w:r>
            <w:r>
              <w:rPr>
                <w:rFonts w:hint="eastAsia"/>
                <w:color w:val="auto"/>
              </w:rPr>
              <w:t>2509-321362-89-01-624417</w:t>
            </w:r>
            <w:r>
              <w:rPr>
                <w:rFonts w:hint="eastAsia"/>
                <w:color w:val="auto"/>
                <w:kern w:val="0"/>
                <w:szCs w:val="21"/>
              </w:rPr>
              <w:t>）。</w:t>
            </w:r>
          </w:p>
          <w:p w14:paraId="40E575C7">
            <w:pPr>
              <w:keepNext w:val="0"/>
              <w:keepLines w:val="0"/>
              <w:pageBreakBefore w:val="0"/>
              <w:widowControl/>
              <w:kinsoku/>
              <w:wordWrap/>
              <w:overflowPunct/>
              <w:topLinePunct w:val="0"/>
              <w:autoSpaceDE/>
              <w:autoSpaceDN/>
              <w:bidi w:val="0"/>
              <w:snapToGrid w:val="0"/>
              <w:spacing w:line="360" w:lineRule="auto"/>
              <w:ind w:firstLine="420" w:firstLineChars="200"/>
              <w:textAlignment w:val="auto"/>
              <w:rPr>
                <w:rFonts w:hint="eastAsia" w:ascii="宋体" w:hAnsi="宋体" w:cs="宋体"/>
                <w:bCs/>
                <w:color w:val="auto"/>
                <w:kern w:val="0"/>
                <w:szCs w:val="21"/>
              </w:rPr>
            </w:pPr>
            <w:r>
              <w:rPr>
                <w:rFonts w:hint="eastAsia" w:ascii="宋体" w:hAnsi="宋体" w:cs="宋体"/>
                <w:bCs/>
                <w:color w:val="auto"/>
                <w:kern w:val="0"/>
                <w:szCs w:val="21"/>
              </w:rPr>
              <w:t>根据《中华人民共和国环境保护法》、《中华人民共和国环境影响评价法》、《建设项目环境保护管理条例》（国务院第</w:t>
            </w:r>
            <w:r>
              <w:rPr>
                <w:rFonts w:hint="eastAsia" w:cs="宋体"/>
                <w:bCs/>
                <w:color w:val="auto"/>
                <w:kern w:val="0"/>
                <w:szCs w:val="21"/>
              </w:rPr>
              <w:t>682</w:t>
            </w:r>
            <w:r>
              <w:rPr>
                <w:rFonts w:hint="eastAsia" w:ascii="宋体" w:hAnsi="宋体" w:cs="宋体"/>
                <w:bCs/>
                <w:color w:val="auto"/>
                <w:kern w:val="0"/>
                <w:szCs w:val="21"/>
              </w:rPr>
              <w:t>号令）、《建设项目环境影响评价分类管理名录》（</w:t>
            </w:r>
            <w:r>
              <w:rPr>
                <w:rFonts w:hint="eastAsia" w:cs="宋体"/>
                <w:bCs/>
                <w:color w:val="auto"/>
                <w:kern w:val="0"/>
                <w:szCs w:val="21"/>
              </w:rPr>
              <w:t>2021</w:t>
            </w:r>
            <w:r>
              <w:rPr>
                <w:rFonts w:hint="eastAsia" w:ascii="宋体" w:hAnsi="宋体" w:cs="宋体"/>
                <w:bCs/>
                <w:color w:val="auto"/>
                <w:kern w:val="0"/>
                <w:szCs w:val="21"/>
              </w:rPr>
              <w:t>年版）等有关文件要求，项目</w:t>
            </w:r>
            <w:r>
              <w:rPr>
                <w:rFonts w:hint="eastAsia" w:ascii="宋体" w:hAnsi="宋体" w:cs="宋体"/>
                <w:bCs/>
                <w:color w:val="auto"/>
                <w:szCs w:val="21"/>
              </w:rPr>
              <w:t>属于“二</w:t>
            </w:r>
            <w:r>
              <w:rPr>
                <w:color w:val="auto"/>
                <w:kern w:val="0"/>
                <w:szCs w:val="21"/>
                <w:lang w:bidi="ar"/>
              </w:rPr>
              <w:t>十</w:t>
            </w:r>
            <w:r>
              <w:rPr>
                <w:rFonts w:hint="eastAsia"/>
                <w:color w:val="auto"/>
                <w:kern w:val="0"/>
                <w:szCs w:val="21"/>
                <w:lang w:bidi="ar"/>
              </w:rPr>
              <w:t>七</w:t>
            </w:r>
            <w:r>
              <w:rPr>
                <w:color w:val="auto"/>
                <w:kern w:val="0"/>
                <w:szCs w:val="21"/>
                <w:lang w:bidi="ar"/>
              </w:rPr>
              <w:t>、</w:t>
            </w:r>
            <w:r>
              <w:rPr>
                <w:rFonts w:hint="eastAsia"/>
                <w:color w:val="auto"/>
                <w:kern w:val="0"/>
                <w:szCs w:val="21"/>
                <w:lang w:bidi="ar"/>
              </w:rPr>
              <w:t>非金属矿物制品业30</w:t>
            </w:r>
            <w:r>
              <w:rPr>
                <w:color w:val="auto"/>
                <w:kern w:val="0"/>
                <w:szCs w:val="21"/>
                <w:lang w:bidi="ar"/>
              </w:rPr>
              <w:t>-</w:t>
            </w:r>
            <w:r>
              <w:rPr>
                <w:rFonts w:hint="eastAsia"/>
                <w:color w:val="auto"/>
                <w:kern w:val="0"/>
                <w:szCs w:val="21"/>
                <w:lang w:bidi="ar"/>
              </w:rPr>
              <w:t>57玻璃制品制造305</w:t>
            </w:r>
            <w:r>
              <w:rPr>
                <w:rFonts w:hint="eastAsia" w:ascii="宋体" w:hAnsi="宋体" w:cs="宋体"/>
                <w:bCs/>
                <w:color w:val="auto"/>
                <w:kern w:val="0"/>
                <w:szCs w:val="21"/>
              </w:rPr>
              <w:t>”中的“玻璃制品制造（电加热的除外；仅切割、打磨、成型的除外）”，应编制环境影响报告表。</w:t>
            </w:r>
          </w:p>
          <w:p w14:paraId="22F44B32">
            <w:pPr>
              <w:keepNext w:val="0"/>
              <w:keepLines w:val="0"/>
              <w:pageBreakBefore w:val="0"/>
              <w:kinsoku/>
              <w:wordWrap/>
              <w:overflowPunct/>
              <w:topLinePunct w:val="0"/>
              <w:autoSpaceDE/>
              <w:autoSpaceDN/>
              <w:bidi w:val="0"/>
              <w:adjustRightInd w:val="0"/>
              <w:snapToGrid w:val="0"/>
              <w:spacing w:before="120" w:beforeLines="50"/>
              <w:jc w:val="center"/>
              <w:textAlignment w:val="auto"/>
              <w:rPr>
                <w:rFonts w:hint="eastAsia" w:ascii="Times New Roman" w:hAnsi="Times New Roman"/>
                <w:b/>
                <w:color w:val="auto"/>
                <w:kern w:val="0"/>
                <w:szCs w:val="21"/>
              </w:rPr>
            </w:pPr>
            <w:r>
              <w:rPr>
                <w:rFonts w:hint="eastAsia" w:ascii="Times New Roman" w:hAnsi="Times New Roman"/>
                <w:b/>
                <w:color w:val="auto"/>
                <w:kern w:val="0"/>
                <w:szCs w:val="21"/>
              </w:rPr>
              <w:t>表2-1 建设项目环境影响评价分类管理名录摘抄</w:t>
            </w:r>
          </w:p>
          <w:tbl>
            <w:tblPr>
              <w:tblStyle w:val="30"/>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17"/>
              <w:gridCol w:w="1606"/>
              <w:gridCol w:w="1718"/>
              <w:gridCol w:w="3072"/>
              <w:gridCol w:w="945"/>
            </w:tblGrid>
            <w:tr w14:paraId="4CB0B1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3" w:type="dxa"/>
                  <w:gridSpan w:val="2"/>
                  <w:noWrap w:val="0"/>
                  <w:vAlign w:val="center"/>
                </w:tcPr>
                <w:p w14:paraId="56769301">
                  <w:pPr>
                    <w:adjustRightInd w:val="0"/>
                    <w:snapToGrid w:val="0"/>
                    <w:jc w:val="center"/>
                    <w:rPr>
                      <w:rFonts w:ascii="Times New Roman" w:hAnsi="Times New Roman"/>
                      <w:b/>
                      <w:color w:val="auto"/>
                      <w:kern w:val="0"/>
                      <w:szCs w:val="21"/>
                    </w:rPr>
                  </w:pPr>
                  <w:r>
                    <w:rPr>
                      <w:color w:val="auto"/>
                    </w:rPr>
                    <mc:AlternateContent>
                      <mc:Choice Requires="wps">
                        <w:drawing>
                          <wp:anchor distT="0" distB="0" distL="114300" distR="114300" simplePos="0" relativeHeight="251659264" behindDoc="0" locked="0" layoutInCell="1" allowOverlap="1">
                            <wp:simplePos x="0" y="0"/>
                            <wp:positionH relativeFrom="column">
                              <wp:posOffset>-64135</wp:posOffset>
                            </wp:positionH>
                            <wp:positionV relativeFrom="paragraph">
                              <wp:posOffset>1905</wp:posOffset>
                            </wp:positionV>
                            <wp:extent cx="1331595" cy="339090"/>
                            <wp:effectExtent l="1270" t="4445" r="8255" b="6985"/>
                            <wp:wrapNone/>
                            <wp:docPr id="1" name="直接连接符 1"/>
                            <wp:cNvGraphicFramePr/>
                            <a:graphic xmlns:a="http://schemas.openxmlformats.org/drawingml/2006/main">
                              <a:graphicData uri="http://schemas.microsoft.com/office/word/2010/wordprocessingShape">
                                <wps:wsp>
                                  <wps:cNvCnPr/>
                                  <wps:spPr>
                                    <a:xfrm>
                                      <a:off x="0" y="0"/>
                                      <a:ext cx="1331595" cy="33909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05pt;margin-top:0.15pt;height:26.7pt;width:104.85pt;z-index:251659264;mso-width-relative:page;mso-height-relative:page;" filled="f" stroked="t" coordsize="21600,21600" o:gfxdata="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qiXJl1QAAAAcBAAAPAAAAAAAAAAEAIAAAACIAAABkcnMvZG93bnJldi54bWxQ&#10;SwECFAAUAAAACACHTuJAihnlT/oBAADpAwAADgAAAAAAAAABACAAAAAkAQAAZHJzL2Uyb0RvYy54&#10;bWxQSwUGAAAAAAYABgBZAQAAkAUAAAAA&#10;">
                            <v:fill on="f" focussize="0,0"/>
                            <v:stroke color="#000000" joinstyle="round"/>
                            <v:imagedata o:title=""/>
                            <o:lock v:ext="edit" aspectratio="f"/>
                          </v:line>
                        </w:pict>
                      </mc:Fallback>
                    </mc:AlternateContent>
                  </w:r>
                  <w:r>
                    <w:rPr>
                      <w:rFonts w:hint="eastAsia" w:ascii="Times New Roman" w:hAnsi="Times New Roman"/>
                      <w:b/>
                      <w:color w:val="auto"/>
                      <w:kern w:val="0"/>
                      <w:szCs w:val="21"/>
                    </w:rPr>
                    <w:t xml:space="preserve">          环评类别</w:t>
                  </w:r>
                </w:p>
                <w:p w14:paraId="2BE3EB1D">
                  <w:pPr>
                    <w:adjustRightInd w:val="0"/>
                    <w:snapToGrid w:val="0"/>
                    <w:rPr>
                      <w:rFonts w:ascii="Times New Roman" w:hAnsi="Times New Roman"/>
                      <w:b/>
                      <w:color w:val="auto"/>
                      <w:kern w:val="0"/>
                      <w:szCs w:val="21"/>
                    </w:rPr>
                  </w:pPr>
                  <w:r>
                    <w:rPr>
                      <w:rFonts w:hint="eastAsia" w:ascii="Times New Roman" w:hAnsi="Times New Roman"/>
                      <w:b/>
                      <w:color w:val="auto"/>
                      <w:kern w:val="0"/>
                      <w:szCs w:val="21"/>
                    </w:rPr>
                    <w:t>项目类别</w:t>
                  </w:r>
                </w:p>
              </w:tc>
              <w:tc>
                <w:tcPr>
                  <w:tcW w:w="1718" w:type="dxa"/>
                  <w:noWrap w:val="0"/>
                  <w:vAlign w:val="center"/>
                </w:tcPr>
                <w:p w14:paraId="39065D1A">
                  <w:pPr>
                    <w:adjustRightInd w:val="0"/>
                    <w:snapToGrid w:val="0"/>
                    <w:jc w:val="center"/>
                    <w:rPr>
                      <w:rFonts w:ascii="Times New Roman" w:hAnsi="Times New Roman"/>
                      <w:b/>
                      <w:color w:val="auto"/>
                      <w:kern w:val="0"/>
                      <w:szCs w:val="21"/>
                    </w:rPr>
                  </w:pPr>
                  <w:r>
                    <w:rPr>
                      <w:rFonts w:hint="eastAsia" w:ascii="Times New Roman" w:hAnsi="Times New Roman"/>
                      <w:b/>
                      <w:color w:val="auto"/>
                      <w:kern w:val="0"/>
                      <w:szCs w:val="21"/>
                    </w:rPr>
                    <w:t>报告书</w:t>
                  </w:r>
                </w:p>
              </w:tc>
              <w:tc>
                <w:tcPr>
                  <w:tcW w:w="3072" w:type="dxa"/>
                  <w:noWrap w:val="0"/>
                  <w:vAlign w:val="center"/>
                </w:tcPr>
                <w:p w14:paraId="014D9A16">
                  <w:pPr>
                    <w:adjustRightInd w:val="0"/>
                    <w:snapToGrid w:val="0"/>
                    <w:jc w:val="center"/>
                    <w:rPr>
                      <w:rFonts w:ascii="Times New Roman" w:hAnsi="Times New Roman"/>
                      <w:b/>
                      <w:color w:val="auto"/>
                      <w:kern w:val="0"/>
                      <w:szCs w:val="21"/>
                    </w:rPr>
                  </w:pPr>
                  <w:r>
                    <w:rPr>
                      <w:rFonts w:hint="eastAsia" w:ascii="Times New Roman" w:hAnsi="Times New Roman"/>
                      <w:b/>
                      <w:color w:val="auto"/>
                      <w:kern w:val="0"/>
                      <w:szCs w:val="21"/>
                    </w:rPr>
                    <w:t>报告表</w:t>
                  </w:r>
                </w:p>
              </w:tc>
              <w:tc>
                <w:tcPr>
                  <w:tcW w:w="945" w:type="dxa"/>
                  <w:noWrap w:val="0"/>
                  <w:vAlign w:val="center"/>
                </w:tcPr>
                <w:p w14:paraId="60C73F90">
                  <w:pPr>
                    <w:adjustRightInd w:val="0"/>
                    <w:snapToGrid w:val="0"/>
                    <w:jc w:val="center"/>
                    <w:rPr>
                      <w:rFonts w:ascii="Times New Roman" w:hAnsi="Times New Roman"/>
                      <w:b/>
                      <w:color w:val="auto"/>
                      <w:kern w:val="0"/>
                      <w:szCs w:val="21"/>
                    </w:rPr>
                  </w:pPr>
                  <w:r>
                    <w:rPr>
                      <w:rFonts w:hint="eastAsia" w:ascii="Times New Roman" w:hAnsi="Times New Roman"/>
                      <w:b/>
                      <w:color w:val="auto"/>
                      <w:kern w:val="0"/>
                      <w:szCs w:val="21"/>
                    </w:rPr>
                    <w:t>登记表</w:t>
                  </w:r>
                </w:p>
              </w:tc>
            </w:tr>
            <w:tr w14:paraId="7F3A73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58" w:type="dxa"/>
                  <w:gridSpan w:val="5"/>
                  <w:noWrap w:val="0"/>
                  <w:vAlign w:val="center"/>
                </w:tcPr>
                <w:p w14:paraId="2361E41F">
                  <w:pPr>
                    <w:adjustRightInd w:val="0"/>
                    <w:snapToGrid w:val="0"/>
                    <w:rPr>
                      <w:rFonts w:hint="default" w:ascii="Times New Roman" w:hAnsi="Times New Roman" w:eastAsia="宋体"/>
                      <w:b/>
                      <w:color w:val="auto"/>
                      <w:kern w:val="0"/>
                      <w:szCs w:val="21"/>
                      <w:lang w:val="en-US" w:eastAsia="zh-CN"/>
                    </w:rPr>
                  </w:pPr>
                  <w:r>
                    <w:rPr>
                      <w:rFonts w:hint="eastAsia" w:ascii="宋体" w:hAnsi="宋体" w:cs="宋体"/>
                      <w:bCs/>
                      <w:color w:val="auto"/>
                      <w:szCs w:val="21"/>
                    </w:rPr>
                    <w:t>二</w:t>
                  </w:r>
                  <w:r>
                    <w:rPr>
                      <w:color w:val="auto"/>
                      <w:kern w:val="0"/>
                      <w:szCs w:val="21"/>
                      <w:lang w:bidi="ar"/>
                    </w:rPr>
                    <w:t>十</w:t>
                  </w:r>
                  <w:r>
                    <w:rPr>
                      <w:rFonts w:hint="eastAsia"/>
                      <w:color w:val="auto"/>
                      <w:kern w:val="0"/>
                      <w:szCs w:val="21"/>
                      <w:lang w:bidi="ar"/>
                    </w:rPr>
                    <w:t>七</w:t>
                  </w:r>
                  <w:r>
                    <w:rPr>
                      <w:color w:val="auto"/>
                      <w:kern w:val="0"/>
                      <w:szCs w:val="21"/>
                      <w:lang w:bidi="ar"/>
                    </w:rPr>
                    <w:t>、</w:t>
                  </w:r>
                  <w:r>
                    <w:rPr>
                      <w:rFonts w:hint="eastAsia"/>
                      <w:color w:val="auto"/>
                      <w:kern w:val="0"/>
                      <w:szCs w:val="21"/>
                      <w:lang w:bidi="ar"/>
                    </w:rPr>
                    <w:t>非金属矿物制品业</w:t>
                  </w:r>
                  <w:r>
                    <w:rPr>
                      <w:rFonts w:hint="eastAsia"/>
                      <w:color w:val="auto"/>
                      <w:kern w:val="0"/>
                      <w:szCs w:val="21"/>
                      <w:lang w:val="en-US" w:eastAsia="zh-CN" w:bidi="ar"/>
                    </w:rPr>
                    <w:t>30</w:t>
                  </w:r>
                </w:p>
              </w:tc>
            </w:tr>
            <w:tr w14:paraId="390B75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7" w:type="dxa"/>
                  <w:noWrap w:val="0"/>
                  <w:vAlign w:val="center"/>
                </w:tcPr>
                <w:p w14:paraId="235D3E83">
                  <w:pPr>
                    <w:adjustRightInd w:val="0"/>
                    <w:snapToGrid w:val="0"/>
                    <w:jc w:val="center"/>
                    <w:rPr>
                      <w:rFonts w:hint="default" w:ascii="Times New Roman" w:hAnsi="Times New Roman" w:eastAsia="宋体"/>
                      <w:bCs/>
                      <w:color w:val="auto"/>
                      <w:kern w:val="0"/>
                      <w:szCs w:val="21"/>
                      <w:lang w:val="en-US" w:eastAsia="zh-CN"/>
                    </w:rPr>
                  </w:pPr>
                  <w:r>
                    <w:rPr>
                      <w:rFonts w:hint="eastAsia" w:ascii="Times New Roman" w:hAnsi="Times New Roman" w:eastAsia="宋体"/>
                      <w:bCs/>
                      <w:color w:val="auto"/>
                      <w:kern w:val="0"/>
                      <w:szCs w:val="21"/>
                      <w:lang w:val="en-US" w:eastAsia="zh-CN"/>
                    </w:rPr>
                    <w:t>57</w:t>
                  </w:r>
                </w:p>
              </w:tc>
              <w:tc>
                <w:tcPr>
                  <w:tcW w:w="1606" w:type="dxa"/>
                  <w:noWrap w:val="0"/>
                  <w:vAlign w:val="center"/>
                </w:tcPr>
                <w:p w14:paraId="0B36F278">
                  <w:pPr>
                    <w:adjustRightInd w:val="0"/>
                    <w:snapToGrid w:val="0"/>
                    <w:jc w:val="center"/>
                    <w:rPr>
                      <w:rFonts w:hint="default" w:ascii="Times New Roman" w:hAnsi="Times New Roman" w:eastAsia="宋体"/>
                      <w:bCs/>
                      <w:color w:val="auto"/>
                      <w:kern w:val="0"/>
                      <w:szCs w:val="21"/>
                      <w:lang w:val="en-US" w:eastAsia="zh-CN"/>
                    </w:rPr>
                  </w:pPr>
                  <w:r>
                    <w:rPr>
                      <w:rFonts w:hint="eastAsia" w:ascii="Times New Roman" w:hAnsi="Times New Roman"/>
                      <w:bCs/>
                      <w:color w:val="auto"/>
                      <w:kern w:val="0"/>
                      <w:szCs w:val="21"/>
                      <w:lang w:val="en-US" w:eastAsia="zh-CN"/>
                    </w:rPr>
                    <w:t>玻璃制造304；玻璃制品制造305</w:t>
                  </w:r>
                </w:p>
              </w:tc>
              <w:tc>
                <w:tcPr>
                  <w:tcW w:w="1718" w:type="dxa"/>
                  <w:noWrap w:val="0"/>
                  <w:vAlign w:val="center"/>
                </w:tcPr>
                <w:p w14:paraId="0FFDC82A">
                  <w:pPr>
                    <w:adjustRightInd w:val="0"/>
                    <w:snapToGrid w:val="0"/>
                    <w:jc w:val="center"/>
                    <w:rPr>
                      <w:rFonts w:hint="default" w:ascii="Times New Roman" w:hAnsi="Times New Roman" w:eastAsia="宋体"/>
                      <w:bCs/>
                      <w:color w:val="auto"/>
                      <w:kern w:val="0"/>
                      <w:szCs w:val="21"/>
                      <w:lang w:val="en-US" w:eastAsia="zh-CN"/>
                    </w:rPr>
                  </w:pPr>
                  <w:r>
                    <w:rPr>
                      <w:rFonts w:hint="eastAsia" w:ascii="Times New Roman" w:hAnsi="Times New Roman"/>
                      <w:bCs/>
                      <w:color w:val="auto"/>
                      <w:kern w:val="0"/>
                      <w:szCs w:val="21"/>
                      <w:lang w:val="en-US" w:eastAsia="zh-CN"/>
                    </w:rPr>
                    <w:t>平板玻璃制造</w:t>
                  </w:r>
                </w:p>
              </w:tc>
              <w:tc>
                <w:tcPr>
                  <w:tcW w:w="3072" w:type="dxa"/>
                  <w:noWrap w:val="0"/>
                  <w:vAlign w:val="center"/>
                </w:tcPr>
                <w:p w14:paraId="4C3B4966">
                  <w:pPr>
                    <w:adjustRightInd w:val="0"/>
                    <w:snapToGrid w:val="0"/>
                    <w:jc w:val="center"/>
                    <w:rPr>
                      <w:rFonts w:hint="default" w:ascii="Times New Roman" w:hAnsi="Times New Roman" w:eastAsia="宋体"/>
                      <w:bCs/>
                      <w:color w:val="auto"/>
                      <w:kern w:val="0"/>
                      <w:szCs w:val="21"/>
                      <w:lang w:val="en-US" w:eastAsia="zh-CN"/>
                    </w:rPr>
                  </w:pPr>
                  <w:r>
                    <w:rPr>
                      <w:rFonts w:hint="eastAsia" w:ascii="Times New Roman" w:hAnsi="Times New Roman"/>
                      <w:bCs/>
                      <w:color w:val="auto"/>
                      <w:kern w:val="0"/>
                      <w:szCs w:val="21"/>
                      <w:lang w:val="en-US" w:eastAsia="zh-CN"/>
                    </w:rPr>
                    <w:t>特种玻璃制造；其他玻璃制造；玻璃制品制造（电加热的除外；仅切割、打磨、成型的除外）</w:t>
                  </w:r>
                </w:p>
              </w:tc>
              <w:tc>
                <w:tcPr>
                  <w:tcW w:w="945" w:type="dxa"/>
                  <w:noWrap w:val="0"/>
                  <w:vAlign w:val="center"/>
                </w:tcPr>
                <w:p w14:paraId="394B1D47">
                  <w:pPr>
                    <w:adjustRightInd w:val="0"/>
                    <w:snapToGrid w:val="0"/>
                    <w:jc w:val="center"/>
                    <w:rPr>
                      <w:rFonts w:ascii="Times New Roman" w:hAnsi="Times New Roman"/>
                      <w:bCs/>
                      <w:color w:val="auto"/>
                      <w:kern w:val="0"/>
                      <w:szCs w:val="21"/>
                    </w:rPr>
                  </w:pPr>
                  <w:r>
                    <w:rPr>
                      <w:rFonts w:hint="eastAsia" w:ascii="Times New Roman" w:hAnsi="Times New Roman"/>
                      <w:bCs/>
                      <w:color w:val="auto"/>
                      <w:kern w:val="0"/>
                      <w:szCs w:val="21"/>
                    </w:rPr>
                    <w:t>/</w:t>
                  </w:r>
                </w:p>
              </w:tc>
            </w:tr>
          </w:tbl>
          <w:p w14:paraId="3DE439F2">
            <w:pPr>
              <w:keepNext w:val="0"/>
              <w:keepLines w:val="0"/>
              <w:pageBreakBefore w:val="0"/>
              <w:widowControl w:val="0"/>
              <w:numPr>
                <w:ilvl w:val="0"/>
                <w:numId w:val="4"/>
              </w:numPr>
              <w:kinsoku/>
              <w:wordWrap/>
              <w:overflowPunct/>
              <w:topLinePunct w:val="0"/>
              <w:autoSpaceDE/>
              <w:autoSpaceDN/>
              <w:bidi w:val="0"/>
              <w:adjustRightInd w:val="0"/>
              <w:snapToGrid w:val="0"/>
              <w:spacing w:before="157" w:beforeLines="50" w:line="360" w:lineRule="auto"/>
              <w:textAlignment w:val="auto"/>
              <w:rPr>
                <w:rFonts w:hint="eastAsia" w:ascii="宋体" w:hAnsi="宋体" w:cs="宋体"/>
                <w:color w:val="auto"/>
                <w:kern w:val="0"/>
                <w:szCs w:val="21"/>
              </w:rPr>
            </w:pPr>
            <w:r>
              <w:rPr>
                <w:rFonts w:hint="eastAsia" w:ascii="宋体" w:hAnsi="宋体" w:cs="宋体"/>
                <w:b/>
                <w:color w:val="auto"/>
                <w:szCs w:val="21"/>
              </w:rPr>
              <w:t>项目建设内容</w:t>
            </w:r>
          </w:p>
          <w:p w14:paraId="778FCCE8">
            <w:pPr>
              <w:keepNext w:val="0"/>
              <w:keepLines w:val="0"/>
              <w:pageBreakBefore w:val="0"/>
              <w:widowControl w:val="0"/>
              <w:numPr>
                <w:ilvl w:val="0"/>
                <w:numId w:val="0"/>
              </w:numPr>
              <w:kinsoku/>
              <w:wordWrap/>
              <w:overflowPunct/>
              <w:topLinePunct w:val="0"/>
              <w:autoSpaceDE/>
              <w:autoSpaceDN/>
              <w:bidi w:val="0"/>
              <w:snapToGrid w:val="0"/>
              <w:spacing w:line="360" w:lineRule="auto"/>
              <w:textAlignment w:val="auto"/>
              <w:rPr>
                <w:b/>
                <w:bCs/>
                <w:color w:val="auto"/>
              </w:rPr>
            </w:pPr>
            <w:r>
              <w:rPr>
                <w:rFonts w:hint="default" w:ascii="Times New Roman" w:hAnsi="Times New Roman" w:eastAsia="宋体" w:cs="Times New Roman"/>
                <w:b/>
                <w:bCs/>
                <w:color w:val="auto"/>
                <w:kern w:val="2"/>
                <w:sz w:val="21"/>
                <w:szCs w:val="21"/>
                <w:lang w:val="en-US" w:eastAsia="zh-CN" w:bidi="ar-SA"/>
              </w:rPr>
              <w:t>1、</w:t>
            </w:r>
            <w:r>
              <w:rPr>
                <w:rFonts w:hint="eastAsia"/>
                <w:b/>
                <w:bCs/>
                <w:color w:val="auto"/>
              </w:rPr>
              <w:t>项目组成及建设情况</w:t>
            </w:r>
          </w:p>
          <w:p w14:paraId="62B4D1DF">
            <w:pPr>
              <w:pStyle w:val="98"/>
              <w:keepNext w:val="0"/>
              <w:keepLines w:val="0"/>
              <w:pageBreakBefore w:val="0"/>
              <w:widowControl w:val="0"/>
              <w:kinsoku/>
              <w:wordWrap/>
              <w:overflowPunct/>
              <w:topLinePunct w:val="0"/>
              <w:autoSpaceDE/>
              <w:autoSpaceDN/>
              <w:bidi w:val="0"/>
              <w:snapToGrid w:val="0"/>
              <w:ind w:firstLine="420"/>
              <w:textAlignment w:val="auto"/>
              <w:rPr>
                <w:color w:val="auto"/>
                <w:sz w:val="21"/>
                <w:szCs w:val="21"/>
              </w:rPr>
            </w:pPr>
            <w:r>
              <w:rPr>
                <w:rFonts w:hint="eastAsia"/>
                <w:color w:val="auto"/>
                <w:sz w:val="21"/>
                <w:szCs w:val="21"/>
              </w:rPr>
              <w:t>建设项目主体工程、公用及辅助工程见表2-</w:t>
            </w:r>
            <w:r>
              <w:rPr>
                <w:rFonts w:hint="eastAsia"/>
                <w:color w:val="auto"/>
                <w:sz w:val="21"/>
                <w:szCs w:val="21"/>
                <w:lang w:val="en-US" w:eastAsia="zh-CN"/>
              </w:rPr>
              <w:t>2</w:t>
            </w:r>
            <w:r>
              <w:rPr>
                <w:rFonts w:hint="eastAsia"/>
                <w:color w:val="auto"/>
                <w:sz w:val="21"/>
                <w:szCs w:val="21"/>
              </w:rPr>
              <w:t>。</w:t>
            </w:r>
          </w:p>
          <w:p w14:paraId="4875B18E">
            <w:pPr>
              <w:pStyle w:val="98"/>
              <w:keepNext w:val="0"/>
              <w:keepLines w:val="0"/>
              <w:pageBreakBefore w:val="0"/>
              <w:widowControl w:val="0"/>
              <w:kinsoku/>
              <w:wordWrap/>
              <w:overflowPunct/>
              <w:topLinePunct w:val="0"/>
              <w:autoSpaceDE/>
              <w:autoSpaceDN/>
              <w:bidi w:val="0"/>
              <w:snapToGrid w:val="0"/>
              <w:spacing w:before="120" w:beforeLines="50" w:line="240" w:lineRule="auto"/>
              <w:ind w:firstLine="0" w:firstLineChars="0"/>
              <w:jc w:val="center"/>
              <w:textAlignment w:val="auto"/>
              <w:rPr>
                <w:color w:val="auto"/>
                <w:sz w:val="21"/>
                <w:szCs w:val="21"/>
              </w:rPr>
            </w:pPr>
            <w:r>
              <w:rPr>
                <w:rFonts w:hint="eastAsia"/>
                <w:b/>
                <w:bCs/>
                <w:color w:val="auto"/>
                <w:sz w:val="21"/>
                <w:szCs w:val="21"/>
              </w:rPr>
              <w:t>表2-</w:t>
            </w:r>
            <w:r>
              <w:rPr>
                <w:rFonts w:hint="eastAsia"/>
                <w:b/>
                <w:bCs/>
                <w:color w:val="auto"/>
                <w:sz w:val="21"/>
                <w:szCs w:val="21"/>
                <w:lang w:val="en-US" w:eastAsia="zh-CN"/>
              </w:rPr>
              <w:t>2</w:t>
            </w:r>
            <w:r>
              <w:rPr>
                <w:rFonts w:hint="eastAsia"/>
                <w:b/>
                <w:bCs/>
                <w:color w:val="auto"/>
                <w:sz w:val="21"/>
                <w:szCs w:val="21"/>
              </w:rPr>
              <w:t xml:space="preserve"> 扩建项目主体工程、公用及辅助工程一览表</w:t>
            </w:r>
          </w:p>
          <w:tbl>
            <w:tblPr>
              <w:tblStyle w:val="30"/>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07"/>
              <w:gridCol w:w="353"/>
              <w:gridCol w:w="277"/>
              <w:gridCol w:w="934"/>
              <w:gridCol w:w="3888"/>
              <w:gridCol w:w="1984"/>
            </w:tblGrid>
            <w:tr w14:paraId="311C23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7" w:type="dxa"/>
                  <w:vAlign w:val="center"/>
                </w:tcPr>
                <w:p w14:paraId="6629667B">
                  <w:pPr>
                    <w:adjustRightInd w:val="0"/>
                    <w:snapToGrid w:val="0"/>
                    <w:jc w:val="center"/>
                    <w:rPr>
                      <w:b/>
                      <w:color w:val="auto"/>
                      <w:szCs w:val="21"/>
                    </w:rPr>
                  </w:pPr>
                  <w:r>
                    <w:rPr>
                      <w:b/>
                      <w:color w:val="auto"/>
                      <w:szCs w:val="21"/>
                    </w:rPr>
                    <w:t>工程类别</w:t>
                  </w:r>
                </w:p>
              </w:tc>
              <w:tc>
                <w:tcPr>
                  <w:tcW w:w="1564" w:type="dxa"/>
                  <w:gridSpan w:val="3"/>
                  <w:vAlign w:val="center"/>
                </w:tcPr>
                <w:p w14:paraId="5D4D6AFA">
                  <w:pPr>
                    <w:adjustRightInd w:val="0"/>
                    <w:snapToGrid w:val="0"/>
                    <w:jc w:val="center"/>
                    <w:rPr>
                      <w:b/>
                      <w:color w:val="auto"/>
                      <w:szCs w:val="21"/>
                    </w:rPr>
                  </w:pPr>
                  <w:r>
                    <w:rPr>
                      <w:b/>
                      <w:color w:val="auto"/>
                      <w:szCs w:val="21"/>
                    </w:rPr>
                    <w:t>工程内容</w:t>
                  </w:r>
                </w:p>
              </w:tc>
              <w:tc>
                <w:tcPr>
                  <w:tcW w:w="3888" w:type="dxa"/>
                  <w:vAlign w:val="center"/>
                </w:tcPr>
                <w:p w14:paraId="7E0DE10B">
                  <w:pPr>
                    <w:adjustRightInd w:val="0"/>
                    <w:snapToGrid w:val="0"/>
                    <w:jc w:val="center"/>
                    <w:rPr>
                      <w:b/>
                      <w:color w:val="auto"/>
                      <w:szCs w:val="21"/>
                    </w:rPr>
                  </w:pPr>
                  <w:r>
                    <w:rPr>
                      <w:b/>
                      <w:color w:val="auto"/>
                      <w:szCs w:val="21"/>
                    </w:rPr>
                    <w:t>设计能力</w:t>
                  </w:r>
                  <w:r>
                    <w:rPr>
                      <w:rFonts w:hint="eastAsia"/>
                      <w:b/>
                      <w:color w:val="auto"/>
                      <w:szCs w:val="21"/>
                    </w:rPr>
                    <w:t>、建设内容</w:t>
                  </w:r>
                </w:p>
              </w:tc>
              <w:tc>
                <w:tcPr>
                  <w:tcW w:w="1984" w:type="dxa"/>
                  <w:vAlign w:val="center"/>
                </w:tcPr>
                <w:p w14:paraId="757F563C">
                  <w:pPr>
                    <w:adjustRightInd w:val="0"/>
                    <w:snapToGrid w:val="0"/>
                    <w:jc w:val="center"/>
                    <w:rPr>
                      <w:b/>
                      <w:color w:val="auto"/>
                      <w:szCs w:val="21"/>
                    </w:rPr>
                  </w:pPr>
                  <w:r>
                    <w:rPr>
                      <w:b/>
                      <w:color w:val="auto"/>
                      <w:szCs w:val="21"/>
                    </w:rPr>
                    <w:t>备注</w:t>
                  </w:r>
                </w:p>
              </w:tc>
            </w:tr>
            <w:tr w14:paraId="3DC68A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7" w:type="dxa"/>
                  <w:vMerge w:val="restart"/>
                  <w:vAlign w:val="center"/>
                </w:tcPr>
                <w:p w14:paraId="1F9347A7">
                  <w:pPr>
                    <w:adjustRightInd w:val="0"/>
                    <w:snapToGrid w:val="0"/>
                    <w:jc w:val="center"/>
                    <w:rPr>
                      <w:bCs/>
                      <w:color w:val="auto"/>
                      <w:szCs w:val="21"/>
                    </w:rPr>
                  </w:pPr>
                  <w:r>
                    <w:rPr>
                      <w:bCs/>
                      <w:color w:val="auto"/>
                      <w:szCs w:val="21"/>
                    </w:rPr>
                    <w:t>主体工程</w:t>
                  </w:r>
                </w:p>
              </w:tc>
              <w:tc>
                <w:tcPr>
                  <w:tcW w:w="1564" w:type="dxa"/>
                  <w:gridSpan w:val="3"/>
                  <w:vAlign w:val="center"/>
                </w:tcPr>
                <w:p w14:paraId="7030842B">
                  <w:pPr>
                    <w:adjustRightInd w:val="0"/>
                    <w:snapToGrid w:val="0"/>
                    <w:jc w:val="center"/>
                    <w:rPr>
                      <w:rFonts w:hint="default" w:eastAsia="宋体"/>
                      <w:bCs/>
                      <w:color w:val="auto"/>
                      <w:szCs w:val="21"/>
                      <w:lang w:val="en-US" w:eastAsia="zh-CN"/>
                    </w:rPr>
                  </w:pPr>
                  <w:r>
                    <w:rPr>
                      <w:rFonts w:hint="eastAsia"/>
                      <w:bCs/>
                      <w:color w:val="auto"/>
                      <w:szCs w:val="21"/>
                      <w:lang w:val="en-US" w:eastAsia="zh-CN"/>
                    </w:rPr>
                    <w:t>内雕车间</w:t>
                  </w:r>
                </w:p>
              </w:tc>
              <w:tc>
                <w:tcPr>
                  <w:tcW w:w="3888" w:type="dxa"/>
                  <w:vAlign w:val="center"/>
                </w:tcPr>
                <w:p w14:paraId="104B4FCC">
                  <w:pPr>
                    <w:adjustRightInd w:val="0"/>
                    <w:snapToGrid w:val="0"/>
                    <w:jc w:val="center"/>
                    <w:rPr>
                      <w:rFonts w:hint="default" w:eastAsia="宋体"/>
                      <w:bCs/>
                      <w:color w:val="auto"/>
                      <w:szCs w:val="21"/>
                      <w:lang w:val="en-US" w:eastAsia="zh-CN"/>
                    </w:rPr>
                  </w:pPr>
                  <w:r>
                    <w:rPr>
                      <w:rFonts w:hint="eastAsia"/>
                      <w:bCs/>
                      <w:color w:val="auto"/>
                      <w:szCs w:val="21"/>
                      <w:lang w:val="en-US" w:eastAsia="zh-CN"/>
                    </w:rPr>
                    <w:t>1750m</w:t>
                  </w:r>
                  <w:r>
                    <w:rPr>
                      <w:rFonts w:hint="eastAsia"/>
                      <w:bCs/>
                      <w:color w:val="auto"/>
                      <w:szCs w:val="21"/>
                      <w:vertAlign w:val="superscript"/>
                      <w:lang w:val="en-US" w:eastAsia="zh-CN"/>
                    </w:rPr>
                    <w:t>2</w:t>
                  </w:r>
                  <w:r>
                    <w:rPr>
                      <w:rFonts w:hint="eastAsia"/>
                      <w:bCs/>
                      <w:color w:val="auto"/>
                      <w:szCs w:val="21"/>
                      <w:lang w:val="en-US" w:eastAsia="zh-CN"/>
                    </w:rPr>
                    <w:t>，用于本项目玻璃头内雕、清洗</w:t>
                  </w:r>
                </w:p>
              </w:tc>
              <w:tc>
                <w:tcPr>
                  <w:tcW w:w="1984" w:type="dxa"/>
                  <w:vAlign w:val="center"/>
                </w:tcPr>
                <w:p w14:paraId="3441076C">
                  <w:pPr>
                    <w:adjustRightInd w:val="0"/>
                    <w:snapToGrid w:val="0"/>
                    <w:jc w:val="center"/>
                    <w:rPr>
                      <w:rFonts w:hint="default" w:eastAsia="宋体"/>
                      <w:bCs/>
                      <w:color w:val="auto"/>
                      <w:szCs w:val="21"/>
                      <w:lang w:val="en-US" w:eastAsia="zh-CN"/>
                    </w:rPr>
                  </w:pPr>
                  <w:r>
                    <w:rPr>
                      <w:rFonts w:hint="eastAsia"/>
                      <w:bCs/>
                      <w:color w:val="auto"/>
                      <w:szCs w:val="21"/>
                      <w:lang w:val="en-US" w:eastAsia="zh-CN"/>
                    </w:rPr>
                    <w:t>位于7#厂房</w:t>
                  </w:r>
                </w:p>
              </w:tc>
            </w:tr>
            <w:tr w14:paraId="701FCD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7" w:type="dxa"/>
                  <w:vMerge w:val="continue"/>
                  <w:vAlign w:val="center"/>
                </w:tcPr>
                <w:p w14:paraId="04BE5F01">
                  <w:pPr>
                    <w:adjustRightInd w:val="0"/>
                    <w:snapToGrid w:val="0"/>
                    <w:jc w:val="center"/>
                    <w:rPr>
                      <w:bCs/>
                      <w:color w:val="auto"/>
                      <w:szCs w:val="21"/>
                    </w:rPr>
                  </w:pPr>
                </w:p>
              </w:tc>
              <w:tc>
                <w:tcPr>
                  <w:tcW w:w="1564" w:type="dxa"/>
                  <w:gridSpan w:val="3"/>
                  <w:vAlign w:val="center"/>
                </w:tcPr>
                <w:p w14:paraId="164F4EAE">
                  <w:pPr>
                    <w:adjustRightInd w:val="0"/>
                    <w:snapToGrid w:val="0"/>
                    <w:jc w:val="center"/>
                    <w:rPr>
                      <w:rFonts w:hint="default" w:eastAsia="宋体"/>
                      <w:bCs/>
                      <w:color w:val="auto"/>
                      <w:szCs w:val="21"/>
                      <w:lang w:val="en-US" w:eastAsia="zh-CN"/>
                    </w:rPr>
                  </w:pPr>
                  <w:r>
                    <w:rPr>
                      <w:rFonts w:hint="eastAsia"/>
                      <w:bCs/>
                      <w:color w:val="auto"/>
                      <w:szCs w:val="21"/>
                      <w:lang w:val="en-US" w:eastAsia="zh-CN"/>
                    </w:rPr>
                    <w:t>直印车间</w:t>
                  </w:r>
                </w:p>
              </w:tc>
              <w:tc>
                <w:tcPr>
                  <w:tcW w:w="3888" w:type="dxa"/>
                  <w:vAlign w:val="center"/>
                </w:tcPr>
                <w:p w14:paraId="7B8A2E37">
                  <w:pPr>
                    <w:adjustRightInd w:val="0"/>
                    <w:snapToGrid w:val="0"/>
                    <w:jc w:val="center"/>
                    <w:rPr>
                      <w:rFonts w:hint="default" w:eastAsia="宋体"/>
                      <w:bCs/>
                      <w:color w:val="auto"/>
                      <w:szCs w:val="21"/>
                      <w:lang w:val="en-US" w:eastAsia="zh-CN"/>
                    </w:rPr>
                  </w:pPr>
                  <w:r>
                    <w:rPr>
                      <w:rFonts w:hint="eastAsia"/>
                      <w:bCs/>
                      <w:color w:val="auto"/>
                      <w:szCs w:val="21"/>
                      <w:lang w:val="en-US" w:eastAsia="zh-CN"/>
                    </w:rPr>
                    <w:t>80m</w:t>
                  </w:r>
                  <w:r>
                    <w:rPr>
                      <w:rFonts w:hint="eastAsia"/>
                      <w:bCs/>
                      <w:color w:val="auto"/>
                      <w:szCs w:val="21"/>
                      <w:vertAlign w:val="superscript"/>
                      <w:lang w:val="en-US" w:eastAsia="zh-CN"/>
                    </w:rPr>
                    <w:t>2</w:t>
                  </w:r>
                  <w:r>
                    <w:rPr>
                      <w:rFonts w:hint="eastAsia"/>
                      <w:bCs/>
                      <w:color w:val="auto"/>
                      <w:szCs w:val="21"/>
                      <w:lang w:val="en-US" w:eastAsia="zh-CN"/>
                    </w:rPr>
                    <w:t>，用于本项目玻璃瓶直印</w:t>
                  </w:r>
                </w:p>
              </w:tc>
              <w:tc>
                <w:tcPr>
                  <w:tcW w:w="1984" w:type="dxa"/>
                  <w:vAlign w:val="center"/>
                </w:tcPr>
                <w:p w14:paraId="7F1BFF58">
                  <w:pPr>
                    <w:adjustRightInd w:val="0"/>
                    <w:snapToGrid w:val="0"/>
                    <w:jc w:val="center"/>
                    <w:rPr>
                      <w:rFonts w:hint="default" w:eastAsia="宋体"/>
                      <w:bCs/>
                      <w:color w:val="auto"/>
                      <w:szCs w:val="21"/>
                      <w:lang w:val="en-US" w:eastAsia="zh-CN"/>
                    </w:rPr>
                  </w:pPr>
                  <w:r>
                    <w:rPr>
                      <w:rFonts w:hint="eastAsia"/>
                      <w:bCs/>
                      <w:color w:val="auto"/>
                      <w:szCs w:val="21"/>
                      <w:lang w:val="en-US" w:eastAsia="zh-CN"/>
                    </w:rPr>
                    <w:t>分别位于3#、4#厂房</w:t>
                  </w:r>
                </w:p>
              </w:tc>
            </w:tr>
            <w:tr w14:paraId="49600F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7" w:type="dxa"/>
                  <w:vMerge w:val="continue"/>
                  <w:vAlign w:val="center"/>
                </w:tcPr>
                <w:p w14:paraId="0F1A9A90">
                  <w:pPr>
                    <w:adjustRightInd w:val="0"/>
                    <w:snapToGrid w:val="0"/>
                    <w:jc w:val="center"/>
                    <w:rPr>
                      <w:bCs/>
                      <w:color w:val="auto"/>
                      <w:szCs w:val="21"/>
                    </w:rPr>
                  </w:pPr>
                </w:p>
              </w:tc>
              <w:tc>
                <w:tcPr>
                  <w:tcW w:w="1564" w:type="dxa"/>
                  <w:gridSpan w:val="3"/>
                  <w:vAlign w:val="center"/>
                </w:tcPr>
                <w:p w14:paraId="0AA846AE">
                  <w:pPr>
                    <w:adjustRightInd w:val="0"/>
                    <w:snapToGrid w:val="0"/>
                    <w:jc w:val="center"/>
                    <w:rPr>
                      <w:rFonts w:hint="default" w:eastAsia="宋体"/>
                      <w:bCs/>
                      <w:color w:val="auto"/>
                      <w:szCs w:val="21"/>
                      <w:lang w:val="en-US" w:eastAsia="zh-CN"/>
                    </w:rPr>
                  </w:pPr>
                  <w:r>
                    <w:rPr>
                      <w:rFonts w:hint="eastAsia"/>
                      <w:bCs/>
                      <w:color w:val="auto"/>
                      <w:szCs w:val="21"/>
                      <w:lang w:val="en-US" w:eastAsia="zh-CN"/>
                    </w:rPr>
                    <w:t>热转印车间</w:t>
                  </w:r>
                </w:p>
              </w:tc>
              <w:tc>
                <w:tcPr>
                  <w:tcW w:w="3888" w:type="dxa"/>
                  <w:vAlign w:val="center"/>
                </w:tcPr>
                <w:p w14:paraId="74AC35CF">
                  <w:pPr>
                    <w:adjustRightInd w:val="0"/>
                    <w:snapToGrid w:val="0"/>
                    <w:jc w:val="center"/>
                    <w:rPr>
                      <w:bCs/>
                      <w:color w:val="auto"/>
                      <w:szCs w:val="21"/>
                    </w:rPr>
                  </w:pPr>
                  <w:r>
                    <w:rPr>
                      <w:rFonts w:hint="eastAsia"/>
                      <w:bCs/>
                      <w:color w:val="auto"/>
                      <w:szCs w:val="21"/>
                      <w:lang w:val="en-US" w:eastAsia="zh-CN"/>
                    </w:rPr>
                    <w:t>60m</w:t>
                  </w:r>
                  <w:r>
                    <w:rPr>
                      <w:rFonts w:hint="eastAsia"/>
                      <w:bCs/>
                      <w:color w:val="auto"/>
                      <w:szCs w:val="21"/>
                      <w:vertAlign w:val="superscript"/>
                      <w:lang w:val="en-US" w:eastAsia="zh-CN"/>
                    </w:rPr>
                    <w:t>2</w:t>
                  </w:r>
                  <w:r>
                    <w:rPr>
                      <w:rFonts w:hint="eastAsia"/>
                      <w:bCs/>
                      <w:color w:val="auto"/>
                      <w:szCs w:val="21"/>
                      <w:lang w:val="en-US" w:eastAsia="zh-CN"/>
                    </w:rPr>
                    <w:t>，用于本项目玻璃瓶热转印</w:t>
                  </w:r>
                </w:p>
              </w:tc>
              <w:tc>
                <w:tcPr>
                  <w:tcW w:w="1984" w:type="dxa"/>
                  <w:vAlign w:val="center"/>
                </w:tcPr>
                <w:p w14:paraId="0D9933AC">
                  <w:pPr>
                    <w:adjustRightInd w:val="0"/>
                    <w:snapToGrid w:val="0"/>
                    <w:jc w:val="center"/>
                    <w:rPr>
                      <w:rFonts w:hint="default" w:eastAsia="宋体"/>
                      <w:bCs/>
                      <w:color w:val="auto"/>
                      <w:szCs w:val="21"/>
                      <w:lang w:val="en-US" w:eastAsia="zh-CN"/>
                    </w:rPr>
                  </w:pPr>
                  <w:r>
                    <w:rPr>
                      <w:rFonts w:hint="eastAsia"/>
                      <w:bCs/>
                      <w:color w:val="auto"/>
                      <w:szCs w:val="21"/>
                      <w:lang w:val="en-US" w:eastAsia="zh-CN"/>
                    </w:rPr>
                    <w:t>位于5#厂房</w:t>
                  </w:r>
                </w:p>
              </w:tc>
            </w:tr>
            <w:tr w14:paraId="46A434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7" w:type="dxa"/>
                  <w:vAlign w:val="center"/>
                </w:tcPr>
                <w:p w14:paraId="053F55F4">
                  <w:pPr>
                    <w:adjustRightInd w:val="0"/>
                    <w:snapToGrid w:val="0"/>
                    <w:jc w:val="center"/>
                    <w:rPr>
                      <w:bCs/>
                      <w:color w:val="auto"/>
                      <w:szCs w:val="21"/>
                    </w:rPr>
                  </w:pPr>
                  <w:r>
                    <w:rPr>
                      <w:bCs/>
                      <w:color w:val="auto"/>
                      <w:szCs w:val="21"/>
                    </w:rPr>
                    <w:t>辅助工程</w:t>
                  </w:r>
                </w:p>
              </w:tc>
              <w:tc>
                <w:tcPr>
                  <w:tcW w:w="1564" w:type="dxa"/>
                  <w:gridSpan w:val="3"/>
                  <w:vAlign w:val="center"/>
                </w:tcPr>
                <w:p w14:paraId="69D12ACF">
                  <w:pPr>
                    <w:adjustRightInd w:val="0"/>
                    <w:snapToGrid w:val="0"/>
                    <w:jc w:val="center"/>
                    <w:rPr>
                      <w:bCs/>
                      <w:color w:val="auto"/>
                      <w:szCs w:val="21"/>
                    </w:rPr>
                  </w:pPr>
                  <w:r>
                    <w:rPr>
                      <w:rFonts w:hint="eastAsia"/>
                      <w:bCs/>
                      <w:color w:val="auto"/>
                      <w:szCs w:val="21"/>
                    </w:rPr>
                    <w:t>综合楼</w:t>
                  </w:r>
                </w:p>
              </w:tc>
              <w:tc>
                <w:tcPr>
                  <w:tcW w:w="3888" w:type="dxa"/>
                  <w:vAlign w:val="center"/>
                </w:tcPr>
                <w:p w14:paraId="186437BF">
                  <w:pPr>
                    <w:adjustRightInd w:val="0"/>
                    <w:snapToGrid w:val="0"/>
                    <w:jc w:val="center"/>
                    <w:rPr>
                      <w:bCs/>
                      <w:color w:val="auto"/>
                      <w:szCs w:val="21"/>
                    </w:rPr>
                  </w:pPr>
                  <w:r>
                    <w:rPr>
                      <w:rFonts w:hint="eastAsia"/>
                      <w:bCs/>
                      <w:color w:val="auto"/>
                      <w:szCs w:val="21"/>
                    </w:rPr>
                    <w:t>建筑面积5450</w:t>
                  </w:r>
                  <w:r>
                    <w:rPr>
                      <w:bCs/>
                      <w:color w:val="auto"/>
                      <w:szCs w:val="21"/>
                    </w:rPr>
                    <w:t>m</w:t>
                  </w:r>
                  <w:r>
                    <w:rPr>
                      <w:bCs/>
                      <w:color w:val="auto"/>
                      <w:szCs w:val="21"/>
                      <w:vertAlign w:val="superscript"/>
                    </w:rPr>
                    <w:t>2</w:t>
                  </w:r>
                  <w:r>
                    <w:rPr>
                      <w:rFonts w:hint="eastAsia"/>
                      <w:bCs/>
                      <w:color w:val="auto"/>
                      <w:szCs w:val="21"/>
                    </w:rPr>
                    <w:t>，</w:t>
                  </w:r>
                  <w:r>
                    <w:rPr>
                      <w:rFonts w:hint="eastAsia"/>
                      <w:bCs/>
                      <w:color w:val="auto"/>
                    </w:rPr>
                    <w:t>共3层</w:t>
                  </w:r>
                </w:p>
              </w:tc>
              <w:tc>
                <w:tcPr>
                  <w:tcW w:w="1984" w:type="dxa"/>
                  <w:vAlign w:val="center"/>
                </w:tcPr>
                <w:p w14:paraId="57BB471E">
                  <w:pPr>
                    <w:tabs>
                      <w:tab w:val="left" w:pos="735"/>
                    </w:tabs>
                    <w:adjustRightInd w:val="0"/>
                    <w:snapToGrid w:val="0"/>
                    <w:jc w:val="center"/>
                    <w:rPr>
                      <w:bCs/>
                      <w:color w:val="auto"/>
                    </w:rPr>
                  </w:pPr>
                  <w:r>
                    <w:rPr>
                      <w:rFonts w:hint="eastAsia"/>
                      <w:bCs/>
                      <w:color w:val="auto"/>
                      <w:szCs w:val="21"/>
                    </w:rPr>
                    <w:t>已建，</w:t>
                  </w:r>
                  <w:r>
                    <w:rPr>
                      <w:rFonts w:hint="eastAsia"/>
                      <w:bCs/>
                      <w:snapToGrid w:val="0"/>
                      <w:color w:val="auto"/>
                      <w:szCs w:val="21"/>
                    </w:rPr>
                    <w:t>依托现有</w:t>
                  </w:r>
                </w:p>
              </w:tc>
            </w:tr>
            <w:tr w14:paraId="36E6A4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7" w:type="dxa"/>
                  <w:vMerge w:val="restart"/>
                  <w:vAlign w:val="center"/>
                </w:tcPr>
                <w:p w14:paraId="24829E3C">
                  <w:pPr>
                    <w:adjustRightInd w:val="0"/>
                    <w:snapToGrid w:val="0"/>
                    <w:jc w:val="center"/>
                    <w:rPr>
                      <w:bCs/>
                      <w:color w:val="auto"/>
                      <w:szCs w:val="21"/>
                    </w:rPr>
                  </w:pPr>
                  <w:r>
                    <w:rPr>
                      <w:bCs/>
                      <w:color w:val="auto"/>
                      <w:szCs w:val="21"/>
                    </w:rPr>
                    <w:t>储运工程</w:t>
                  </w:r>
                </w:p>
              </w:tc>
              <w:tc>
                <w:tcPr>
                  <w:tcW w:w="1564" w:type="dxa"/>
                  <w:gridSpan w:val="3"/>
                  <w:vAlign w:val="center"/>
                </w:tcPr>
                <w:p w14:paraId="41FD36AB">
                  <w:pPr>
                    <w:adjustRightInd w:val="0"/>
                    <w:snapToGrid w:val="0"/>
                    <w:jc w:val="center"/>
                    <w:rPr>
                      <w:bCs/>
                      <w:color w:val="auto"/>
                      <w:szCs w:val="21"/>
                    </w:rPr>
                  </w:pPr>
                  <w:r>
                    <w:rPr>
                      <w:rFonts w:hint="eastAsia"/>
                      <w:bCs/>
                      <w:color w:val="auto"/>
                      <w:szCs w:val="21"/>
                    </w:rPr>
                    <w:t>原料库</w:t>
                  </w:r>
                </w:p>
              </w:tc>
              <w:tc>
                <w:tcPr>
                  <w:tcW w:w="3888" w:type="dxa"/>
                  <w:vAlign w:val="center"/>
                </w:tcPr>
                <w:p w14:paraId="2A2713EA">
                  <w:pPr>
                    <w:keepNext/>
                    <w:jc w:val="center"/>
                    <w:rPr>
                      <w:bCs/>
                      <w:color w:val="auto"/>
                      <w:szCs w:val="21"/>
                    </w:rPr>
                  </w:pPr>
                  <w:r>
                    <w:rPr>
                      <w:rFonts w:hint="eastAsia"/>
                      <w:bCs/>
                      <w:color w:val="auto"/>
                      <w:szCs w:val="21"/>
                    </w:rPr>
                    <w:t>建筑面积</w:t>
                  </w:r>
                  <w:r>
                    <w:rPr>
                      <w:rFonts w:hint="eastAsia"/>
                      <w:color w:val="auto"/>
                    </w:rPr>
                    <w:t>1080</w:t>
                  </w:r>
                  <w:r>
                    <w:rPr>
                      <w:color w:val="auto"/>
                    </w:rPr>
                    <w:t>m</w:t>
                  </w:r>
                  <w:r>
                    <w:rPr>
                      <w:color w:val="auto"/>
                      <w:vertAlign w:val="superscript"/>
                    </w:rPr>
                    <w:t>2</w:t>
                  </w:r>
                  <w:r>
                    <w:rPr>
                      <w:rFonts w:hint="eastAsia"/>
                      <w:color w:val="auto"/>
                    </w:rPr>
                    <w:t>，储存原辅材料</w:t>
                  </w:r>
                </w:p>
              </w:tc>
              <w:tc>
                <w:tcPr>
                  <w:tcW w:w="1984" w:type="dxa"/>
                  <w:vAlign w:val="center"/>
                </w:tcPr>
                <w:p w14:paraId="3833D106">
                  <w:pPr>
                    <w:tabs>
                      <w:tab w:val="left" w:pos="735"/>
                    </w:tabs>
                    <w:adjustRightInd w:val="0"/>
                    <w:snapToGrid w:val="0"/>
                    <w:jc w:val="center"/>
                    <w:rPr>
                      <w:bCs/>
                      <w:color w:val="auto"/>
                      <w:szCs w:val="21"/>
                    </w:rPr>
                  </w:pPr>
                  <w:r>
                    <w:rPr>
                      <w:rFonts w:hint="eastAsia"/>
                      <w:bCs/>
                      <w:color w:val="auto"/>
                      <w:szCs w:val="21"/>
                    </w:rPr>
                    <w:t>已建，</w:t>
                  </w:r>
                  <w:r>
                    <w:rPr>
                      <w:rFonts w:hint="eastAsia"/>
                      <w:bCs/>
                      <w:snapToGrid w:val="0"/>
                      <w:color w:val="auto"/>
                      <w:szCs w:val="21"/>
                    </w:rPr>
                    <w:t>依托现有</w:t>
                  </w:r>
                </w:p>
              </w:tc>
            </w:tr>
            <w:tr w14:paraId="6B3B94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7" w:type="dxa"/>
                  <w:vMerge w:val="continue"/>
                  <w:vAlign w:val="center"/>
                </w:tcPr>
                <w:p w14:paraId="4951F875">
                  <w:pPr>
                    <w:adjustRightInd w:val="0"/>
                    <w:snapToGrid w:val="0"/>
                    <w:jc w:val="center"/>
                    <w:rPr>
                      <w:bCs/>
                      <w:color w:val="auto"/>
                      <w:szCs w:val="21"/>
                    </w:rPr>
                  </w:pPr>
                </w:p>
              </w:tc>
              <w:tc>
                <w:tcPr>
                  <w:tcW w:w="1564" w:type="dxa"/>
                  <w:gridSpan w:val="3"/>
                  <w:vAlign w:val="center"/>
                </w:tcPr>
                <w:p w14:paraId="68B56A9B">
                  <w:pPr>
                    <w:keepNext/>
                    <w:jc w:val="center"/>
                    <w:rPr>
                      <w:bCs/>
                      <w:color w:val="auto"/>
                      <w:szCs w:val="21"/>
                    </w:rPr>
                  </w:pPr>
                  <w:r>
                    <w:rPr>
                      <w:rFonts w:hint="eastAsia"/>
                      <w:color w:val="auto"/>
                    </w:rPr>
                    <w:t>危化品仓库</w:t>
                  </w:r>
                </w:p>
              </w:tc>
              <w:tc>
                <w:tcPr>
                  <w:tcW w:w="3888" w:type="dxa"/>
                  <w:vAlign w:val="center"/>
                </w:tcPr>
                <w:p w14:paraId="12C7AECD">
                  <w:pPr>
                    <w:keepNext/>
                    <w:jc w:val="center"/>
                    <w:rPr>
                      <w:bCs/>
                      <w:color w:val="auto"/>
                      <w:szCs w:val="21"/>
                    </w:rPr>
                  </w:pPr>
                  <w:r>
                    <w:rPr>
                      <w:rFonts w:hint="eastAsia"/>
                      <w:color w:val="auto"/>
                    </w:rPr>
                    <w:t>200</w:t>
                  </w:r>
                  <w:r>
                    <w:rPr>
                      <w:color w:val="auto"/>
                    </w:rPr>
                    <w:t>m</w:t>
                  </w:r>
                  <w:r>
                    <w:rPr>
                      <w:color w:val="auto"/>
                      <w:vertAlign w:val="superscript"/>
                    </w:rPr>
                    <w:t>2</w:t>
                  </w:r>
                  <w:r>
                    <w:rPr>
                      <w:rFonts w:hint="eastAsia"/>
                      <w:color w:val="auto"/>
                    </w:rPr>
                    <w:t>，用于存储氢氟酸</w:t>
                  </w:r>
                </w:p>
              </w:tc>
              <w:tc>
                <w:tcPr>
                  <w:tcW w:w="1984" w:type="dxa"/>
                  <w:vAlign w:val="center"/>
                </w:tcPr>
                <w:p w14:paraId="1189B6EE">
                  <w:pPr>
                    <w:tabs>
                      <w:tab w:val="left" w:pos="735"/>
                    </w:tabs>
                    <w:adjustRightInd w:val="0"/>
                    <w:snapToGrid w:val="0"/>
                    <w:jc w:val="center"/>
                    <w:rPr>
                      <w:bCs/>
                      <w:color w:val="auto"/>
                      <w:szCs w:val="21"/>
                    </w:rPr>
                  </w:pPr>
                  <w:r>
                    <w:rPr>
                      <w:rFonts w:hint="eastAsia"/>
                      <w:bCs/>
                      <w:color w:val="auto"/>
                      <w:szCs w:val="21"/>
                    </w:rPr>
                    <w:t>已建，</w:t>
                  </w:r>
                  <w:r>
                    <w:rPr>
                      <w:rFonts w:hint="eastAsia"/>
                      <w:bCs/>
                      <w:snapToGrid w:val="0"/>
                      <w:color w:val="auto"/>
                      <w:szCs w:val="21"/>
                    </w:rPr>
                    <w:t>依托现有</w:t>
                  </w:r>
                </w:p>
              </w:tc>
            </w:tr>
            <w:tr w14:paraId="10FEEE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7" w:type="dxa"/>
                  <w:vMerge w:val="continue"/>
                  <w:vAlign w:val="center"/>
                </w:tcPr>
                <w:p w14:paraId="67C5ED0D">
                  <w:pPr>
                    <w:adjustRightInd w:val="0"/>
                    <w:snapToGrid w:val="0"/>
                    <w:jc w:val="center"/>
                    <w:rPr>
                      <w:bCs/>
                      <w:color w:val="auto"/>
                      <w:szCs w:val="21"/>
                    </w:rPr>
                  </w:pPr>
                </w:p>
              </w:tc>
              <w:tc>
                <w:tcPr>
                  <w:tcW w:w="1564" w:type="dxa"/>
                  <w:gridSpan w:val="3"/>
                  <w:vAlign w:val="center"/>
                </w:tcPr>
                <w:p w14:paraId="2F23F632">
                  <w:pPr>
                    <w:adjustRightInd w:val="0"/>
                    <w:snapToGrid w:val="0"/>
                    <w:jc w:val="center"/>
                    <w:rPr>
                      <w:bCs/>
                      <w:color w:val="auto"/>
                      <w:szCs w:val="21"/>
                    </w:rPr>
                  </w:pPr>
                  <w:r>
                    <w:rPr>
                      <w:bCs/>
                      <w:color w:val="auto"/>
                      <w:szCs w:val="21"/>
                    </w:rPr>
                    <w:t>运输</w:t>
                  </w:r>
                </w:p>
              </w:tc>
              <w:tc>
                <w:tcPr>
                  <w:tcW w:w="5872" w:type="dxa"/>
                  <w:gridSpan w:val="2"/>
                  <w:vAlign w:val="center"/>
                </w:tcPr>
                <w:p w14:paraId="11A8BA47">
                  <w:pPr>
                    <w:adjustRightInd w:val="0"/>
                    <w:snapToGrid w:val="0"/>
                    <w:jc w:val="center"/>
                    <w:rPr>
                      <w:bCs/>
                      <w:color w:val="auto"/>
                      <w:szCs w:val="21"/>
                    </w:rPr>
                  </w:pPr>
                  <w:r>
                    <w:rPr>
                      <w:bCs/>
                      <w:snapToGrid w:val="0"/>
                      <w:color w:val="auto"/>
                      <w:szCs w:val="21"/>
                    </w:rPr>
                    <w:t>汽车运输</w:t>
                  </w:r>
                </w:p>
              </w:tc>
            </w:tr>
            <w:tr w14:paraId="3B5167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7" w:type="dxa"/>
                  <w:vMerge w:val="restart"/>
                  <w:vAlign w:val="center"/>
                </w:tcPr>
                <w:p w14:paraId="1F16C46E">
                  <w:pPr>
                    <w:adjustRightInd w:val="0"/>
                    <w:snapToGrid w:val="0"/>
                    <w:jc w:val="center"/>
                    <w:rPr>
                      <w:bCs/>
                      <w:color w:val="auto"/>
                      <w:szCs w:val="21"/>
                    </w:rPr>
                  </w:pPr>
                  <w:r>
                    <w:rPr>
                      <w:bCs/>
                      <w:color w:val="auto"/>
                      <w:szCs w:val="21"/>
                    </w:rPr>
                    <w:t>公用工程</w:t>
                  </w:r>
                </w:p>
              </w:tc>
              <w:tc>
                <w:tcPr>
                  <w:tcW w:w="1564" w:type="dxa"/>
                  <w:gridSpan w:val="3"/>
                  <w:vAlign w:val="center"/>
                </w:tcPr>
                <w:p w14:paraId="477A6D2D">
                  <w:pPr>
                    <w:adjustRightInd w:val="0"/>
                    <w:snapToGrid w:val="0"/>
                    <w:jc w:val="center"/>
                    <w:rPr>
                      <w:bCs/>
                      <w:color w:val="auto"/>
                      <w:szCs w:val="21"/>
                    </w:rPr>
                  </w:pPr>
                  <w:r>
                    <w:rPr>
                      <w:rFonts w:hint="eastAsia"/>
                      <w:bCs/>
                      <w:color w:val="auto"/>
                      <w:szCs w:val="21"/>
                    </w:rPr>
                    <w:t>给水</w:t>
                  </w:r>
                </w:p>
              </w:tc>
              <w:tc>
                <w:tcPr>
                  <w:tcW w:w="3888" w:type="dxa"/>
                  <w:vAlign w:val="center"/>
                </w:tcPr>
                <w:p w14:paraId="3EBB408C">
                  <w:pPr>
                    <w:adjustRightInd w:val="0"/>
                    <w:snapToGrid w:val="0"/>
                    <w:jc w:val="center"/>
                    <w:rPr>
                      <w:bCs/>
                      <w:color w:val="auto"/>
                      <w:szCs w:val="21"/>
                    </w:rPr>
                  </w:pPr>
                  <w:r>
                    <w:rPr>
                      <w:rFonts w:hint="eastAsia"/>
                      <w:bCs/>
                      <w:color w:val="auto"/>
                      <w:szCs w:val="21"/>
                      <w:lang w:val="en-US" w:eastAsia="zh-CN"/>
                    </w:rPr>
                    <w:t>2720</w:t>
                  </w:r>
                  <w:r>
                    <w:rPr>
                      <w:bCs/>
                      <w:color w:val="auto"/>
                      <w:szCs w:val="21"/>
                    </w:rPr>
                    <w:t>m</w:t>
                  </w:r>
                  <w:r>
                    <w:rPr>
                      <w:bCs/>
                      <w:color w:val="auto"/>
                      <w:szCs w:val="21"/>
                      <w:vertAlign w:val="superscript"/>
                    </w:rPr>
                    <w:t>3</w:t>
                  </w:r>
                  <w:r>
                    <w:rPr>
                      <w:bCs/>
                      <w:color w:val="auto"/>
                      <w:szCs w:val="21"/>
                    </w:rPr>
                    <w:t>/a</w:t>
                  </w:r>
                </w:p>
              </w:tc>
              <w:tc>
                <w:tcPr>
                  <w:tcW w:w="1984" w:type="dxa"/>
                  <w:vAlign w:val="center"/>
                </w:tcPr>
                <w:p w14:paraId="30A81599">
                  <w:pPr>
                    <w:jc w:val="center"/>
                    <w:rPr>
                      <w:bCs/>
                      <w:color w:val="auto"/>
                      <w:szCs w:val="21"/>
                    </w:rPr>
                  </w:pPr>
                  <w:r>
                    <w:rPr>
                      <w:bCs/>
                      <w:color w:val="auto"/>
                    </w:rPr>
                    <w:t>来自当地自来水管网</w:t>
                  </w:r>
                </w:p>
              </w:tc>
            </w:tr>
            <w:tr w14:paraId="27067F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7" w:type="dxa"/>
                  <w:vMerge w:val="continue"/>
                  <w:vAlign w:val="center"/>
                </w:tcPr>
                <w:p w14:paraId="3CEEEB1B">
                  <w:pPr>
                    <w:adjustRightInd w:val="0"/>
                    <w:snapToGrid w:val="0"/>
                    <w:jc w:val="center"/>
                    <w:rPr>
                      <w:bCs/>
                      <w:color w:val="auto"/>
                      <w:szCs w:val="21"/>
                    </w:rPr>
                  </w:pPr>
                </w:p>
              </w:tc>
              <w:tc>
                <w:tcPr>
                  <w:tcW w:w="1564" w:type="dxa"/>
                  <w:gridSpan w:val="3"/>
                  <w:vAlign w:val="center"/>
                </w:tcPr>
                <w:p w14:paraId="34BE3D88">
                  <w:pPr>
                    <w:adjustRightInd w:val="0"/>
                    <w:snapToGrid w:val="0"/>
                    <w:jc w:val="center"/>
                    <w:rPr>
                      <w:bCs/>
                      <w:color w:val="auto"/>
                      <w:szCs w:val="21"/>
                    </w:rPr>
                  </w:pPr>
                  <w:r>
                    <w:rPr>
                      <w:bCs/>
                      <w:color w:val="auto"/>
                      <w:szCs w:val="21"/>
                    </w:rPr>
                    <w:t>排水</w:t>
                  </w:r>
                </w:p>
              </w:tc>
              <w:tc>
                <w:tcPr>
                  <w:tcW w:w="3888" w:type="dxa"/>
                  <w:vAlign w:val="center"/>
                </w:tcPr>
                <w:p w14:paraId="014B5244">
                  <w:pPr>
                    <w:adjustRightInd w:val="0"/>
                    <w:snapToGrid w:val="0"/>
                    <w:jc w:val="center"/>
                    <w:rPr>
                      <w:bCs/>
                      <w:color w:val="auto"/>
                      <w:szCs w:val="21"/>
                    </w:rPr>
                  </w:pPr>
                  <w:r>
                    <w:rPr>
                      <w:rFonts w:hint="eastAsia"/>
                      <w:bCs/>
                      <w:color w:val="auto"/>
                      <w:szCs w:val="21"/>
                      <w:lang w:val="en-US" w:eastAsia="zh-CN"/>
                    </w:rPr>
                    <w:t>2376</w:t>
                  </w:r>
                  <w:r>
                    <w:rPr>
                      <w:bCs/>
                      <w:color w:val="auto"/>
                      <w:szCs w:val="21"/>
                    </w:rPr>
                    <w:t>m</w:t>
                  </w:r>
                  <w:r>
                    <w:rPr>
                      <w:bCs/>
                      <w:color w:val="auto"/>
                      <w:szCs w:val="21"/>
                      <w:vertAlign w:val="superscript"/>
                    </w:rPr>
                    <w:t>3</w:t>
                  </w:r>
                  <w:r>
                    <w:rPr>
                      <w:bCs/>
                      <w:color w:val="auto"/>
                      <w:szCs w:val="21"/>
                    </w:rPr>
                    <w:t>/a</w:t>
                  </w:r>
                </w:p>
              </w:tc>
              <w:tc>
                <w:tcPr>
                  <w:tcW w:w="1984" w:type="dxa"/>
                  <w:vAlign w:val="center"/>
                </w:tcPr>
                <w:p w14:paraId="419FB599">
                  <w:pPr>
                    <w:adjustRightInd w:val="0"/>
                    <w:snapToGrid w:val="0"/>
                    <w:jc w:val="center"/>
                    <w:rPr>
                      <w:bCs/>
                      <w:color w:val="auto"/>
                      <w:szCs w:val="21"/>
                    </w:rPr>
                  </w:pPr>
                  <w:r>
                    <w:rPr>
                      <w:color w:val="auto"/>
                    </w:rPr>
                    <w:t>清污分流，雨污分流</w:t>
                  </w:r>
                </w:p>
              </w:tc>
            </w:tr>
            <w:tr w14:paraId="06FD71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7" w:type="dxa"/>
                  <w:vMerge w:val="continue"/>
                  <w:vAlign w:val="center"/>
                </w:tcPr>
                <w:p w14:paraId="3F5943A2">
                  <w:pPr>
                    <w:adjustRightInd w:val="0"/>
                    <w:snapToGrid w:val="0"/>
                    <w:jc w:val="center"/>
                    <w:rPr>
                      <w:bCs/>
                      <w:color w:val="auto"/>
                      <w:szCs w:val="21"/>
                    </w:rPr>
                  </w:pPr>
                </w:p>
              </w:tc>
              <w:tc>
                <w:tcPr>
                  <w:tcW w:w="1564" w:type="dxa"/>
                  <w:gridSpan w:val="3"/>
                  <w:vAlign w:val="center"/>
                </w:tcPr>
                <w:p w14:paraId="5E8462C9">
                  <w:pPr>
                    <w:adjustRightInd w:val="0"/>
                    <w:snapToGrid w:val="0"/>
                    <w:jc w:val="center"/>
                    <w:rPr>
                      <w:bCs/>
                      <w:color w:val="auto"/>
                      <w:szCs w:val="21"/>
                    </w:rPr>
                  </w:pPr>
                  <w:r>
                    <w:rPr>
                      <w:bCs/>
                      <w:color w:val="auto"/>
                      <w:szCs w:val="21"/>
                    </w:rPr>
                    <w:t>供电</w:t>
                  </w:r>
                </w:p>
              </w:tc>
              <w:tc>
                <w:tcPr>
                  <w:tcW w:w="3888" w:type="dxa"/>
                  <w:vAlign w:val="center"/>
                </w:tcPr>
                <w:p w14:paraId="17CE970F">
                  <w:pPr>
                    <w:adjustRightInd w:val="0"/>
                    <w:snapToGrid w:val="0"/>
                    <w:jc w:val="center"/>
                    <w:rPr>
                      <w:bCs/>
                      <w:color w:val="auto"/>
                    </w:rPr>
                  </w:pPr>
                  <w:r>
                    <w:rPr>
                      <w:rFonts w:hint="eastAsia"/>
                      <w:bCs/>
                      <w:color w:val="auto"/>
                      <w:lang w:val="en-US" w:eastAsia="zh-CN"/>
                    </w:rPr>
                    <w:t>32.85</w:t>
                  </w:r>
                  <w:r>
                    <w:rPr>
                      <w:bCs/>
                      <w:color w:val="auto"/>
                    </w:rPr>
                    <w:t>万kwh/a</w:t>
                  </w:r>
                </w:p>
              </w:tc>
              <w:tc>
                <w:tcPr>
                  <w:tcW w:w="1984" w:type="dxa"/>
                  <w:vAlign w:val="center"/>
                </w:tcPr>
                <w:p w14:paraId="6B85CC59">
                  <w:pPr>
                    <w:adjustRightInd w:val="0"/>
                    <w:snapToGrid w:val="0"/>
                    <w:jc w:val="center"/>
                    <w:rPr>
                      <w:bCs/>
                      <w:color w:val="auto"/>
                      <w:szCs w:val="21"/>
                    </w:rPr>
                  </w:pPr>
                  <w:r>
                    <w:rPr>
                      <w:bCs/>
                      <w:color w:val="auto"/>
                      <w:szCs w:val="21"/>
                    </w:rPr>
                    <w:t>市政电网供电</w:t>
                  </w:r>
                </w:p>
              </w:tc>
            </w:tr>
            <w:tr w14:paraId="38CC24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7" w:type="dxa"/>
                  <w:vMerge w:val="restart"/>
                  <w:vAlign w:val="center"/>
                </w:tcPr>
                <w:p w14:paraId="43F78554">
                  <w:pPr>
                    <w:adjustRightInd w:val="0"/>
                    <w:snapToGrid w:val="0"/>
                    <w:jc w:val="center"/>
                    <w:rPr>
                      <w:bCs/>
                      <w:color w:val="auto"/>
                      <w:szCs w:val="21"/>
                    </w:rPr>
                  </w:pPr>
                  <w:r>
                    <w:rPr>
                      <w:bCs/>
                      <w:color w:val="auto"/>
                      <w:szCs w:val="21"/>
                    </w:rPr>
                    <w:t>环保工程</w:t>
                  </w:r>
                </w:p>
              </w:tc>
              <w:tc>
                <w:tcPr>
                  <w:tcW w:w="630" w:type="dxa"/>
                  <w:gridSpan w:val="2"/>
                  <w:vMerge w:val="restart"/>
                  <w:vAlign w:val="center"/>
                </w:tcPr>
                <w:p w14:paraId="09C2B4D8">
                  <w:pPr>
                    <w:adjustRightInd w:val="0"/>
                    <w:snapToGrid w:val="0"/>
                    <w:jc w:val="center"/>
                    <w:rPr>
                      <w:bCs/>
                      <w:color w:val="auto"/>
                      <w:szCs w:val="21"/>
                    </w:rPr>
                  </w:pPr>
                  <w:r>
                    <w:rPr>
                      <w:rFonts w:hint="eastAsia"/>
                      <w:bCs/>
                      <w:color w:val="auto"/>
                      <w:szCs w:val="21"/>
                    </w:rPr>
                    <w:t>废气</w:t>
                  </w:r>
                </w:p>
              </w:tc>
              <w:tc>
                <w:tcPr>
                  <w:tcW w:w="934" w:type="dxa"/>
                  <w:shd w:val="clear" w:color="auto" w:fill="auto"/>
                  <w:vAlign w:val="center"/>
                </w:tcPr>
                <w:p w14:paraId="0DA08755">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bCs/>
                      <w:color w:val="auto"/>
                      <w:szCs w:val="21"/>
                      <w:lang w:val="en-US" w:eastAsia="zh-CN"/>
                    </w:rPr>
                    <w:t>DA002</w:t>
                  </w:r>
                </w:p>
              </w:tc>
              <w:tc>
                <w:tcPr>
                  <w:tcW w:w="3888" w:type="dxa"/>
                  <w:shd w:val="clear" w:color="auto" w:fill="auto"/>
                  <w:vAlign w:val="center"/>
                </w:tcPr>
                <w:p w14:paraId="2942C884">
                  <w:pPr>
                    <w:pStyle w:val="112"/>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rPr>
                    <w:t>水喷淋+二级干式过滤+活性炭吸附脱附+催化燃烧</w:t>
                  </w:r>
                </w:p>
              </w:tc>
              <w:tc>
                <w:tcPr>
                  <w:tcW w:w="1984" w:type="dxa"/>
                  <w:shd w:val="clear" w:color="auto" w:fill="auto"/>
                  <w:vAlign w:val="center"/>
                </w:tcPr>
                <w:p w14:paraId="0213485F">
                  <w:pPr>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Cs w:val="21"/>
                      <w:lang w:val="en-US" w:eastAsia="zh-CN"/>
                    </w:rPr>
                    <w:t>依托现有</w:t>
                  </w:r>
                </w:p>
              </w:tc>
            </w:tr>
            <w:tr w14:paraId="2DB42E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7" w:type="dxa"/>
                  <w:vMerge w:val="continue"/>
                  <w:vAlign w:val="center"/>
                </w:tcPr>
                <w:p w14:paraId="5DFFE147">
                  <w:pPr>
                    <w:adjustRightInd w:val="0"/>
                    <w:snapToGrid w:val="0"/>
                    <w:jc w:val="center"/>
                    <w:rPr>
                      <w:bCs/>
                      <w:color w:val="auto"/>
                      <w:szCs w:val="21"/>
                    </w:rPr>
                  </w:pPr>
                </w:p>
              </w:tc>
              <w:tc>
                <w:tcPr>
                  <w:tcW w:w="630" w:type="dxa"/>
                  <w:gridSpan w:val="2"/>
                  <w:vMerge w:val="continue"/>
                  <w:vAlign w:val="center"/>
                </w:tcPr>
                <w:p w14:paraId="00FE078F">
                  <w:pPr>
                    <w:adjustRightInd w:val="0"/>
                    <w:snapToGrid w:val="0"/>
                    <w:jc w:val="center"/>
                    <w:rPr>
                      <w:rFonts w:hint="eastAsia"/>
                      <w:bCs/>
                      <w:color w:val="auto"/>
                      <w:szCs w:val="21"/>
                    </w:rPr>
                  </w:pPr>
                </w:p>
              </w:tc>
              <w:tc>
                <w:tcPr>
                  <w:tcW w:w="934" w:type="dxa"/>
                  <w:shd w:val="clear" w:color="auto" w:fill="auto"/>
                  <w:vAlign w:val="center"/>
                </w:tcPr>
                <w:p w14:paraId="0B6ACBD2">
                  <w:pPr>
                    <w:adjustRightInd w:val="0"/>
                    <w:snapToGrid w:val="0"/>
                    <w:jc w:val="center"/>
                    <w:rPr>
                      <w:rFonts w:hint="default"/>
                      <w:bCs/>
                      <w:color w:val="auto"/>
                      <w:szCs w:val="21"/>
                      <w:lang w:val="en-US" w:eastAsia="zh-CN"/>
                    </w:rPr>
                  </w:pPr>
                  <w:r>
                    <w:rPr>
                      <w:rFonts w:hint="eastAsia"/>
                      <w:bCs/>
                      <w:color w:val="auto"/>
                      <w:szCs w:val="21"/>
                      <w:lang w:val="en-US" w:eastAsia="zh-CN"/>
                    </w:rPr>
                    <w:t>DA005</w:t>
                  </w:r>
                </w:p>
              </w:tc>
              <w:tc>
                <w:tcPr>
                  <w:tcW w:w="3888" w:type="dxa"/>
                  <w:shd w:val="clear" w:color="auto" w:fill="auto"/>
                  <w:vAlign w:val="center"/>
                </w:tcPr>
                <w:p w14:paraId="7A3BFCC6">
                  <w:pPr>
                    <w:pStyle w:val="112"/>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lang w:val="en-US" w:eastAsia="zh-CN"/>
                    </w:rPr>
                    <w:t>二级</w:t>
                  </w:r>
                  <w:r>
                    <w:rPr>
                      <w:rFonts w:hint="default" w:ascii="Times New Roman" w:hAnsi="Times New Roman" w:cs="Times New Roman"/>
                    </w:rPr>
                    <w:t>活性炭吸附</w:t>
                  </w:r>
                </w:p>
              </w:tc>
              <w:tc>
                <w:tcPr>
                  <w:tcW w:w="1984" w:type="dxa"/>
                  <w:shd w:val="clear" w:color="auto" w:fill="auto"/>
                  <w:vAlign w:val="center"/>
                </w:tcPr>
                <w:p w14:paraId="31B15D20">
                  <w:pPr>
                    <w:jc w:val="center"/>
                    <w:rPr>
                      <w:rFonts w:hint="default" w:ascii="宋体" w:hAnsi="宋体" w:cs="宋体"/>
                      <w:color w:val="auto"/>
                      <w:szCs w:val="21"/>
                      <w:lang w:val="en-US" w:eastAsia="zh-CN"/>
                    </w:rPr>
                  </w:pPr>
                  <w:r>
                    <w:rPr>
                      <w:rFonts w:hint="eastAsia" w:ascii="宋体" w:hAnsi="宋体" w:cs="宋体"/>
                      <w:color w:val="auto"/>
                      <w:szCs w:val="21"/>
                      <w:lang w:val="en-US" w:eastAsia="zh-CN"/>
                    </w:rPr>
                    <w:t>新建</w:t>
                  </w:r>
                </w:p>
              </w:tc>
            </w:tr>
            <w:tr w14:paraId="3CF3E4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7" w:type="dxa"/>
                  <w:vMerge w:val="continue"/>
                  <w:vAlign w:val="center"/>
                </w:tcPr>
                <w:p w14:paraId="14D178EB">
                  <w:pPr>
                    <w:adjustRightInd w:val="0"/>
                    <w:snapToGrid w:val="0"/>
                    <w:jc w:val="center"/>
                    <w:rPr>
                      <w:bCs/>
                      <w:color w:val="auto"/>
                      <w:szCs w:val="21"/>
                    </w:rPr>
                  </w:pPr>
                </w:p>
              </w:tc>
              <w:tc>
                <w:tcPr>
                  <w:tcW w:w="630" w:type="dxa"/>
                  <w:gridSpan w:val="2"/>
                  <w:vMerge w:val="restart"/>
                  <w:vAlign w:val="center"/>
                </w:tcPr>
                <w:p w14:paraId="0E1D0461">
                  <w:pPr>
                    <w:adjustRightInd w:val="0"/>
                    <w:snapToGrid w:val="0"/>
                    <w:jc w:val="center"/>
                    <w:rPr>
                      <w:bCs/>
                      <w:color w:val="auto"/>
                      <w:szCs w:val="21"/>
                    </w:rPr>
                  </w:pPr>
                  <w:r>
                    <w:rPr>
                      <w:bCs/>
                      <w:color w:val="auto"/>
                      <w:szCs w:val="21"/>
                    </w:rPr>
                    <w:t>废水</w:t>
                  </w:r>
                </w:p>
              </w:tc>
              <w:tc>
                <w:tcPr>
                  <w:tcW w:w="934" w:type="dxa"/>
                  <w:vAlign w:val="center"/>
                </w:tcPr>
                <w:p w14:paraId="0A3DA999">
                  <w:pPr>
                    <w:adjustRightInd w:val="0"/>
                    <w:snapToGrid w:val="0"/>
                    <w:jc w:val="center"/>
                    <w:rPr>
                      <w:bCs/>
                      <w:color w:val="auto"/>
                      <w:szCs w:val="21"/>
                    </w:rPr>
                  </w:pPr>
                  <w:r>
                    <w:rPr>
                      <w:rFonts w:hint="eastAsia" w:ascii="宋体" w:hAnsi="宋体" w:cs="宋体"/>
                      <w:color w:val="auto"/>
                      <w:szCs w:val="21"/>
                    </w:rPr>
                    <w:t>生活污水</w:t>
                  </w:r>
                </w:p>
              </w:tc>
              <w:tc>
                <w:tcPr>
                  <w:tcW w:w="3888" w:type="dxa"/>
                  <w:vAlign w:val="center"/>
                </w:tcPr>
                <w:p w14:paraId="7AA01A6F">
                  <w:pPr>
                    <w:adjustRightInd w:val="0"/>
                    <w:snapToGrid w:val="0"/>
                    <w:jc w:val="center"/>
                    <w:rPr>
                      <w:rFonts w:hint="default" w:ascii="宋体" w:hAnsi="宋体" w:eastAsia="宋体" w:cs="宋体"/>
                      <w:color w:val="auto"/>
                      <w:szCs w:val="21"/>
                      <w:lang w:val="en-US" w:eastAsia="zh-CN"/>
                    </w:rPr>
                  </w:pPr>
                  <w:r>
                    <w:rPr>
                      <w:rFonts w:hint="eastAsia" w:ascii="宋体" w:hAnsi="宋体" w:cs="宋体"/>
                      <w:color w:val="auto"/>
                      <w:szCs w:val="21"/>
                    </w:rPr>
                    <w:t>化粪池</w:t>
                  </w:r>
                  <w:r>
                    <w:rPr>
                      <w:rFonts w:hint="eastAsia" w:ascii="宋体" w:hAnsi="宋体" w:cs="宋体"/>
                      <w:color w:val="auto"/>
                      <w:szCs w:val="21"/>
                      <w:lang w:eastAsia="zh-CN"/>
                    </w:rPr>
                    <w:t>，</w:t>
                  </w:r>
                  <w:r>
                    <w:rPr>
                      <w:rFonts w:hint="eastAsia" w:ascii="宋体" w:hAnsi="宋体" w:cs="宋体"/>
                      <w:color w:val="auto"/>
                      <w:szCs w:val="21"/>
                      <w:lang w:val="en-US" w:eastAsia="zh-CN"/>
                    </w:rPr>
                    <w:t>依托现有</w:t>
                  </w:r>
                </w:p>
              </w:tc>
              <w:tc>
                <w:tcPr>
                  <w:tcW w:w="1984" w:type="dxa"/>
                  <w:vMerge w:val="restart"/>
                  <w:vAlign w:val="center"/>
                </w:tcPr>
                <w:p w14:paraId="6B231BF1">
                  <w:pPr>
                    <w:jc w:val="center"/>
                    <w:rPr>
                      <w:rFonts w:hint="eastAsia" w:ascii="宋体" w:hAnsi="宋体" w:cs="宋体"/>
                      <w:bCs/>
                      <w:color w:val="auto"/>
                      <w:szCs w:val="21"/>
                    </w:rPr>
                  </w:pPr>
                  <w:r>
                    <w:rPr>
                      <w:rFonts w:hint="eastAsia"/>
                      <w:color w:val="auto"/>
                    </w:rPr>
                    <w:t>厂区生活污水经化粪池处理后与经污水处理站处理的生产废水由市政管网进入城东污水处理厂二期处理。</w:t>
                  </w:r>
                </w:p>
              </w:tc>
            </w:tr>
            <w:tr w14:paraId="25DEC8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7" w:type="dxa"/>
                  <w:vMerge w:val="continue"/>
                  <w:vAlign w:val="center"/>
                </w:tcPr>
                <w:p w14:paraId="738108DC">
                  <w:pPr>
                    <w:adjustRightInd w:val="0"/>
                    <w:snapToGrid w:val="0"/>
                    <w:jc w:val="center"/>
                    <w:rPr>
                      <w:color w:val="auto"/>
                    </w:rPr>
                  </w:pPr>
                </w:p>
              </w:tc>
              <w:tc>
                <w:tcPr>
                  <w:tcW w:w="630" w:type="dxa"/>
                  <w:gridSpan w:val="2"/>
                  <w:vMerge w:val="continue"/>
                  <w:vAlign w:val="center"/>
                </w:tcPr>
                <w:p w14:paraId="383DD1F7">
                  <w:pPr>
                    <w:adjustRightInd w:val="0"/>
                    <w:snapToGrid w:val="0"/>
                    <w:jc w:val="center"/>
                    <w:rPr>
                      <w:color w:val="auto"/>
                    </w:rPr>
                  </w:pPr>
                </w:p>
              </w:tc>
              <w:tc>
                <w:tcPr>
                  <w:tcW w:w="934" w:type="dxa"/>
                  <w:vAlign w:val="center"/>
                </w:tcPr>
                <w:p w14:paraId="36ACB5E4">
                  <w:pPr>
                    <w:adjustRightInd w:val="0"/>
                    <w:snapToGrid w:val="0"/>
                    <w:jc w:val="center"/>
                    <w:rPr>
                      <w:color w:val="auto"/>
                    </w:rPr>
                  </w:pPr>
                  <w:r>
                    <w:rPr>
                      <w:rFonts w:hint="eastAsia"/>
                      <w:bCs/>
                      <w:color w:val="auto"/>
                    </w:rPr>
                    <w:t>清洗废水</w:t>
                  </w:r>
                </w:p>
              </w:tc>
              <w:tc>
                <w:tcPr>
                  <w:tcW w:w="3888" w:type="dxa"/>
                  <w:vAlign w:val="center"/>
                </w:tcPr>
                <w:p w14:paraId="1ACAB868">
                  <w:pPr>
                    <w:adjustRightInd w:val="0"/>
                    <w:snapToGrid w:val="0"/>
                    <w:jc w:val="center"/>
                    <w:rPr>
                      <w:color w:val="auto"/>
                    </w:rPr>
                  </w:pPr>
                  <w:r>
                    <w:rPr>
                      <w:rFonts w:hint="eastAsia"/>
                      <w:bCs/>
                      <w:color w:val="auto"/>
                    </w:rPr>
                    <w:t>清洗废水</w:t>
                  </w:r>
                  <w:r>
                    <w:rPr>
                      <w:rFonts w:hint="eastAsia"/>
                      <w:bCs/>
                      <w:color w:val="auto"/>
                      <w:szCs w:val="21"/>
                    </w:rPr>
                    <w:t>污水处理装置一套（</w:t>
                  </w:r>
                  <w:r>
                    <w:rPr>
                      <w:rFonts w:hint="eastAsia" w:cs="Times New Roman"/>
                      <w:color w:val="auto"/>
                      <w:sz w:val="21"/>
                      <w:szCs w:val="21"/>
                      <w:lang w:val="en-US" w:eastAsia="zh-CN"/>
                    </w:rPr>
                    <w:t>调节+中和</w:t>
                  </w:r>
                  <w:r>
                    <w:rPr>
                      <w:rFonts w:hint="default" w:ascii="Times New Roman" w:hAnsi="Times New Roman" w:eastAsia="宋体" w:cs="Times New Roman"/>
                      <w:bCs/>
                      <w:color w:val="auto"/>
                      <w:kern w:val="0"/>
                      <w:szCs w:val="21"/>
                    </w:rPr>
                    <w:t>+</w:t>
                  </w:r>
                  <w:r>
                    <w:rPr>
                      <w:rFonts w:hint="eastAsia" w:cs="Times New Roman"/>
                      <w:bCs/>
                      <w:color w:val="auto"/>
                      <w:kern w:val="0"/>
                      <w:szCs w:val="21"/>
                      <w:lang w:val="en-US" w:eastAsia="zh-CN"/>
                    </w:rPr>
                    <w:t>混</w:t>
                  </w:r>
                  <w:r>
                    <w:rPr>
                      <w:rFonts w:hint="eastAsia" w:ascii="Times New Roman" w:hAnsi="Times New Roman" w:cs="Times New Roman"/>
                      <w:bCs/>
                      <w:color w:val="auto"/>
                      <w:kern w:val="0"/>
                      <w:szCs w:val="21"/>
                      <w:lang w:val="en-US" w:eastAsia="zh-CN"/>
                    </w:rPr>
                    <w:t>凝沉淀</w:t>
                  </w:r>
                  <w:r>
                    <w:rPr>
                      <w:rFonts w:hint="eastAsia" w:cs="Times New Roman"/>
                      <w:bCs/>
                      <w:color w:val="auto"/>
                      <w:kern w:val="0"/>
                      <w:szCs w:val="21"/>
                      <w:lang w:val="en-US" w:eastAsia="zh-CN"/>
                    </w:rPr>
                    <w:t>+高效过滤</w:t>
                  </w:r>
                  <w:r>
                    <w:rPr>
                      <w:rFonts w:hint="eastAsia"/>
                      <w:bCs/>
                      <w:color w:val="auto"/>
                      <w:szCs w:val="21"/>
                    </w:rPr>
                    <w:t>）</w:t>
                  </w:r>
                </w:p>
              </w:tc>
              <w:tc>
                <w:tcPr>
                  <w:tcW w:w="1984" w:type="dxa"/>
                  <w:vMerge w:val="continue"/>
                  <w:vAlign w:val="center"/>
                </w:tcPr>
                <w:p w14:paraId="6E1139AE">
                  <w:pPr>
                    <w:adjustRightInd w:val="0"/>
                    <w:snapToGrid w:val="0"/>
                    <w:jc w:val="center"/>
                    <w:rPr>
                      <w:color w:val="auto"/>
                    </w:rPr>
                  </w:pPr>
                </w:p>
              </w:tc>
            </w:tr>
            <w:tr w14:paraId="4EC86D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7" w:type="dxa"/>
                  <w:vMerge w:val="continue"/>
                  <w:vAlign w:val="center"/>
                </w:tcPr>
                <w:p w14:paraId="6EBE3C0C">
                  <w:pPr>
                    <w:adjustRightInd w:val="0"/>
                    <w:snapToGrid w:val="0"/>
                    <w:jc w:val="center"/>
                    <w:rPr>
                      <w:bCs/>
                      <w:color w:val="auto"/>
                      <w:szCs w:val="21"/>
                    </w:rPr>
                  </w:pPr>
                </w:p>
              </w:tc>
              <w:tc>
                <w:tcPr>
                  <w:tcW w:w="1564" w:type="dxa"/>
                  <w:gridSpan w:val="3"/>
                  <w:vAlign w:val="center"/>
                </w:tcPr>
                <w:p w14:paraId="131293FE">
                  <w:pPr>
                    <w:adjustRightInd w:val="0"/>
                    <w:snapToGrid w:val="0"/>
                    <w:jc w:val="center"/>
                    <w:rPr>
                      <w:bCs/>
                      <w:color w:val="auto"/>
                      <w:szCs w:val="21"/>
                    </w:rPr>
                  </w:pPr>
                  <w:r>
                    <w:rPr>
                      <w:bCs/>
                      <w:color w:val="auto"/>
                      <w:szCs w:val="21"/>
                    </w:rPr>
                    <w:t>噪声</w:t>
                  </w:r>
                </w:p>
              </w:tc>
              <w:tc>
                <w:tcPr>
                  <w:tcW w:w="3888" w:type="dxa"/>
                  <w:vAlign w:val="center"/>
                </w:tcPr>
                <w:p w14:paraId="4AC44606">
                  <w:pPr>
                    <w:adjustRightInd w:val="0"/>
                    <w:snapToGrid w:val="0"/>
                    <w:jc w:val="center"/>
                    <w:rPr>
                      <w:bCs/>
                      <w:color w:val="auto"/>
                      <w:szCs w:val="21"/>
                    </w:rPr>
                  </w:pPr>
                  <w:r>
                    <w:rPr>
                      <w:bCs/>
                      <w:color w:val="auto"/>
                      <w:szCs w:val="21"/>
                    </w:rPr>
                    <w:t>选取优良、低噪生产设备，合理布局，采用厂房隔声、设备消声、减振等措施</w:t>
                  </w:r>
                </w:p>
              </w:tc>
              <w:tc>
                <w:tcPr>
                  <w:tcW w:w="1984" w:type="dxa"/>
                  <w:vAlign w:val="center"/>
                </w:tcPr>
                <w:p w14:paraId="66BF2A58">
                  <w:pPr>
                    <w:adjustRightInd w:val="0"/>
                    <w:snapToGrid w:val="0"/>
                    <w:jc w:val="center"/>
                    <w:rPr>
                      <w:bCs/>
                      <w:color w:val="auto"/>
                      <w:szCs w:val="21"/>
                    </w:rPr>
                  </w:pPr>
                  <w:r>
                    <w:rPr>
                      <w:bCs/>
                      <w:color w:val="auto"/>
                      <w:szCs w:val="21"/>
                    </w:rPr>
                    <w:t>厂界噪声达标</w:t>
                  </w:r>
                </w:p>
              </w:tc>
            </w:tr>
            <w:tr w14:paraId="3B9EB5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7" w:type="dxa"/>
                  <w:vMerge w:val="continue"/>
                  <w:vAlign w:val="center"/>
                </w:tcPr>
                <w:p w14:paraId="7A2A1B27">
                  <w:pPr>
                    <w:adjustRightInd w:val="0"/>
                    <w:snapToGrid w:val="0"/>
                    <w:jc w:val="center"/>
                    <w:rPr>
                      <w:bCs/>
                      <w:color w:val="auto"/>
                      <w:szCs w:val="21"/>
                    </w:rPr>
                  </w:pPr>
                </w:p>
              </w:tc>
              <w:tc>
                <w:tcPr>
                  <w:tcW w:w="353" w:type="dxa"/>
                  <w:vMerge w:val="restart"/>
                  <w:vAlign w:val="center"/>
                </w:tcPr>
                <w:p w14:paraId="3C60AFC3">
                  <w:pPr>
                    <w:adjustRightInd w:val="0"/>
                    <w:snapToGrid w:val="0"/>
                    <w:jc w:val="center"/>
                    <w:rPr>
                      <w:bCs/>
                      <w:color w:val="auto"/>
                      <w:szCs w:val="21"/>
                    </w:rPr>
                  </w:pPr>
                  <w:r>
                    <w:rPr>
                      <w:bCs/>
                      <w:color w:val="auto"/>
                      <w:szCs w:val="21"/>
                    </w:rPr>
                    <w:t>固废</w:t>
                  </w:r>
                </w:p>
              </w:tc>
              <w:tc>
                <w:tcPr>
                  <w:tcW w:w="1211" w:type="dxa"/>
                  <w:gridSpan w:val="2"/>
                  <w:vAlign w:val="center"/>
                </w:tcPr>
                <w:p w14:paraId="6443AAC6">
                  <w:pPr>
                    <w:adjustRightInd w:val="0"/>
                    <w:snapToGrid w:val="0"/>
                    <w:jc w:val="center"/>
                    <w:rPr>
                      <w:bCs/>
                      <w:color w:val="auto"/>
                      <w:szCs w:val="21"/>
                    </w:rPr>
                  </w:pPr>
                  <w:r>
                    <w:rPr>
                      <w:rFonts w:hint="eastAsia"/>
                      <w:bCs/>
                      <w:color w:val="auto"/>
                      <w:szCs w:val="21"/>
                    </w:rPr>
                    <w:t>一般固废区</w:t>
                  </w:r>
                </w:p>
              </w:tc>
              <w:tc>
                <w:tcPr>
                  <w:tcW w:w="3888" w:type="dxa"/>
                  <w:vAlign w:val="center"/>
                </w:tcPr>
                <w:p w14:paraId="12FB4D17">
                  <w:pPr>
                    <w:adjustRightInd w:val="0"/>
                    <w:snapToGrid w:val="0"/>
                    <w:jc w:val="center"/>
                    <w:rPr>
                      <w:bCs/>
                      <w:color w:val="auto"/>
                      <w:szCs w:val="21"/>
                    </w:rPr>
                  </w:pPr>
                  <w:r>
                    <w:rPr>
                      <w:rFonts w:hint="eastAsia"/>
                      <w:color w:val="auto"/>
                    </w:rPr>
                    <w:t>位于厂区西北角，</w:t>
                  </w:r>
                  <w:r>
                    <w:rPr>
                      <w:rFonts w:hint="eastAsia"/>
                      <w:bCs/>
                      <w:color w:val="auto"/>
                      <w:szCs w:val="21"/>
                    </w:rPr>
                    <w:t>70</w:t>
                  </w:r>
                  <w:r>
                    <w:rPr>
                      <w:bCs/>
                      <w:color w:val="auto"/>
                      <w:szCs w:val="21"/>
                    </w:rPr>
                    <w:t>m</w:t>
                  </w:r>
                  <w:r>
                    <w:rPr>
                      <w:bCs/>
                      <w:color w:val="auto"/>
                      <w:szCs w:val="21"/>
                      <w:vertAlign w:val="superscript"/>
                    </w:rPr>
                    <w:t>2</w:t>
                  </w:r>
                  <w:r>
                    <w:rPr>
                      <w:rFonts w:hint="eastAsia"/>
                      <w:color w:val="auto"/>
                    </w:rPr>
                    <w:t>，</w:t>
                  </w:r>
                  <w:r>
                    <w:rPr>
                      <w:rFonts w:hint="eastAsia"/>
                      <w:bCs/>
                      <w:color w:val="auto"/>
                      <w:szCs w:val="21"/>
                    </w:rPr>
                    <w:t>依托现有</w:t>
                  </w:r>
                </w:p>
              </w:tc>
              <w:tc>
                <w:tcPr>
                  <w:tcW w:w="1984" w:type="dxa"/>
                  <w:vAlign w:val="center"/>
                </w:tcPr>
                <w:p w14:paraId="4DC9390E">
                  <w:pPr>
                    <w:jc w:val="center"/>
                    <w:rPr>
                      <w:bCs/>
                      <w:color w:val="auto"/>
                      <w:szCs w:val="21"/>
                    </w:rPr>
                  </w:pPr>
                  <w:r>
                    <w:rPr>
                      <w:bCs/>
                      <w:color w:val="auto"/>
                      <w:szCs w:val="21"/>
                    </w:rPr>
                    <w:t>统一收集后交由相关单位综合利用</w:t>
                  </w:r>
                </w:p>
              </w:tc>
            </w:tr>
            <w:tr w14:paraId="72E1DA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7" w:type="dxa"/>
                  <w:vMerge w:val="continue"/>
                  <w:vAlign w:val="center"/>
                </w:tcPr>
                <w:p w14:paraId="52B0C8D8">
                  <w:pPr>
                    <w:adjustRightInd w:val="0"/>
                    <w:snapToGrid w:val="0"/>
                    <w:jc w:val="center"/>
                    <w:rPr>
                      <w:bCs/>
                      <w:color w:val="auto"/>
                      <w:szCs w:val="21"/>
                    </w:rPr>
                  </w:pPr>
                </w:p>
              </w:tc>
              <w:tc>
                <w:tcPr>
                  <w:tcW w:w="353" w:type="dxa"/>
                  <w:vMerge w:val="continue"/>
                  <w:vAlign w:val="center"/>
                </w:tcPr>
                <w:p w14:paraId="6315E4BA">
                  <w:pPr>
                    <w:adjustRightInd w:val="0"/>
                    <w:snapToGrid w:val="0"/>
                    <w:jc w:val="center"/>
                    <w:rPr>
                      <w:bCs/>
                      <w:color w:val="auto"/>
                      <w:szCs w:val="21"/>
                    </w:rPr>
                  </w:pPr>
                </w:p>
              </w:tc>
              <w:tc>
                <w:tcPr>
                  <w:tcW w:w="1211" w:type="dxa"/>
                  <w:gridSpan w:val="2"/>
                  <w:vAlign w:val="center"/>
                </w:tcPr>
                <w:p w14:paraId="59F4A0BD">
                  <w:pPr>
                    <w:adjustRightInd w:val="0"/>
                    <w:snapToGrid w:val="0"/>
                    <w:jc w:val="center"/>
                    <w:rPr>
                      <w:bCs/>
                      <w:color w:val="auto"/>
                      <w:szCs w:val="21"/>
                    </w:rPr>
                  </w:pPr>
                  <w:r>
                    <w:rPr>
                      <w:rFonts w:hint="eastAsia"/>
                      <w:bCs/>
                      <w:color w:val="auto"/>
                      <w:szCs w:val="21"/>
                    </w:rPr>
                    <w:t>危废暂存间</w:t>
                  </w:r>
                </w:p>
              </w:tc>
              <w:tc>
                <w:tcPr>
                  <w:tcW w:w="3888" w:type="dxa"/>
                  <w:vAlign w:val="center"/>
                </w:tcPr>
                <w:p w14:paraId="18C76574">
                  <w:pPr>
                    <w:adjustRightInd w:val="0"/>
                    <w:snapToGrid w:val="0"/>
                    <w:jc w:val="center"/>
                    <w:rPr>
                      <w:bCs/>
                      <w:color w:val="auto"/>
                      <w:szCs w:val="21"/>
                    </w:rPr>
                  </w:pPr>
                  <w:r>
                    <w:rPr>
                      <w:rFonts w:hint="eastAsia"/>
                      <w:color w:val="auto"/>
                    </w:rPr>
                    <w:t>位于厂区西北角，</w:t>
                  </w:r>
                  <w:r>
                    <w:rPr>
                      <w:rFonts w:hint="eastAsia"/>
                      <w:bCs/>
                      <w:color w:val="auto"/>
                      <w:szCs w:val="21"/>
                    </w:rPr>
                    <w:t>50</w:t>
                  </w:r>
                  <w:r>
                    <w:rPr>
                      <w:bCs/>
                      <w:color w:val="auto"/>
                      <w:szCs w:val="21"/>
                    </w:rPr>
                    <w:t>m</w:t>
                  </w:r>
                  <w:r>
                    <w:rPr>
                      <w:bCs/>
                      <w:color w:val="auto"/>
                      <w:szCs w:val="21"/>
                      <w:vertAlign w:val="superscript"/>
                    </w:rPr>
                    <w:t>2</w:t>
                  </w:r>
                  <w:r>
                    <w:rPr>
                      <w:rFonts w:hint="eastAsia"/>
                      <w:bCs/>
                      <w:color w:val="auto"/>
                      <w:szCs w:val="21"/>
                    </w:rPr>
                    <w:t>，依托现有</w:t>
                  </w:r>
                </w:p>
              </w:tc>
              <w:tc>
                <w:tcPr>
                  <w:tcW w:w="1984" w:type="dxa"/>
                  <w:vAlign w:val="center"/>
                </w:tcPr>
                <w:p w14:paraId="348BD11B">
                  <w:pPr>
                    <w:jc w:val="center"/>
                    <w:rPr>
                      <w:bCs/>
                      <w:color w:val="auto"/>
                      <w:szCs w:val="21"/>
                    </w:rPr>
                  </w:pPr>
                  <w:r>
                    <w:rPr>
                      <w:rFonts w:hint="eastAsia"/>
                      <w:bCs/>
                      <w:color w:val="auto"/>
                      <w:szCs w:val="21"/>
                    </w:rPr>
                    <w:t>委托有资质单位处置</w:t>
                  </w:r>
                </w:p>
              </w:tc>
            </w:tr>
          </w:tbl>
          <w:p w14:paraId="5D9A0D9F">
            <w:pPr>
              <w:numPr>
                <w:ilvl w:val="0"/>
                <w:numId w:val="0"/>
              </w:numPr>
              <w:spacing w:before="120" w:beforeLines="50" w:line="360" w:lineRule="auto"/>
              <w:rPr>
                <w:b/>
                <w:bCs/>
                <w:color w:val="auto"/>
              </w:rPr>
            </w:pPr>
            <w:r>
              <w:rPr>
                <w:rFonts w:hint="default" w:ascii="Times New Roman" w:hAnsi="Times New Roman" w:eastAsia="宋体" w:cs="Times New Roman"/>
                <w:b/>
                <w:bCs/>
                <w:color w:val="auto"/>
                <w:kern w:val="2"/>
                <w:sz w:val="21"/>
                <w:szCs w:val="21"/>
                <w:lang w:val="en-US" w:eastAsia="zh-CN" w:bidi="ar-SA"/>
              </w:rPr>
              <w:t>2、</w:t>
            </w:r>
            <w:r>
              <w:rPr>
                <w:rFonts w:hint="eastAsia"/>
                <w:b/>
                <w:bCs/>
                <w:color w:val="auto"/>
              </w:rPr>
              <w:t>主要产品及产能</w:t>
            </w:r>
          </w:p>
          <w:p w14:paraId="7A096925">
            <w:pPr>
              <w:adjustRightInd w:val="0"/>
              <w:snapToGrid w:val="0"/>
              <w:spacing w:line="360" w:lineRule="auto"/>
              <w:ind w:firstLine="420" w:firstLineChars="200"/>
              <w:rPr>
                <w:rFonts w:hint="default" w:eastAsia="宋体"/>
                <w:color w:val="auto"/>
                <w:lang w:val="en-US" w:eastAsia="zh-CN"/>
              </w:rPr>
            </w:pPr>
            <w:r>
              <w:rPr>
                <w:rFonts w:hint="eastAsia"/>
                <w:color w:val="auto"/>
              </w:rPr>
              <w:t>建设项目主要产品方案见表2-</w:t>
            </w:r>
            <w:r>
              <w:rPr>
                <w:rFonts w:hint="eastAsia"/>
                <w:color w:val="auto"/>
                <w:lang w:val="en-US" w:eastAsia="zh-CN"/>
              </w:rPr>
              <w:t>3。</w:t>
            </w:r>
          </w:p>
          <w:p w14:paraId="5613AF38">
            <w:pPr>
              <w:spacing w:before="120" w:beforeLines="50"/>
              <w:jc w:val="center"/>
              <w:rPr>
                <w:b/>
                <w:bCs/>
                <w:color w:val="auto"/>
              </w:rPr>
            </w:pPr>
            <w:r>
              <w:rPr>
                <w:rFonts w:hint="eastAsia"/>
                <w:b/>
                <w:bCs/>
                <w:color w:val="auto"/>
              </w:rPr>
              <w:t>表2-</w:t>
            </w:r>
            <w:r>
              <w:rPr>
                <w:rFonts w:hint="eastAsia"/>
                <w:b/>
                <w:bCs/>
                <w:color w:val="auto"/>
                <w:lang w:val="en-US" w:eastAsia="zh-CN"/>
              </w:rPr>
              <w:t>3</w:t>
            </w:r>
            <w:r>
              <w:rPr>
                <w:rFonts w:hint="eastAsia"/>
                <w:b/>
                <w:bCs/>
                <w:color w:val="auto"/>
              </w:rPr>
              <w:t xml:space="preserve"> 项目主要产品及产能一览表</w:t>
            </w:r>
          </w:p>
          <w:tbl>
            <w:tblPr>
              <w:tblStyle w:val="30"/>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13"/>
              <w:gridCol w:w="2340"/>
              <w:gridCol w:w="1935"/>
              <w:gridCol w:w="1845"/>
              <w:gridCol w:w="1310"/>
            </w:tblGrid>
            <w:tr w14:paraId="327415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13" w:type="dxa"/>
                  <w:vAlign w:val="center"/>
                </w:tcPr>
                <w:p w14:paraId="4C35DE12">
                  <w:pPr>
                    <w:jc w:val="center"/>
                    <w:rPr>
                      <w:b/>
                      <w:bCs/>
                      <w:color w:val="auto"/>
                    </w:rPr>
                  </w:pPr>
                  <w:r>
                    <w:rPr>
                      <w:rFonts w:hint="eastAsia"/>
                      <w:b/>
                      <w:bCs/>
                      <w:color w:val="auto"/>
                    </w:rPr>
                    <w:t>序号</w:t>
                  </w:r>
                </w:p>
              </w:tc>
              <w:tc>
                <w:tcPr>
                  <w:tcW w:w="2340" w:type="dxa"/>
                  <w:vAlign w:val="center"/>
                </w:tcPr>
                <w:p w14:paraId="49953380">
                  <w:pPr>
                    <w:jc w:val="center"/>
                    <w:rPr>
                      <w:b/>
                      <w:bCs/>
                      <w:color w:val="auto"/>
                    </w:rPr>
                  </w:pPr>
                  <w:r>
                    <w:rPr>
                      <w:rFonts w:hint="eastAsia"/>
                      <w:b/>
                      <w:bCs/>
                      <w:color w:val="auto"/>
                    </w:rPr>
                    <w:t>工程名称（车间、生产装置或生产线）</w:t>
                  </w:r>
                </w:p>
              </w:tc>
              <w:tc>
                <w:tcPr>
                  <w:tcW w:w="1935" w:type="dxa"/>
                  <w:vAlign w:val="center"/>
                </w:tcPr>
                <w:p w14:paraId="7BE5A2F8">
                  <w:pPr>
                    <w:jc w:val="center"/>
                    <w:rPr>
                      <w:b/>
                      <w:bCs/>
                      <w:color w:val="auto"/>
                    </w:rPr>
                  </w:pPr>
                  <w:r>
                    <w:rPr>
                      <w:rFonts w:hint="eastAsia"/>
                      <w:b/>
                      <w:bCs/>
                      <w:color w:val="auto"/>
                    </w:rPr>
                    <w:t>产品名称</w:t>
                  </w:r>
                </w:p>
              </w:tc>
              <w:tc>
                <w:tcPr>
                  <w:tcW w:w="1845" w:type="dxa"/>
                  <w:vAlign w:val="center"/>
                </w:tcPr>
                <w:p w14:paraId="33A9EC65">
                  <w:pPr>
                    <w:pStyle w:val="10"/>
                    <w:spacing w:before="0" w:after="0" w:line="240" w:lineRule="auto"/>
                    <w:ind w:right="0"/>
                    <w:jc w:val="center"/>
                    <w:rPr>
                      <w:b/>
                      <w:bCs/>
                      <w:color w:val="auto"/>
                      <w:sz w:val="21"/>
                      <w:szCs w:val="22"/>
                    </w:rPr>
                  </w:pPr>
                  <w:r>
                    <w:rPr>
                      <w:rFonts w:hint="eastAsia"/>
                      <w:b/>
                      <w:bCs/>
                      <w:color w:val="auto"/>
                      <w:sz w:val="21"/>
                      <w:szCs w:val="22"/>
                    </w:rPr>
                    <w:t>设计产能力（只/年）</w:t>
                  </w:r>
                </w:p>
              </w:tc>
              <w:tc>
                <w:tcPr>
                  <w:tcW w:w="1310" w:type="dxa"/>
                  <w:vAlign w:val="center"/>
                </w:tcPr>
                <w:p w14:paraId="18DEB28A">
                  <w:pPr>
                    <w:jc w:val="center"/>
                    <w:rPr>
                      <w:b/>
                      <w:bCs/>
                      <w:color w:val="auto"/>
                    </w:rPr>
                  </w:pPr>
                  <w:r>
                    <w:rPr>
                      <w:rFonts w:hint="eastAsia"/>
                      <w:b/>
                      <w:bCs/>
                      <w:color w:val="auto"/>
                    </w:rPr>
                    <w:t>年运行时间/</w:t>
                  </w:r>
                  <w:r>
                    <w:rPr>
                      <w:b/>
                      <w:bCs/>
                      <w:color w:val="auto"/>
                    </w:rPr>
                    <w:t>h</w:t>
                  </w:r>
                </w:p>
              </w:tc>
            </w:tr>
            <w:tr w14:paraId="36413E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13" w:type="dxa"/>
                  <w:vAlign w:val="center"/>
                </w:tcPr>
                <w:p w14:paraId="2A66C067">
                  <w:pPr>
                    <w:pStyle w:val="10"/>
                    <w:tabs>
                      <w:tab w:val="center" w:pos="300"/>
                      <w:tab w:val="left" w:pos="471"/>
                    </w:tabs>
                    <w:spacing w:before="0" w:after="0" w:line="240" w:lineRule="auto"/>
                    <w:ind w:right="0"/>
                    <w:jc w:val="center"/>
                    <w:rPr>
                      <w:color w:val="auto"/>
                      <w:sz w:val="21"/>
                      <w:szCs w:val="21"/>
                    </w:rPr>
                  </w:pPr>
                  <w:r>
                    <w:rPr>
                      <w:rFonts w:hint="eastAsia"/>
                      <w:color w:val="auto"/>
                      <w:sz w:val="21"/>
                      <w:szCs w:val="21"/>
                    </w:rPr>
                    <w:t>1</w:t>
                  </w:r>
                </w:p>
              </w:tc>
              <w:tc>
                <w:tcPr>
                  <w:tcW w:w="2340" w:type="dxa"/>
                  <w:vAlign w:val="center"/>
                </w:tcPr>
                <w:p w14:paraId="42F00609">
                  <w:pPr>
                    <w:widowControl/>
                    <w:adjustRightInd w:val="0"/>
                    <w:snapToGrid w:val="0"/>
                    <w:jc w:val="center"/>
                    <w:rPr>
                      <w:color w:val="auto"/>
                    </w:rPr>
                  </w:pPr>
                  <w:r>
                    <w:rPr>
                      <w:rFonts w:hint="eastAsia"/>
                      <w:color w:val="auto"/>
                    </w:rPr>
                    <w:t>玻璃制品激光内雕生产线</w:t>
                  </w:r>
                </w:p>
              </w:tc>
              <w:tc>
                <w:tcPr>
                  <w:tcW w:w="1935" w:type="dxa"/>
                  <w:vAlign w:val="center"/>
                </w:tcPr>
                <w:p w14:paraId="0D246036">
                  <w:pPr>
                    <w:widowControl/>
                    <w:adjustRightInd w:val="0"/>
                    <w:snapToGrid w:val="0"/>
                    <w:jc w:val="center"/>
                    <w:rPr>
                      <w:color w:val="auto"/>
                    </w:rPr>
                  </w:pPr>
                  <w:r>
                    <w:rPr>
                      <w:rFonts w:hint="eastAsia"/>
                      <w:color w:val="auto"/>
                    </w:rPr>
                    <w:t>五代四开国缘水晶头</w:t>
                  </w:r>
                </w:p>
              </w:tc>
              <w:tc>
                <w:tcPr>
                  <w:tcW w:w="1845" w:type="dxa"/>
                  <w:vAlign w:val="center"/>
                </w:tcPr>
                <w:p w14:paraId="478BC265">
                  <w:pPr>
                    <w:pStyle w:val="10"/>
                    <w:spacing w:before="0" w:after="0" w:line="240" w:lineRule="auto"/>
                    <w:ind w:right="0"/>
                    <w:jc w:val="center"/>
                    <w:rPr>
                      <w:color w:val="auto"/>
                      <w:sz w:val="21"/>
                      <w:szCs w:val="22"/>
                    </w:rPr>
                  </w:pPr>
                  <w:r>
                    <w:rPr>
                      <w:rFonts w:hint="eastAsia"/>
                      <w:color w:val="auto"/>
                      <w:sz w:val="21"/>
                      <w:szCs w:val="22"/>
                    </w:rPr>
                    <w:t>4500万</w:t>
                  </w:r>
                </w:p>
              </w:tc>
              <w:tc>
                <w:tcPr>
                  <w:tcW w:w="1310" w:type="dxa"/>
                  <w:vAlign w:val="center"/>
                </w:tcPr>
                <w:p w14:paraId="57AD812B">
                  <w:pPr>
                    <w:widowControl/>
                    <w:adjustRightInd w:val="0"/>
                    <w:snapToGrid w:val="0"/>
                    <w:jc w:val="center"/>
                    <w:rPr>
                      <w:color w:val="auto"/>
                    </w:rPr>
                  </w:pPr>
                  <w:r>
                    <w:rPr>
                      <w:rFonts w:hint="eastAsia"/>
                      <w:color w:val="auto"/>
                    </w:rPr>
                    <w:t>7200</w:t>
                  </w:r>
                </w:p>
              </w:tc>
            </w:tr>
            <w:tr w14:paraId="15C692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13" w:type="dxa"/>
                  <w:vAlign w:val="center"/>
                </w:tcPr>
                <w:p w14:paraId="000FC222">
                  <w:pPr>
                    <w:pStyle w:val="10"/>
                    <w:tabs>
                      <w:tab w:val="center" w:pos="300"/>
                      <w:tab w:val="left" w:pos="471"/>
                    </w:tabs>
                    <w:spacing w:before="0" w:after="0" w:line="240" w:lineRule="auto"/>
                    <w:ind w:right="0"/>
                    <w:jc w:val="center"/>
                    <w:rPr>
                      <w:color w:val="auto"/>
                      <w:sz w:val="21"/>
                      <w:szCs w:val="21"/>
                    </w:rPr>
                  </w:pPr>
                  <w:r>
                    <w:rPr>
                      <w:rFonts w:hint="eastAsia"/>
                      <w:color w:val="auto"/>
                      <w:sz w:val="21"/>
                      <w:szCs w:val="21"/>
                    </w:rPr>
                    <w:t>2</w:t>
                  </w:r>
                </w:p>
              </w:tc>
              <w:tc>
                <w:tcPr>
                  <w:tcW w:w="2340" w:type="dxa"/>
                  <w:vAlign w:val="center"/>
                </w:tcPr>
                <w:p w14:paraId="7797490C">
                  <w:pPr>
                    <w:widowControl/>
                    <w:adjustRightInd w:val="0"/>
                    <w:snapToGrid w:val="0"/>
                    <w:jc w:val="center"/>
                    <w:rPr>
                      <w:color w:val="auto"/>
                    </w:rPr>
                  </w:pPr>
                  <w:r>
                    <w:rPr>
                      <w:rFonts w:hint="eastAsia"/>
                      <w:color w:val="auto"/>
                    </w:rPr>
                    <w:t>玻璃酒瓶直印生产线</w:t>
                  </w:r>
                </w:p>
              </w:tc>
              <w:tc>
                <w:tcPr>
                  <w:tcW w:w="1935" w:type="dxa"/>
                  <w:vAlign w:val="center"/>
                </w:tcPr>
                <w:p w14:paraId="01DA4222">
                  <w:pPr>
                    <w:widowControl/>
                    <w:adjustRightInd w:val="0"/>
                    <w:snapToGrid w:val="0"/>
                    <w:jc w:val="center"/>
                    <w:rPr>
                      <w:color w:val="auto"/>
                    </w:rPr>
                  </w:pPr>
                  <w:r>
                    <w:rPr>
                      <w:rFonts w:hint="eastAsia"/>
                      <w:color w:val="auto"/>
                    </w:rPr>
                    <w:t>梦之蓝水晶版酒瓶</w:t>
                  </w:r>
                </w:p>
              </w:tc>
              <w:tc>
                <w:tcPr>
                  <w:tcW w:w="1845" w:type="dxa"/>
                  <w:vAlign w:val="center"/>
                </w:tcPr>
                <w:p w14:paraId="2D27BB57">
                  <w:pPr>
                    <w:pStyle w:val="10"/>
                    <w:spacing w:before="0" w:after="0" w:line="240" w:lineRule="auto"/>
                    <w:ind w:right="0"/>
                    <w:jc w:val="center"/>
                    <w:rPr>
                      <w:color w:val="auto"/>
                      <w:sz w:val="21"/>
                      <w:szCs w:val="22"/>
                    </w:rPr>
                  </w:pPr>
                  <w:r>
                    <w:rPr>
                      <w:rFonts w:hint="eastAsia"/>
                      <w:color w:val="auto"/>
                      <w:sz w:val="21"/>
                      <w:szCs w:val="22"/>
                    </w:rPr>
                    <w:t>1000万</w:t>
                  </w:r>
                </w:p>
              </w:tc>
              <w:tc>
                <w:tcPr>
                  <w:tcW w:w="1310" w:type="dxa"/>
                  <w:vAlign w:val="center"/>
                </w:tcPr>
                <w:p w14:paraId="684AB9CB">
                  <w:pPr>
                    <w:widowControl/>
                    <w:adjustRightInd w:val="0"/>
                    <w:snapToGrid w:val="0"/>
                    <w:jc w:val="center"/>
                    <w:rPr>
                      <w:color w:val="auto"/>
                    </w:rPr>
                  </w:pPr>
                  <w:r>
                    <w:rPr>
                      <w:rFonts w:hint="eastAsia"/>
                      <w:color w:val="auto"/>
                    </w:rPr>
                    <w:t>7200</w:t>
                  </w:r>
                </w:p>
              </w:tc>
            </w:tr>
            <w:tr w14:paraId="235A72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13" w:type="dxa"/>
                  <w:shd w:val="clear" w:color="auto" w:fill="auto"/>
                  <w:vAlign w:val="center"/>
                </w:tcPr>
                <w:p w14:paraId="7DF454A6">
                  <w:pPr>
                    <w:pStyle w:val="10"/>
                    <w:tabs>
                      <w:tab w:val="center" w:pos="300"/>
                      <w:tab w:val="left" w:pos="471"/>
                    </w:tabs>
                    <w:spacing w:before="0" w:after="0" w:line="240" w:lineRule="auto"/>
                    <w:ind w:right="0"/>
                    <w:jc w:val="center"/>
                    <w:rPr>
                      <w:rFonts w:hint="eastAsia" w:eastAsia="宋体"/>
                      <w:color w:val="auto"/>
                      <w:sz w:val="21"/>
                      <w:szCs w:val="21"/>
                      <w:lang w:eastAsia="zh-CN"/>
                    </w:rPr>
                  </w:pPr>
                  <w:r>
                    <w:rPr>
                      <w:rFonts w:hint="eastAsia"/>
                      <w:color w:val="auto"/>
                      <w:sz w:val="21"/>
                      <w:szCs w:val="21"/>
                      <w:lang w:val="en-US" w:eastAsia="zh-CN"/>
                    </w:rPr>
                    <w:t>3</w:t>
                  </w:r>
                </w:p>
              </w:tc>
              <w:tc>
                <w:tcPr>
                  <w:tcW w:w="2340" w:type="dxa"/>
                  <w:shd w:val="clear" w:color="auto" w:fill="auto"/>
                  <w:vAlign w:val="center"/>
                </w:tcPr>
                <w:p w14:paraId="2160518D">
                  <w:pPr>
                    <w:widowControl/>
                    <w:adjustRightInd w:val="0"/>
                    <w:snapToGrid w:val="0"/>
                    <w:jc w:val="center"/>
                    <w:rPr>
                      <w:color w:val="auto"/>
                    </w:rPr>
                  </w:pPr>
                  <w:r>
                    <w:rPr>
                      <w:rFonts w:hint="eastAsia"/>
                      <w:color w:val="auto"/>
                    </w:rPr>
                    <w:t>玻璃酒瓶</w:t>
                  </w:r>
                  <w:r>
                    <w:rPr>
                      <w:rFonts w:hint="eastAsia"/>
                      <w:color w:val="auto"/>
                      <w:lang w:val="en-US" w:eastAsia="zh-CN"/>
                    </w:rPr>
                    <w:t>直</w:t>
                  </w:r>
                  <w:r>
                    <w:rPr>
                      <w:rFonts w:hint="eastAsia"/>
                      <w:color w:val="auto"/>
                    </w:rPr>
                    <w:t>印生产线</w:t>
                  </w:r>
                </w:p>
              </w:tc>
              <w:tc>
                <w:tcPr>
                  <w:tcW w:w="1935" w:type="dxa"/>
                  <w:shd w:val="clear" w:color="auto" w:fill="auto"/>
                  <w:vAlign w:val="center"/>
                </w:tcPr>
                <w:p w14:paraId="072561C6">
                  <w:pPr>
                    <w:widowControl/>
                    <w:adjustRightInd w:val="0"/>
                    <w:snapToGrid w:val="0"/>
                    <w:jc w:val="center"/>
                    <w:rPr>
                      <w:color w:val="auto"/>
                    </w:rPr>
                  </w:pPr>
                  <w:r>
                    <w:rPr>
                      <w:rFonts w:hint="eastAsia"/>
                      <w:color w:val="auto"/>
                    </w:rPr>
                    <w:t>国缘系列酒瓶</w:t>
                  </w:r>
                </w:p>
              </w:tc>
              <w:tc>
                <w:tcPr>
                  <w:tcW w:w="1845" w:type="dxa"/>
                  <w:shd w:val="clear" w:color="auto" w:fill="auto"/>
                  <w:vAlign w:val="center"/>
                </w:tcPr>
                <w:p w14:paraId="40248A59">
                  <w:pPr>
                    <w:pStyle w:val="10"/>
                    <w:spacing w:before="0" w:after="0" w:line="240" w:lineRule="auto"/>
                    <w:ind w:right="0"/>
                    <w:jc w:val="center"/>
                    <w:rPr>
                      <w:color w:val="auto"/>
                      <w:sz w:val="21"/>
                      <w:szCs w:val="22"/>
                    </w:rPr>
                  </w:pPr>
                  <w:r>
                    <w:rPr>
                      <w:rFonts w:hint="eastAsia"/>
                      <w:color w:val="auto"/>
                      <w:sz w:val="21"/>
                      <w:szCs w:val="22"/>
                    </w:rPr>
                    <w:t>1000万</w:t>
                  </w:r>
                </w:p>
              </w:tc>
              <w:tc>
                <w:tcPr>
                  <w:tcW w:w="1310" w:type="dxa"/>
                  <w:shd w:val="clear" w:color="auto" w:fill="auto"/>
                  <w:vAlign w:val="center"/>
                </w:tcPr>
                <w:p w14:paraId="54DC529F">
                  <w:pPr>
                    <w:widowControl/>
                    <w:adjustRightInd w:val="0"/>
                    <w:snapToGrid w:val="0"/>
                    <w:jc w:val="center"/>
                    <w:rPr>
                      <w:color w:val="auto"/>
                    </w:rPr>
                  </w:pPr>
                  <w:r>
                    <w:rPr>
                      <w:rFonts w:hint="eastAsia"/>
                      <w:color w:val="auto"/>
                    </w:rPr>
                    <w:t>7200</w:t>
                  </w:r>
                </w:p>
              </w:tc>
            </w:tr>
            <w:tr w14:paraId="3D4428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13" w:type="dxa"/>
                  <w:shd w:val="clear" w:color="auto" w:fill="auto"/>
                  <w:vAlign w:val="center"/>
                </w:tcPr>
                <w:p w14:paraId="59E81383">
                  <w:pPr>
                    <w:pStyle w:val="10"/>
                    <w:tabs>
                      <w:tab w:val="center" w:pos="300"/>
                      <w:tab w:val="left" w:pos="471"/>
                    </w:tabs>
                    <w:spacing w:before="0" w:after="0" w:line="240" w:lineRule="auto"/>
                    <w:ind w:right="0"/>
                    <w:jc w:val="center"/>
                    <w:rPr>
                      <w:rFonts w:hint="eastAsia" w:eastAsia="宋体"/>
                      <w:color w:val="auto"/>
                      <w:sz w:val="21"/>
                      <w:szCs w:val="21"/>
                      <w:lang w:val="en-US" w:eastAsia="zh-CN"/>
                    </w:rPr>
                  </w:pPr>
                  <w:r>
                    <w:rPr>
                      <w:rFonts w:hint="eastAsia"/>
                      <w:color w:val="auto"/>
                      <w:sz w:val="21"/>
                      <w:szCs w:val="21"/>
                      <w:lang w:val="en-US" w:eastAsia="zh-CN"/>
                    </w:rPr>
                    <w:t>4</w:t>
                  </w:r>
                </w:p>
              </w:tc>
              <w:tc>
                <w:tcPr>
                  <w:tcW w:w="2340" w:type="dxa"/>
                  <w:shd w:val="clear" w:color="auto" w:fill="auto"/>
                  <w:vAlign w:val="center"/>
                </w:tcPr>
                <w:p w14:paraId="78BDDBB6">
                  <w:pPr>
                    <w:widowControl/>
                    <w:adjustRightInd w:val="0"/>
                    <w:snapToGrid w:val="0"/>
                    <w:jc w:val="center"/>
                    <w:rPr>
                      <w:rFonts w:hint="default" w:eastAsia="宋体"/>
                      <w:color w:val="auto"/>
                      <w:lang w:val="en-US" w:eastAsia="zh-CN"/>
                    </w:rPr>
                  </w:pPr>
                  <w:r>
                    <w:rPr>
                      <w:rFonts w:hint="eastAsia"/>
                      <w:color w:val="auto"/>
                      <w:lang w:val="en-US" w:eastAsia="zh-CN"/>
                    </w:rPr>
                    <w:t>玻璃酒瓶热转印生产线</w:t>
                  </w:r>
                </w:p>
              </w:tc>
              <w:tc>
                <w:tcPr>
                  <w:tcW w:w="1935" w:type="dxa"/>
                  <w:shd w:val="clear" w:color="auto" w:fill="auto"/>
                  <w:vAlign w:val="center"/>
                </w:tcPr>
                <w:p w14:paraId="74C5FC04">
                  <w:pPr>
                    <w:widowControl/>
                    <w:adjustRightInd w:val="0"/>
                    <w:snapToGrid w:val="0"/>
                    <w:jc w:val="center"/>
                    <w:rPr>
                      <w:rFonts w:hint="eastAsia"/>
                      <w:color w:val="auto"/>
                    </w:rPr>
                  </w:pPr>
                  <w:r>
                    <w:rPr>
                      <w:rFonts w:hint="eastAsia"/>
                      <w:color w:val="auto"/>
                    </w:rPr>
                    <w:t>高线光瓶酒系列酒瓶</w:t>
                  </w:r>
                </w:p>
              </w:tc>
              <w:tc>
                <w:tcPr>
                  <w:tcW w:w="1845" w:type="dxa"/>
                  <w:shd w:val="clear" w:color="auto" w:fill="auto"/>
                  <w:vAlign w:val="center"/>
                </w:tcPr>
                <w:p w14:paraId="0D4937D6">
                  <w:pPr>
                    <w:pStyle w:val="10"/>
                    <w:spacing w:before="0" w:after="0" w:line="240" w:lineRule="auto"/>
                    <w:ind w:right="0"/>
                    <w:jc w:val="center"/>
                    <w:rPr>
                      <w:rFonts w:hint="default" w:eastAsia="宋体"/>
                      <w:color w:val="auto"/>
                      <w:sz w:val="21"/>
                      <w:szCs w:val="22"/>
                      <w:lang w:val="en-US" w:eastAsia="zh-CN"/>
                    </w:rPr>
                  </w:pPr>
                  <w:r>
                    <w:rPr>
                      <w:rFonts w:hint="eastAsia"/>
                      <w:color w:val="auto"/>
                      <w:sz w:val="21"/>
                      <w:szCs w:val="22"/>
                      <w:lang w:val="en-US" w:eastAsia="zh-CN"/>
                    </w:rPr>
                    <w:t>800万</w:t>
                  </w:r>
                </w:p>
              </w:tc>
              <w:tc>
                <w:tcPr>
                  <w:tcW w:w="1310" w:type="dxa"/>
                  <w:shd w:val="clear" w:color="auto" w:fill="auto"/>
                  <w:vAlign w:val="center"/>
                </w:tcPr>
                <w:p w14:paraId="52FA2564">
                  <w:pPr>
                    <w:widowControl/>
                    <w:adjustRightInd w:val="0"/>
                    <w:snapToGrid w:val="0"/>
                    <w:jc w:val="center"/>
                    <w:rPr>
                      <w:rFonts w:hint="default" w:eastAsia="宋体"/>
                      <w:color w:val="auto"/>
                      <w:lang w:val="en-US" w:eastAsia="zh-CN"/>
                    </w:rPr>
                  </w:pPr>
                  <w:r>
                    <w:rPr>
                      <w:rFonts w:hint="eastAsia"/>
                      <w:color w:val="auto"/>
                      <w:lang w:val="en-US" w:eastAsia="zh-CN"/>
                    </w:rPr>
                    <w:t>7200</w:t>
                  </w:r>
                </w:p>
              </w:tc>
            </w:tr>
          </w:tbl>
          <w:p w14:paraId="5FF608C3">
            <w:pPr>
              <w:spacing w:before="120" w:beforeLines="50"/>
              <w:jc w:val="center"/>
              <w:rPr>
                <w:b/>
                <w:bCs/>
                <w:color w:val="auto"/>
              </w:rPr>
            </w:pPr>
            <w:r>
              <w:rPr>
                <w:rFonts w:hint="eastAsia"/>
                <w:b/>
                <w:bCs/>
                <w:color w:val="auto"/>
              </w:rPr>
              <w:t>表2-</w:t>
            </w:r>
            <w:r>
              <w:rPr>
                <w:rFonts w:hint="eastAsia"/>
                <w:b/>
                <w:bCs/>
                <w:color w:val="auto"/>
                <w:lang w:val="en-US" w:eastAsia="zh-CN"/>
              </w:rPr>
              <w:t>4</w:t>
            </w:r>
            <w:r>
              <w:rPr>
                <w:rFonts w:hint="eastAsia"/>
                <w:b/>
                <w:bCs/>
                <w:color w:val="auto"/>
              </w:rPr>
              <w:t xml:space="preserve"> 全厂主体工程及产品方案</w:t>
            </w:r>
          </w:p>
          <w:tbl>
            <w:tblPr>
              <w:tblStyle w:val="3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13"/>
              <w:gridCol w:w="1898"/>
              <w:gridCol w:w="1110"/>
              <w:gridCol w:w="1200"/>
              <w:gridCol w:w="1123"/>
              <w:gridCol w:w="1202"/>
              <w:gridCol w:w="897"/>
            </w:tblGrid>
            <w:tr w14:paraId="2CB545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13" w:type="dxa"/>
                  <w:tcBorders>
                    <w:tl2br w:val="nil"/>
                    <w:tr2bl w:val="nil"/>
                  </w:tcBorders>
                  <w:vAlign w:val="center"/>
                </w:tcPr>
                <w:p w14:paraId="7CBB17AC">
                  <w:pPr>
                    <w:jc w:val="center"/>
                    <w:rPr>
                      <w:b/>
                      <w:bCs/>
                      <w:color w:val="auto"/>
                    </w:rPr>
                  </w:pPr>
                  <w:r>
                    <w:rPr>
                      <w:rFonts w:hint="eastAsia"/>
                      <w:b/>
                      <w:bCs/>
                      <w:color w:val="auto"/>
                    </w:rPr>
                    <w:t>序号</w:t>
                  </w:r>
                </w:p>
              </w:tc>
              <w:tc>
                <w:tcPr>
                  <w:tcW w:w="1898" w:type="dxa"/>
                  <w:tcBorders>
                    <w:tl2br w:val="nil"/>
                    <w:tr2bl w:val="nil"/>
                  </w:tcBorders>
                  <w:vAlign w:val="center"/>
                </w:tcPr>
                <w:p w14:paraId="308824D6">
                  <w:pPr>
                    <w:jc w:val="center"/>
                    <w:rPr>
                      <w:b/>
                      <w:bCs/>
                      <w:color w:val="auto"/>
                    </w:rPr>
                  </w:pPr>
                  <w:r>
                    <w:rPr>
                      <w:rFonts w:hint="eastAsia"/>
                      <w:b/>
                      <w:bCs/>
                      <w:color w:val="auto"/>
                    </w:rPr>
                    <w:t>工程名称（车间、生产装置或生产线）</w:t>
                  </w:r>
                </w:p>
              </w:tc>
              <w:tc>
                <w:tcPr>
                  <w:tcW w:w="1110" w:type="dxa"/>
                  <w:tcBorders>
                    <w:tl2br w:val="nil"/>
                    <w:tr2bl w:val="nil"/>
                  </w:tcBorders>
                  <w:vAlign w:val="center"/>
                </w:tcPr>
                <w:p w14:paraId="71F9E940">
                  <w:pPr>
                    <w:jc w:val="center"/>
                    <w:rPr>
                      <w:b/>
                      <w:bCs/>
                      <w:color w:val="auto"/>
                    </w:rPr>
                  </w:pPr>
                  <w:r>
                    <w:rPr>
                      <w:rFonts w:hint="eastAsia"/>
                      <w:b/>
                      <w:bCs/>
                      <w:color w:val="auto"/>
                    </w:rPr>
                    <w:t>产品名称</w:t>
                  </w:r>
                </w:p>
              </w:tc>
              <w:tc>
                <w:tcPr>
                  <w:tcW w:w="1200" w:type="dxa"/>
                  <w:tcBorders>
                    <w:tl2br w:val="nil"/>
                    <w:tr2bl w:val="nil"/>
                  </w:tcBorders>
                  <w:vAlign w:val="center"/>
                </w:tcPr>
                <w:p w14:paraId="1B762F58">
                  <w:pPr>
                    <w:pStyle w:val="10"/>
                    <w:spacing w:before="0" w:after="0" w:line="240" w:lineRule="auto"/>
                    <w:ind w:right="0"/>
                    <w:jc w:val="center"/>
                    <w:rPr>
                      <w:b/>
                      <w:bCs/>
                      <w:color w:val="auto"/>
                      <w:sz w:val="21"/>
                      <w:szCs w:val="22"/>
                    </w:rPr>
                  </w:pPr>
                  <w:r>
                    <w:rPr>
                      <w:rFonts w:hint="eastAsia"/>
                      <w:b/>
                      <w:bCs/>
                      <w:color w:val="auto"/>
                      <w:sz w:val="21"/>
                      <w:szCs w:val="22"/>
                      <w:lang w:val="en-US" w:eastAsia="zh-CN"/>
                    </w:rPr>
                    <w:t>现有项目</w:t>
                  </w:r>
                  <w:r>
                    <w:rPr>
                      <w:rFonts w:hint="eastAsia"/>
                      <w:b/>
                      <w:bCs/>
                      <w:color w:val="auto"/>
                      <w:sz w:val="21"/>
                      <w:szCs w:val="22"/>
                    </w:rPr>
                    <w:t>设计</w:t>
                  </w:r>
                  <w:r>
                    <w:rPr>
                      <w:rFonts w:hint="eastAsia"/>
                      <w:b/>
                      <w:bCs/>
                      <w:color w:val="auto"/>
                      <w:sz w:val="21"/>
                      <w:szCs w:val="22"/>
                      <w:lang w:val="en-US" w:eastAsia="zh-CN"/>
                    </w:rPr>
                    <w:t>产</w:t>
                  </w:r>
                  <w:r>
                    <w:rPr>
                      <w:rFonts w:hint="eastAsia"/>
                      <w:b/>
                      <w:bCs/>
                      <w:color w:val="auto"/>
                      <w:sz w:val="21"/>
                      <w:szCs w:val="22"/>
                    </w:rPr>
                    <w:t>能力（只/年）</w:t>
                  </w:r>
                </w:p>
              </w:tc>
              <w:tc>
                <w:tcPr>
                  <w:tcW w:w="1123" w:type="dxa"/>
                  <w:tcBorders>
                    <w:tl2br w:val="nil"/>
                    <w:tr2bl w:val="nil"/>
                  </w:tcBorders>
                  <w:vAlign w:val="center"/>
                </w:tcPr>
                <w:p w14:paraId="0F066DA3">
                  <w:pPr>
                    <w:pStyle w:val="10"/>
                    <w:spacing w:before="0" w:after="0" w:line="240" w:lineRule="auto"/>
                    <w:ind w:right="0"/>
                    <w:jc w:val="center"/>
                    <w:rPr>
                      <w:rFonts w:hint="default" w:eastAsia="宋体"/>
                      <w:b/>
                      <w:bCs/>
                      <w:color w:val="auto"/>
                      <w:sz w:val="21"/>
                      <w:szCs w:val="22"/>
                      <w:lang w:val="en-US" w:eastAsia="zh-CN"/>
                    </w:rPr>
                  </w:pPr>
                  <w:r>
                    <w:rPr>
                      <w:rFonts w:hint="eastAsia"/>
                      <w:b/>
                      <w:bCs/>
                      <w:color w:val="auto"/>
                      <w:sz w:val="21"/>
                      <w:szCs w:val="22"/>
                      <w:lang w:val="en-US" w:eastAsia="zh-CN"/>
                    </w:rPr>
                    <w:t>扩建项目设计产能力</w:t>
                  </w:r>
                  <w:r>
                    <w:rPr>
                      <w:rFonts w:hint="eastAsia"/>
                      <w:b/>
                      <w:bCs/>
                      <w:color w:val="auto"/>
                      <w:sz w:val="21"/>
                      <w:szCs w:val="22"/>
                    </w:rPr>
                    <w:t>（只/年）</w:t>
                  </w:r>
                </w:p>
              </w:tc>
              <w:tc>
                <w:tcPr>
                  <w:tcW w:w="1202" w:type="dxa"/>
                  <w:tcBorders>
                    <w:tl2br w:val="nil"/>
                    <w:tr2bl w:val="nil"/>
                  </w:tcBorders>
                  <w:vAlign w:val="center"/>
                </w:tcPr>
                <w:p w14:paraId="7F4E8F8F">
                  <w:pPr>
                    <w:pStyle w:val="10"/>
                    <w:spacing w:before="0" w:after="0" w:line="240" w:lineRule="auto"/>
                    <w:ind w:right="0"/>
                    <w:jc w:val="center"/>
                    <w:rPr>
                      <w:rFonts w:hint="eastAsia"/>
                      <w:b/>
                      <w:bCs/>
                      <w:color w:val="auto"/>
                      <w:sz w:val="21"/>
                      <w:szCs w:val="22"/>
                    </w:rPr>
                  </w:pPr>
                  <w:r>
                    <w:rPr>
                      <w:rFonts w:hint="eastAsia"/>
                      <w:b/>
                      <w:bCs/>
                      <w:color w:val="auto"/>
                      <w:sz w:val="21"/>
                      <w:szCs w:val="22"/>
                      <w:lang w:val="en-US" w:eastAsia="zh-CN"/>
                    </w:rPr>
                    <w:t>扩建后全厂</w:t>
                  </w:r>
                  <w:r>
                    <w:rPr>
                      <w:rFonts w:hint="eastAsia"/>
                      <w:b/>
                      <w:bCs/>
                      <w:color w:val="auto"/>
                      <w:sz w:val="21"/>
                      <w:szCs w:val="22"/>
                    </w:rPr>
                    <w:t>设计</w:t>
                  </w:r>
                  <w:r>
                    <w:rPr>
                      <w:rFonts w:hint="eastAsia"/>
                      <w:b/>
                      <w:bCs/>
                      <w:color w:val="auto"/>
                      <w:sz w:val="21"/>
                      <w:szCs w:val="22"/>
                      <w:lang w:val="en-US" w:eastAsia="zh-CN"/>
                    </w:rPr>
                    <w:t>产</w:t>
                  </w:r>
                  <w:r>
                    <w:rPr>
                      <w:rFonts w:hint="eastAsia"/>
                      <w:b/>
                      <w:bCs/>
                      <w:color w:val="auto"/>
                      <w:sz w:val="21"/>
                      <w:szCs w:val="22"/>
                    </w:rPr>
                    <w:t>能力（只/年）</w:t>
                  </w:r>
                </w:p>
              </w:tc>
              <w:tc>
                <w:tcPr>
                  <w:tcW w:w="897" w:type="dxa"/>
                  <w:tcBorders>
                    <w:tl2br w:val="nil"/>
                    <w:tr2bl w:val="nil"/>
                  </w:tcBorders>
                  <w:vAlign w:val="center"/>
                </w:tcPr>
                <w:p w14:paraId="2002F672">
                  <w:pPr>
                    <w:jc w:val="center"/>
                    <w:rPr>
                      <w:b/>
                      <w:bCs/>
                      <w:color w:val="auto"/>
                    </w:rPr>
                  </w:pPr>
                  <w:r>
                    <w:rPr>
                      <w:rFonts w:hint="eastAsia"/>
                      <w:b/>
                      <w:bCs/>
                      <w:color w:val="auto"/>
                    </w:rPr>
                    <w:t>年运行时间/</w:t>
                  </w:r>
                  <w:r>
                    <w:rPr>
                      <w:b/>
                      <w:bCs/>
                      <w:color w:val="auto"/>
                    </w:rPr>
                    <w:t>h</w:t>
                  </w:r>
                </w:p>
              </w:tc>
            </w:tr>
            <w:tr w14:paraId="5F3B92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13" w:type="dxa"/>
                  <w:tcBorders>
                    <w:tl2br w:val="nil"/>
                    <w:tr2bl w:val="nil"/>
                  </w:tcBorders>
                  <w:vAlign w:val="center"/>
                </w:tcPr>
                <w:p w14:paraId="41283662">
                  <w:pPr>
                    <w:spacing w:line="280" w:lineRule="exact"/>
                    <w:jc w:val="center"/>
                    <w:rPr>
                      <w:color w:val="auto"/>
                    </w:rPr>
                  </w:pPr>
                  <w:r>
                    <w:rPr>
                      <w:color w:val="auto"/>
                    </w:rPr>
                    <w:t>1</w:t>
                  </w:r>
                </w:p>
              </w:tc>
              <w:tc>
                <w:tcPr>
                  <w:tcW w:w="1898" w:type="dxa"/>
                  <w:tcBorders>
                    <w:tl2br w:val="nil"/>
                    <w:tr2bl w:val="nil"/>
                  </w:tcBorders>
                  <w:shd w:val="clear" w:color="auto" w:fill="auto"/>
                  <w:vAlign w:val="center"/>
                </w:tcPr>
                <w:p w14:paraId="3EBB1BD4">
                  <w:pPr>
                    <w:widowControl/>
                    <w:adjustRightInd w:val="0"/>
                    <w:snapToGrid w:val="0"/>
                    <w:jc w:val="center"/>
                    <w:rPr>
                      <w:color w:val="auto"/>
                    </w:rPr>
                  </w:pPr>
                  <w:r>
                    <w:rPr>
                      <w:rFonts w:hint="eastAsia"/>
                      <w:color w:val="auto"/>
                    </w:rPr>
                    <w:t>玻璃制品激光内雕生产线1条</w:t>
                  </w:r>
                </w:p>
              </w:tc>
              <w:tc>
                <w:tcPr>
                  <w:tcW w:w="1110" w:type="dxa"/>
                  <w:tcBorders>
                    <w:tl2br w:val="nil"/>
                    <w:tr2bl w:val="nil"/>
                  </w:tcBorders>
                  <w:shd w:val="clear" w:color="auto" w:fill="auto"/>
                  <w:vAlign w:val="center"/>
                </w:tcPr>
                <w:p w14:paraId="2B275FC5">
                  <w:pPr>
                    <w:widowControl/>
                    <w:adjustRightInd w:val="0"/>
                    <w:snapToGrid w:val="0"/>
                    <w:jc w:val="center"/>
                    <w:rPr>
                      <w:color w:val="auto"/>
                    </w:rPr>
                  </w:pPr>
                  <w:r>
                    <w:rPr>
                      <w:rFonts w:hint="eastAsia"/>
                      <w:color w:val="auto"/>
                    </w:rPr>
                    <w:t>五代四开国缘水晶头</w:t>
                  </w:r>
                </w:p>
              </w:tc>
              <w:tc>
                <w:tcPr>
                  <w:tcW w:w="1200" w:type="dxa"/>
                  <w:tcBorders>
                    <w:tl2br w:val="nil"/>
                    <w:tr2bl w:val="nil"/>
                  </w:tcBorders>
                  <w:shd w:val="clear" w:color="auto" w:fill="auto"/>
                  <w:vAlign w:val="center"/>
                </w:tcPr>
                <w:p w14:paraId="2091D48C">
                  <w:pPr>
                    <w:pStyle w:val="10"/>
                    <w:spacing w:before="0" w:after="0" w:line="240" w:lineRule="auto"/>
                    <w:ind w:right="0"/>
                    <w:jc w:val="center"/>
                    <w:rPr>
                      <w:rFonts w:hint="eastAsia" w:eastAsia="宋体"/>
                      <w:color w:val="auto"/>
                      <w:sz w:val="21"/>
                      <w:szCs w:val="22"/>
                      <w:lang w:eastAsia="zh-CN"/>
                    </w:rPr>
                  </w:pPr>
                  <w:r>
                    <w:rPr>
                      <w:rFonts w:hint="eastAsia"/>
                      <w:color w:val="auto"/>
                      <w:sz w:val="21"/>
                      <w:szCs w:val="22"/>
                      <w:lang w:val="en-US" w:eastAsia="zh-CN"/>
                    </w:rPr>
                    <w:t>/</w:t>
                  </w:r>
                </w:p>
              </w:tc>
              <w:tc>
                <w:tcPr>
                  <w:tcW w:w="1123" w:type="dxa"/>
                  <w:tcBorders>
                    <w:tl2br w:val="nil"/>
                    <w:tr2bl w:val="nil"/>
                  </w:tcBorders>
                  <w:shd w:val="clear" w:color="auto" w:fill="auto"/>
                  <w:vAlign w:val="center"/>
                </w:tcPr>
                <w:p w14:paraId="70F75565">
                  <w:pPr>
                    <w:pStyle w:val="10"/>
                    <w:spacing w:before="0" w:after="0" w:line="240" w:lineRule="auto"/>
                    <w:ind w:right="0" w:rightChars="0"/>
                    <w:jc w:val="center"/>
                    <w:rPr>
                      <w:rFonts w:hint="eastAsia" w:ascii="Times New Roman" w:hAnsi="Times New Roman" w:eastAsia="宋体" w:cs="Times New Roman"/>
                      <w:color w:val="auto"/>
                      <w:kern w:val="0"/>
                      <w:sz w:val="21"/>
                      <w:szCs w:val="22"/>
                      <w:lang w:val="en-US" w:eastAsia="zh-CN" w:bidi="ar-SA"/>
                    </w:rPr>
                  </w:pPr>
                  <w:r>
                    <w:rPr>
                      <w:rFonts w:hint="eastAsia"/>
                      <w:color w:val="auto"/>
                      <w:sz w:val="21"/>
                      <w:szCs w:val="22"/>
                    </w:rPr>
                    <w:t>4500万</w:t>
                  </w:r>
                </w:p>
              </w:tc>
              <w:tc>
                <w:tcPr>
                  <w:tcW w:w="1202" w:type="dxa"/>
                  <w:tcBorders>
                    <w:tl2br w:val="nil"/>
                    <w:tr2bl w:val="nil"/>
                  </w:tcBorders>
                  <w:shd w:val="clear" w:color="auto" w:fill="auto"/>
                  <w:vAlign w:val="center"/>
                </w:tcPr>
                <w:p w14:paraId="014FBFF1">
                  <w:pPr>
                    <w:pStyle w:val="10"/>
                    <w:spacing w:before="0" w:after="0" w:line="240" w:lineRule="auto"/>
                    <w:ind w:right="0" w:rightChars="0"/>
                    <w:jc w:val="center"/>
                    <w:rPr>
                      <w:rFonts w:hint="eastAsia" w:ascii="Times New Roman" w:hAnsi="Times New Roman" w:eastAsia="宋体" w:cs="Times New Roman"/>
                      <w:color w:val="auto"/>
                      <w:kern w:val="0"/>
                      <w:sz w:val="21"/>
                      <w:szCs w:val="22"/>
                      <w:lang w:val="en-US" w:eastAsia="zh-CN" w:bidi="ar-SA"/>
                    </w:rPr>
                  </w:pPr>
                  <w:r>
                    <w:rPr>
                      <w:rFonts w:hint="eastAsia"/>
                      <w:color w:val="auto"/>
                      <w:sz w:val="21"/>
                      <w:szCs w:val="22"/>
                    </w:rPr>
                    <w:t>4500万</w:t>
                  </w:r>
                </w:p>
              </w:tc>
              <w:tc>
                <w:tcPr>
                  <w:tcW w:w="897" w:type="dxa"/>
                  <w:tcBorders>
                    <w:tl2br w:val="nil"/>
                    <w:tr2bl w:val="nil"/>
                  </w:tcBorders>
                  <w:shd w:val="clear" w:color="auto" w:fill="auto"/>
                  <w:vAlign w:val="center"/>
                </w:tcPr>
                <w:p w14:paraId="1593B962">
                  <w:pPr>
                    <w:widowControl/>
                    <w:adjustRightInd w:val="0"/>
                    <w:snapToGrid w:val="0"/>
                    <w:jc w:val="center"/>
                    <w:rPr>
                      <w:color w:val="auto"/>
                    </w:rPr>
                  </w:pPr>
                  <w:r>
                    <w:rPr>
                      <w:rFonts w:hint="eastAsia"/>
                      <w:color w:val="auto"/>
                    </w:rPr>
                    <w:t>7200</w:t>
                  </w:r>
                </w:p>
              </w:tc>
            </w:tr>
            <w:tr w14:paraId="33D7D7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13" w:type="dxa"/>
                  <w:tcBorders>
                    <w:tl2br w:val="nil"/>
                    <w:tr2bl w:val="nil"/>
                  </w:tcBorders>
                  <w:shd w:val="clear" w:color="auto" w:fill="auto"/>
                  <w:vAlign w:val="center"/>
                </w:tcPr>
                <w:p w14:paraId="0B79F220">
                  <w:pPr>
                    <w:spacing w:line="280" w:lineRule="exact"/>
                    <w:jc w:val="center"/>
                    <w:rPr>
                      <w:color w:val="auto"/>
                    </w:rPr>
                  </w:pPr>
                  <w:r>
                    <w:rPr>
                      <w:color w:val="auto"/>
                    </w:rPr>
                    <w:t>2</w:t>
                  </w:r>
                </w:p>
              </w:tc>
              <w:tc>
                <w:tcPr>
                  <w:tcW w:w="1898" w:type="dxa"/>
                  <w:tcBorders>
                    <w:tl2br w:val="nil"/>
                    <w:tr2bl w:val="nil"/>
                  </w:tcBorders>
                  <w:shd w:val="clear" w:color="auto" w:fill="auto"/>
                  <w:vAlign w:val="center"/>
                </w:tcPr>
                <w:p w14:paraId="604A5A57">
                  <w:pPr>
                    <w:widowControl/>
                    <w:adjustRightInd w:val="0"/>
                    <w:snapToGrid w:val="0"/>
                    <w:jc w:val="center"/>
                    <w:rPr>
                      <w:color w:val="auto"/>
                    </w:rPr>
                  </w:pPr>
                  <w:r>
                    <w:rPr>
                      <w:rFonts w:hint="eastAsia"/>
                      <w:color w:val="auto"/>
                    </w:rPr>
                    <w:t>玻璃酒瓶直印生产线1条</w:t>
                  </w:r>
                </w:p>
              </w:tc>
              <w:tc>
                <w:tcPr>
                  <w:tcW w:w="1110" w:type="dxa"/>
                  <w:tcBorders>
                    <w:tl2br w:val="nil"/>
                    <w:tr2bl w:val="nil"/>
                  </w:tcBorders>
                  <w:shd w:val="clear" w:color="auto" w:fill="auto"/>
                  <w:vAlign w:val="center"/>
                </w:tcPr>
                <w:p w14:paraId="1F789599">
                  <w:pPr>
                    <w:widowControl/>
                    <w:adjustRightInd w:val="0"/>
                    <w:snapToGrid w:val="0"/>
                    <w:jc w:val="center"/>
                    <w:rPr>
                      <w:color w:val="auto"/>
                    </w:rPr>
                  </w:pPr>
                  <w:r>
                    <w:rPr>
                      <w:rFonts w:hint="eastAsia"/>
                      <w:color w:val="auto"/>
                    </w:rPr>
                    <w:t>梦之蓝水晶版酒瓶</w:t>
                  </w:r>
                </w:p>
              </w:tc>
              <w:tc>
                <w:tcPr>
                  <w:tcW w:w="1200" w:type="dxa"/>
                  <w:tcBorders>
                    <w:tl2br w:val="nil"/>
                    <w:tr2bl w:val="nil"/>
                  </w:tcBorders>
                  <w:shd w:val="clear" w:color="auto" w:fill="auto"/>
                  <w:vAlign w:val="center"/>
                </w:tcPr>
                <w:p w14:paraId="700FC7D3">
                  <w:pPr>
                    <w:pStyle w:val="10"/>
                    <w:spacing w:before="0" w:after="0" w:line="240" w:lineRule="auto"/>
                    <w:ind w:right="0"/>
                    <w:jc w:val="center"/>
                    <w:rPr>
                      <w:rFonts w:hint="eastAsia" w:eastAsia="宋体"/>
                      <w:color w:val="auto"/>
                      <w:sz w:val="21"/>
                      <w:szCs w:val="22"/>
                      <w:lang w:eastAsia="zh-CN"/>
                    </w:rPr>
                  </w:pPr>
                  <w:r>
                    <w:rPr>
                      <w:rFonts w:hint="eastAsia"/>
                      <w:color w:val="auto"/>
                      <w:sz w:val="21"/>
                      <w:szCs w:val="22"/>
                      <w:lang w:val="en-US" w:eastAsia="zh-CN"/>
                    </w:rPr>
                    <w:t>/</w:t>
                  </w:r>
                </w:p>
              </w:tc>
              <w:tc>
                <w:tcPr>
                  <w:tcW w:w="1123" w:type="dxa"/>
                  <w:tcBorders>
                    <w:tl2br w:val="nil"/>
                    <w:tr2bl w:val="nil"/>
                  </w:tcBorders>
                  <w:shd w:val="clear" w:color="auto" w:fill="auto"/>
                  <w:vAlign w:val="center"/>
                </w:tcPr>
                <w:p w14:paraId="4FB38F69">
                  <w:pPr>
                    <w:pStyle w:val="10"/>
                    <w:spacing w:before="0" w:after="0" w:line="240" w:lineRule="auto"/>
                    <w:ind w:right="0" w:rightChars="0"/>
                    <w:jc w:val="center"/>
                    <w:rPr>
                      <w:rFonts w:hint="eastAsia" w:ascii="Times New Roman" w:hAnsi="Times New Roman" w:eastAsia="宋体" w:cs="Times New Roman"/>
                      <w:color w:val="auto"/>
                      <w:kern w:val="0"/>
                      <w:sz w:val="21"/>
                      <w:szCs w:val="22"/>
                      <w:lang w:val="en-US" w:eastAsia="zh-CN" w:bidi="ar-SA"/>
                    </w:rPr>
                  </w:pPr>
                  <w:r>
                    <w:rPr>
                      <w:rFonts w:hint="eastAsia"/>
                      <w:color w:val="auto"/>
                      <w:sz w:val="21"/>
                      <w:szCs w:val="22"/>
                    </w:rPr>
                    <w:t>1000万</w:t>
                  </w:r>
                </w:p>
              </w:tc>
              <w:tc>
                <w:tcPr>
                  <w:tcW w:w="1202" w:type="dxa"/>
                  <w:tcBorders>
                    <w:tl2br w:val="nil"/>
                    <w:tr2bl w:val="nil"/>
                  </w:tcBorders>
                  <w:shd w:val="clear" w:color="auto" w:fill="auto"/>
                  <w:vAlign w:val="center"/>
                </w:tcPr>
                <w:p w14:paraId="747B052A">
                  <w:pPr>
                    <w:pStyle w:val="10"/>
                    <w:spacing w:before="0" w:after="0" w:line="240" w:lineRule="auto"/>
                    <w:ind w:right="0" w:rightChars="0"/>
                    <w:jc w:val="center"/>
                    <w:rPr>
                      <w:rFonts w:hint="eastAsia" w:ascii="Times New Roman" w:hAnsi="Times New Roman" w:eastAsia="宋体" w:cs="Times New Roman"/>
                      <w:color w:val="auto"/>
                      <w:kern w:val="0"/>
                      <w:sz w:val="21"/>
                      <w:szCs w:val="22"/>
                      <w:lang w:val="en-US" w:eastAsia="zh-CN" w:bidi="ar-SA"/>
                    </w:rPr>
                  </w:pPr>
                  <w:r>
                    <w:rPr>
                      <w:rFonts w:hint="eastAsia"/>
                      <w:color w:val="auto"/>
                      <w:sz w:val="21"/>
                      <w:szCs w:val="22"/>
                    </w:rPr>
                    <w:t>1000万</w:t>
                  </w:r>
                </w:p>
              </w:tc>
              <w:tc>
                <w:tcPr>
                  <w:tcW w:w="897" w:type="dxa"/>
                  <w:tcBorders>
                    <w:tl2br w:val="nil"/>
                    <w:tr2bl w:val="nil"/>
                  </w:tcBorders>
                  <w:shd w:val="clear" w:color="auto" w:fill="auto"/>
                  <w:vAlign w:val="center"/>
                </w:tcPr>
                <w:p w14:paraId="2871E12A">
                  <w:pPr>
                    <w:widowControl/>
                    <w:adjustRightInd w:val="0"/>
                    <w:snapToGrid w:val="0"/>
                    <w:jc w:val="center"/>
                    <w:rPr>
                      <w:color w:val="auto"/>
                    </w:rPr>
                  </w:pPr>
                  <w:r>
                    <w:rPr>
                      <w:rFonts w:hint="eastAsia"/>
                      <w:color w:val="auto"/>
                    </w:rPr>
                    <w:t>7200</w:t>
                  </w:r>
                </w:p>
              </w:tc>
            </w:tr>
            <w:tr w14:paraId="4E39A6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13" w:type="dxa"/>
                  <w:tcBorders>
                    <w:tl2br w:val="nil"/>
                    <w:tr2bl w:val="nil"/>
                  </w:tcBorders>
                  <w:shd w:val="clear" w:color="auto" w:fill="auto"/>
                  <w:vAlign w:val="center"/>
                </w:tcPr>
                <w:p w14:paraId="7A6BBD60">
                  <w:pPr>
                    <w:spacing w:line="280" w:lineRule="exact"/>
                    <w:jc w:val="center"/>
                    <w:rPr>
                      <w:color w:val="auto"/>
                    </w:rPr>
                  </w:pPr>
                  <w:r>
                    <w:rPr>
                      <w:color w:val="auto"/>
                    </w:rPr>
                    <w:t>3</w:t>
                  </w:r>
                </w:p>
              </w:tc>
              <w:tc>
                <w:tcPr>
                  <w:tcW w:w="1898" w:type="dxa"/>
                  <w:tcBorders>
                    <w:tl2br w:val="nil"/>
                    <w:tr2bl w:val="nil"/>
                  </w:tcBorders>
                  <w:shd w:val="clear" w:color="auto" w:fill="auto"/>
                  <w:vAlign w:val="center"/>
                </w:tcPr>
                <w:p w14:paraId="124CF740">
                  <w:pPr>
                    <w:widowControl/>
                    <w:adjustRightInd w:val="0"/>
                    <w:snapToGrid w:val="0"/>
                    <w:jc w:val="center"/>
                    <w:rPr>
                      <w:color w:val="auto"/>
                    </w:rPr>
                  </w:pPr>
                  <w:r>
                    <w:rPr>
                      <w:rFonts w:hint="eastAsia"/>
                      <w:color w:val="auto"/>
                    </w:rPr>
                    <w:t>玻璃酒瓶</w:t>
                  </w:r>
                  <w:r>
                    <w:rPr>
                      <w:rFonts w:hint="eastAsia"/>
                      <w:color w:val="auto"/>
                      <w:lang w:val="en-US" w:eastAsia="zh-CN"/>
                    </w:rPr>
                    <w:t>直</w:t>
                  </w:r>
                  <w:r>
                    <w:rPr>
                      <w:rFonts w:hint="eastAsia"/>
                      <w:color w:val="auto"/>
                    </w:rPr>
                    <w:t>印生产线1条</w:t>
                  </w:r>
                </w:p>
              </w:tc>
              <w:tc>
                <w:tcPr>
                  <w:tcW w:w="1110" w:type="dxa"/>
                  <w:tcBorders>
                    <w:tl2br w:val="nil"/>
                    <w:tr2bl w:val="nil"/>
                  </w:tcBorders>
                  <w:shd w:val="clear" w:color="auto" w:fill="auto"/>
                  <w:vAlign w:val="center"/>
                </w:tcPr>
                <w:p w14:paraId="2DB610F7">
                  <w:pPr>
                    <w:widowControl/>
                    <w:adjustRightInd w:val="0"/>
                    <w:snapToGrid w:val="0"/>
                    <w:jc w:val="center"/>
                    <w:rPr>
                      <w:color w:val="auto"/>
                    </w:rPr>
                  </w:pPr>
                  <w:r>
                    <w:rPr>
                      <w:rFonts w:hint="eastAsia"/>
                      <w:color w:val="auto"/>
                    </w:rPr>
                    <w:t>国缘系列酒瓶</w:t>
                  </w:r>
                </w:p>
              </w:tc>
              <w:tc>
                <w:tcPr>
                  <w:tcW w:w="1200" w:type="dxa"/>
                  <w:tcBorders>
                    <w:tl2br w:val="nil"/>
                    <w:tr2bl w:val="nil"/>
                  </w:tcBorders>
                  <w:shd w:val="clear" w:color="auto" w:fill="auto"/>
                  <w:vAlign w:val="center"/>
                </w:tcPr>
                <w:p w14:paraId="3CB5AED8">
                  <w:pPr>
                    <w:pStyle w:val="10"/>
                    <w:spacing w:before="0" w:after="0" w:line="240" w:lineRule="auto"/>
                    <w:ind w:right="0"/>
                    <w:jc w:val="center"/>
                    <w:rPr>
                      <w:rFonts w:hint="eastAsia" w:eastAsia="宋体"/>
                      <w:color w:val="auto"/>
                      <w:sz w:val="21"/>
                      <w:szCs w:val="22"/>
                      <w:lang w:eastAsia="zh-CN"/>
                    </w:rPr>
                  </w:pPr>
                  <w:r>
                    <w:rPr>
                      <w:rFonts w:hint="eastAsia"/>
                      <w:color w:val="auto"/>
                      <w:sz w:val="21"/>
                      <w:szCs w:val="22"/>
                      <w:lang w:val="en-US" w:eastAsia="zh-CN"/>
                    </w:rPr>
                    <w:t>/</w:t>
                  </w:r>
                </w:p>
              </w:tc>
              <w:tc>
                <w:tcPr>
                  <w:tcW w:w="1123" w:type="dxa"/>
                  <w:tcBorders>
                    <w:tl2br w:val="nil"/>
                    <w:tr2bl w:val="nil"/>
                  </w:tcBorders>
                  <w:shd w:val="clear" w:color="auto" w:fill="auto"/>
                  <w:vAlign w:val="center"/>
                </w:tcPr>
                <w:p w14:paraId="65C43C8A">
                  <w:pPr>
                    <w:pStyle w:val="10"/>
                    <w:spacing w:before="0" w:after="0" w:line="240" w:lineRule="auto"/>
                    <w:ind w:right="0" w:rightChars="0"/>
                    <w:jc w:val="center"/>
                    <w:rPr>
                      <w:rFonts w:hint="eastAsia" w:ascii="Times New Roman" w:hAnsi="Times New Roman" w:eastAsia="宋体" w:cs="Times New Roman"/>
                      <w:color w:val="auto"/>
                      <w:kern w:val="0"/>
                      <w:sz w:val="21"/>
                      <w:szCs w:val="22"/>
                      <w:lang w:val="en-US" w:eastAsia="zh-CN" w:bidi="ar-SA"/>
                    </w:rPr>
                  </w:pPr>
                  <w:r>
                    <w:rPr>
                      <w:rFonts w:hint="eastAsia"/>
                      <w:color w:val="auto"/>
                      <w:sz w:val="21"/>
                      <w:szCs w:val="22"/>
                    </w:rPr>
                    <w:t>1000万</w:t>
                  </w:r>
                </w:p>
              </w:tc>
              <w:tc>
                <w:tcPr>
                  <w:tcW w:w="1202" w:type="dxa"/>
                  <w:tcBorders>
                    <w:tl2br w:val="nil"/>
                    <w:tr2bl w:val="nil"/>
                  </w:tcBorders>
                  <w:shd w:val="clear" w:color="auto" w:fill="auto"/>
                  <w:vAlign w:val="center"/>
                </w:tcPr>
                <w:p w14:paraId="382D21E2">
                  <w:pPr>
                    <w:pStyle w:val="10"/>
                    <w:spacing w:before="0" w:after="0" w:line="240" w:lineRule="auto"/>
                    <w:ind w:right="0" w:rightChars="0"/>
                    <w:jc w:val="center"/>
                    <w:rPr>
                      <w:rFonts w:hint="eastAsia" w:ascii="Times New Roman" w:hAnsi="Times New Roman" w:eastAsia="宋体" w:cs="Times New Roman"/>
                      <w:color w:val="auto"/>
                      <w:kern w:val="0"/>
                      <w:sz w:val="21"/>
                      <w:szCs w:val="22"/>
                      <w:lang w:val="en-US" w:eastAsia="zh-CN" w:bidi="ar-SA"/>
                    </w:rPr>
                  </w:pPr>
                  <w:r>
                    <w:rPr>
                      <w:rFonts w:hint="eastAsia"/>
                      <w:color w:val="auto"/>
                      <w:sz w:val="21"/>
                      <w:szCs w:val="22"/>
                    </w:rPr>
                    <w:t>1000万</w:t>
                  </w:r>
                </w:p>
              </w:tc>
              <w:tc>
                <w:tcPr>
                  <w:tcW w:w="897" w:type="dxa"/>
                  <w:tcBorders>
                    <w:tl2br w:val="nil"/>
                    <w:tr2bl w:val="nil"/>
                  </w:tcBorders>
                  <w:shd w:val="clear" w:color="auto" w:fill="auto"/>
                  <w:vAlign w:val="center"/>
                </w:tcPr>
                <w:p w14:paraId="21016984">
                  <w:pPr>
                    <w:widowControl/>
                    <w:adjustRightInd w:val="0"/>
                    <w:snapToGrid w:val="0"/>
                    <w:jc w:val="center"/>
                    <w:rPr>
                      <w:color w:val="auto"/>
                    </w:rPr>
                  </w:pPr>
                  <w:r>
                    <w:rPr>
                      <w:rFonts w:hint="eastAsia"/>
                      <w:color w:val="auto"/>
                    </w:rPr>
                    <w:t>7200</w:t>
                  </w:r>
                </w:p>
              </w:tc>
            </w:tr>
            <w:tr w14:paraId="309DFE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13" w:type="dxa"/>
                  <w:tcBorders>
                    <w:tl2br w:val="nil"/>
                    <w:tr2bl w:val="nil"/>
                  </w:tcBorders>
                  <w:shd w:val="clear" w:color="auto" w:fill="auto"/>
                  <w:vAlign w:val="center"/>
                </w:tcPr>
                <w:p w14:paraId="7230533D">
                  <w:pPr>
                    <w:spacing w:line="280" w:lineRule="exact"/>
                    <w:jc w:val="center"/>
                    <w:rPr>
                      <w:rFonts w:hint="eastAsia" w:eastAsia="宋体"/>
                      <w:color w:val="auto"/>
                      <w:lang w:val="en-US" w:eastAsia="zh-CN"/>
                    </w:rPr>
                  </w:pPr>
                  <w:r>
                    <w:rPr>
                      <w:rFonts w:hint="eastAsia"/>
                      <w:color w:val="auto"/>
                      <w:lang w:val="en-US" w:eastAsia="zh-CN"/>
                    </w:rPr>
                    <w:t>4</w:t>
                  </w:r>
                </w:p>
              </w:tc>
              <w:tc>
                <w:tcPr>
                  <w:tcW w:w="1898" w:type="dxa"/>
                  <w:tcBorders>
                    <w:tl2br w:val="nil"/>
                    <w:tr2bl w:val="nil"/>
                  </w:tcBorders>
                  <w:shd w:val="clear" w:color="auto" w:fill="auto"/>
                  <w:vAlign w:val="center"/>
                </w:tcPr>
                <w:p w14:paraId="5D11BD23">
                  <w:pPr>
                    <w:widowControl/>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eastAsia"/>
                      <w:color w:val="auto"/>
                      <w:lang w:val="en-US" w:eastAsia="zh-CN"/>
                    </w:rPr>
                    <w:t>玻璃酒瓶热转印生产线1条</w:t>
                  </w:r>
                </w:p>
              </w:tc>
              <w:tc>
                <w:tcPr>
                  <w:tcW w:w="1110" w:type="dxa"/>
                  <w:tcBorders>
                    <w:tl2br w:val="nil"/>
                    <w:tr2bl w:val="nil"/>
                  </w:tcBorders>
                  <w:shd w:val="clear" w:color="auto" w:fill="auto"/>
                  <w:vAlign w:val="center"/>
                </w:tcPr>
                <w:p w14:paraId="4547107C">
                  <w:pPr>
                    <w:widowControl/>
                    <w:adjustRightInd w:val="0"/>
                    <w:snapToGrid w:val="0"/>
                    <w:jc w:val="center"/>
                    <w:rPr>
                      <w:rFonts w:hint="eastAsia" w:ascii="Times New Roman" w:hAnsi="Times New Roman" w:eastAsia="宋体" w:cs="Times New Roman"/>
                      <w:color w:val="auto"/>
                      <w:kern w:val="2"/>
                      <w:sz w:val="21"/>
                      <w:szCs w:val="24"/>
                      <w:lang w:val="en-US" w:eastAsia="zh-CN" w:bidi="ar-SA"/>
                    </w:rPr>
                  </w:pPr>
                  <w:r>
                    <w:rPr>
                      <w:rFonts w:hint="eastAsia"/>
                      <w:color w:val="auto"/>
                    </w:rPr>
                    <w:t>高线光瓶酒系列酒瓶</w:t>
                  </w:r>
                </w:p>
              </w:tc>
              <w:tc>
                <w:tcPr>
                  <w:tcW w:w="1200" w:type="dxa"/>
                  <w:tcBorders>
                    <w:tl2br w:val="nil"/>
                    <w:tr2bl w:val="nil"/>
                  </w:tcBorders>
                  <w:shd w:val="clear" w:color="auto" w:fill="auto"/>
                  <w:vAlign w:val="center"/>
                </w:tcPr>
                <w:p w14:paraId="2A5F3BF9">
                  <w:pPr>
                    <w:pStyle w:val="10"/>
                    <w:spacing w:before="0" w:after="0" w:line="240" w:lineRule="auto"/>
                    <w:ind w:right="0" w:rightChars="0"/>
                    <w:jc w:val="center"/>
                    <w:rPr>
                      <w:rFonts w:hint="eastAsia" w:ascii="Times New Roman" w:hAnsi="Times New Roman" w:eastAsia="宋体" w:cs="Times New Roman"/>
                      <w:color w:val="auto"/>
                      <w:kern w:val="0"/>
                      <w:sz w:val="21"/>
                      <w:szCs w:val="22"/>
                      <w:lang w:val="en-US" w:eastAsia="zh-CN" w:bidi="ar-SA"/>
                    </w:rPr>
                  </w:pPr>
                  <w:r>
                    <w:rPr>
                      <w:rFonts w:hint="eastAsia"/>
                      <w:color w:val="auto"/>
                      <w:sz w:val="21"/>
                      <w:szCs w:val="22"/>
                      <w:lang w:val="en-US" w:eastAsia="zh-CN"/>
                    </w:rPr>
                    <w:t>/</w:t>
                  </w:r>
                </w:p>
              </w:tc>
              <w:tc>
                <w:tcPr>
                  <w:tcW w:w="1123" w:type="dxa"/>
                  <w:tcBorders>
                    <w:tl2br w:val="nil"/>
                    <w:tr2bl w:val="nil"/>
                  </w:tcBorders>
                  <w:shd w:val="clear" w:color="auto" w:fill="auto"/>
                  <w:vAlign w:val="center"/>
                </w:tcPr>
                <w:p w14:paraId="2C007109">
                  <w:pPr>
                    <w:pStyle w:val="10"/>
                    <w:spacing w:before="0" w:after="0" w:line="240" w:lineRule="auto"/>
                    <w:ind w:right="0" w:rightChars="0"/>
                    <w:jc w:val="center"/>
                    <w:rPr>
                      <w:rFonts w:hint="eastAsia"/>
                      <w:color w:val="auto"/>
                      <w:sz w:val="21"/>
                      <w:szCs w:val="22"/>
                    </w:rPr>
                  </w:pPr>
                  <w:r>
                    <w:rPr>
                      <w:rFonts w:hint="eastAsia"/>
                      <w:color w:val="auto"/>
                      <w:sz w:val="21"/>
                      <w:szCs w:val="22"/>
                      <w:lang w:val="en-US" w:eastAsia="zh-CN"/>
                    </w:rPr>
                    <w:t>800万</w:t>
                  </w:r>
                </w:p>
              </w:tc>
              <w:tc>
                <w:tcPr>
                  <w:tcW w:w="1202" w:type="dxa"/>
                  <w:tcBorders>
                    <w:tl2br w:val="nil"/>
                    <w:tr2bl w:val="nil"/>
                  </w:tcBorders>
                  <w:shd w:val="clear" w:color="auto" w:fill="auto"/>
                  <w:vAlign w:val="center"/>
                </w:tcPr>
                <w:p w14:paraId="410CC6E9">
                  <w:pPr>
                    <w:pStyle w:val="10"/>
                    <w:spacing w:before="0" w:after="0" w:line="240" w:lineRule="auto"/>
                    <w:ind w:right="0" w:rightChars="0"/>
                    <w:jc w:val="center"/>
                    <w:rPr>
                      <w:rFonts w:hint="eastAsia"/>
                      <w:color w:val="auto"/>
                      <w:sz w:val="21"/>
                      <w:szCs w:val="22"/>
                    </w:rPr>
                  </w:pPr>
                  <w:r>
                    <w:rPr>
                      <w:rFonts w:hint="eastAsia"/>
                      <w:color w:val="auto"/>
                      <w:sz w:val="21"/>
                      <w:szCs w:val="22"/>
                      <w:lang w:val="en-US" w:eastAsia="zh-CN"/>
                    </w:rPr>
                    <w:t>800万</w:t>
                  </w:r>
                </w:p>
              </w:tc>
              <w:tc>
                <w:tcPr>
                  <w:tcW w:w="897" w:type="dxa"/>
                  <w:tcBorders>
                    <w:tl2br w:val="nil"/>
                    <w:tr2bl w:val="nil"/>
                  </w:tcBorders>
                  <w:shd w:val="clear" w:color="auto" w:fill="auto"/>
                  <w:vAlign w:val="center"/>
                </w:tcPr>
                <w:p w14:paraId="1814A39E">
                  <w:pPr>
                    <w:widowControl/>
                    <w:adjustRightInd w:val="0"/>
                    <w:snapToGrid w:val="0"/>
                    <w:jc w:val="center"/>
                    <w:rPr>
                      <w:rFonts w:hint="default" w:eastAsia="宋体"/>
                      <w:color w:val="auto"/>
                      <w:lang w:val="en-US" w:eastAsia="zh-CN"/>
                    </w:rPr>
                  </w:pPr>
                  <w:r>
                    <w:rPr>
                      <w:rFonts w:hint="eastAsia"/>
                      <w:color w:val="auto"/>
                      <w:lang w:val="en-US" w:eastAsia="zh-CN"/>
                    </w:rPr>
                    <w:t>7200</w:t>
                  </w:r>
                </w:p>
              </w:tc>
            </w:tr>
            <w:tr w14:paraId="0AAD5F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13" w:type="dxa"/>
                  <w:tcBorders>
                    <w:tl2br w:val="nil"/>
                    <w:tr2bl w:val="nil"/>
                  </w:tcBorders>
                  <w:shd w:val="clear" w:color="auto" w:fill="auto"/>
                  <w:vAlign w:val="center"/>
                </w:tcPr>
                <w:p w14:paraId="14BB02E7">
                  <w:pPr>
                    <w:spacing w:line="280" w:lineRule="exact"/>
                    <w:jc w:val="center"/>
                    <w:rPr>
                      <w:rFonts w:hint="eastAsia" w:eastAsia="宋体"/>
                      <w:color w:val="auto"/>
                      <w:lang w:eastAsia="zh-CN"/>
                    </w:rPr>
                  </w:pPr>
                  <w:r>
                    <w:rPr>
                      <w:rFonts w:hint="eastAsia"/>
                      <w:color w:val="auto"/>
                      <w:lang w:val="en-US" w:eastAsia="zh-CN"/>
                    </w:rPr>
                    <w:t>5</w:t>
                  </w:r>
                </w:p>
              </w:tc>
              <w:tc>
                <w:tcPr>
                  <w:tcW w:w="1898" w:type="dxa"/>
                  <w:tcBorders>
                    <w:tl2br w:val="nil"/>
                    <w:tr2bl w:val="nil"/>
                  </w:tcBorders>
                  <w:shd w:val="clear" w:color="auto" w:fill="auto"/>
                  <w:vAlign w:val="center"/>
                </w:tcPr>
                <w:p w14:paraId="656B0E2A">
                  <w:pPr>
                    <w:widowControl/>
                    <w:adjustRightInd w:val="0"/>
                    <w:snapToGrid w:val="0"/>
                    <w:jc w:val="center"/>
                    <w:rPr>
                      <w:color w:val="auto"/>
                    </w:rPr>
                  </w:pPr>
                  <w:r>
                    <w:rPr>
                      <w:rFonts w:hint="eastAsia"/>
                      <w:color w:val="auto"/>
                    </w:rPr>
                    <w:t>玻璃酒瓶制瓶生产线4条</w:t>
                  </w:r>
                </w:p>
              </w:tc>
              <w:tc>
                <w:tcPr>
                  <w:tcW w:w="1110" w:type="dxa"/>
                  <w:tcBorders>
                    <w:tl2br w:val="nil"/>
                    <w:tr2bl w:val="nil"/>
                  </w:tcBorders>
                  <w:shd w:val="clear" w:color="auto" w:fill="auto"/>
                  <w:vAlign w:val="center"/>
                </w:tcPr>
                <w:p w14:paraId="570B4E94">
                  <w:pPr>
                    <w:widowControl/>
                    <w:adjustRightInd w:val="0"/>
                    <w:snapToGrid w:val="0"/>
                    <w:jc w:val="center"/>
                    <w:rPr>
                      <w:color w:val="auto"/>
                    </w:rPr>
                  </w:pPr>
                  <w:r>
                    <w:rPr>
                      <w:rFonts w:hint="eastAsia"/>
                      <w:color w:val="auto"/>
                    </w:rPr>
                    <w:t>白料酒瓶</w:t>
                  </w:r>
                </w:p>
              </w:tc>
              <w:tc>
                <w:tcPr>
                  <w:tcW w:w="1200" w:type="dxa"/>
                  <w:tcBorders>
                    <w:tl2br w:val="nil"/>
                    <w:tr2bl w:val="nil"/>
                  </w:tcBorders>
                  <w:shd w:val="clear" w:color="auto" w:fill="auto"/>
                  <w:vAlign w:val="center"/>
                </w:tcPr>
                <w:p w14:paraId="67D25E21">
                  <w:pPr>
                    <w:pStyle w:val="10"/>
                    <w:spacing w:before="0" w:after="0" w:line="240" w:lineRule="auto"/>
                    <w:ind w:right="0"/>
                    <w:jc w:val="center"/>
                    <w:rPr>
                      <w:color w:val="auto"/>
                      <w:sz w:val="21"/>
                      <w:szCs w:val="22"/>
                    </w:rPr>
                  </w:pPr>
                  <w:r>
                    <w:rPr>
                      <w:rFonts w:hint="eastAsia"/>
                      <w:color w:val="auto"/>
                      <w:sz w:val="21"/>
                      <w:szCs w:val="22"/>
                    </w:rPr>
                    <w:t>1.1亿</w:t>
                  </w:r>
                </w:p>
              </w:tc>
              <w:tc>
                <w:tcPr>
                  <w:tcW w:w="1123" w:type="dxa"/>
                  <w:tcBorders>
                    <w:tl2br w:val="nil"/>
                    <w:tr2bl w:val="nil"/>
                  </w:tcBorders>
                  <w:shd w:val="clear" w:color="auto" w:fill="auto"/>
                  <w:vAlign w:val="center"/>
                </w:tcPr>
                <w:p w14:paraId="5B82363D">
                  <w:pPr>
                    <w:pStyle w:val="10"/>
                    <w:spacing w:before="0" w:after="0" w:line="240" w:lineRule="auto"/>
                    <w:ind w:right="0"/>
                    <w:jc w:val="center"/>
                    <w:rPr>
                      <w:rFonts w:hint="eastAsia" w:eastAsia="宋体"/>
                      <w:color w:val="auto"/>
                      <w:sz w:val="21"/>
                      <w:szCs w:val="22"/>
                      <w:lang w:val="en-US" w:eastAsia="zh-CN"/>
                    </w:rPr>
                  </w:pPr>
                  <w:r>
                    <w:rPr>
                      <w:rFonts w:hint="eastAsia"/>
                      <w:color w:val="auto"/>
                      <w:sz w:val="21"/>
                      <w:szCs w:val="22"/>
                      <w:lang w:val="en-US" w:eastAsia="zh-CN"/>
                    </w:rPr>
                    <w:t>/</w:t>
                  </w:r>
                </w:p>
              </w:tc>
              <w:tc>
                <w:tcPr>
                  <w:tcW w:w="1202" w:type="dxa"/>
                  <w:tcBorders>
                    <w:tl2br w:val="nil"/>
                    <w:tr2bl w:val="nil"/>
                  </w:tcBorders>
                  <w:shd w:val="clear" w:color="auto" w:fill="auto"/>
                  <w:vAlign w:val="center"/>
                </w:tcPr>
                <w:p w14:paraId="38BF99CE">
                  <w:pPr>
                    <w:pStyle w:val="10"/>
                    <w:spacing w:before="0" w:after="0" w:line="240" w:lineRule="auto"/>
                    <w:ind w:right="0" w:rightChars="0"/>
                    <w:jc w:val="center"/>
                    <w:rPr>
                      <w:rFonts w:hint="eastAsia" w:ascii="Times New Roman" w:hAnsi="Times New Roman" w:eastAsia="宋体" w:cs="Times New Roman"/>
                      <w:color w:val="auto"/>
                      <w:kern w:val="0"/>
                      <w:sz w:val="21"/>
                      <w:szCs w:val="22"/>
                      <w:lang w:val="en-US" w:eastAsia="zh-CN" w:bidi="ar-SA"/>
                    </w:rPr>
                  </w:pPr>
                  <w:r>
                    <w:rPr>
                      <w:rFonts w:hint="eastAsia"/>
                      <w:color w:val="auto"/>
                      <w:sz w:val="21"/>
                      <w:szCs w:val="22"/>
                    </w:rPr>
                    <w:t>1.1亿</w:t>
                  </w:r>
                </w:p>
              </w:tc>
              <w:tc>
                <w:tcPr>
                  <w:tcW w:w="897" w:type="dxa"/>
                  <w:tcBorders>
                    <w:tl2br w:val="nil"/>
                    <w:tr2bl w:val="nil"/>
                  </w:tcBorders>
                  <w:shd w:val="clear" w:color="auto" w:fill="auto"/>
                  <w:vAlign w:val="center"/>
                </w:tcPr>
                <w:p w14:paraId="0C71F414">
                  <w:pPr>
                    <w:widowControl/>
                    <w:adjustRightInd w:val="0"/>
                    <w:snapToGrid w:val="0"/>
                    <w:jc w:val="center"/>
                    <w:rPr>
                      <w:color w:val="auto"/>
                    </w:rPr>
                  </w:pPr>
                  <w:r>
                    <w:rPr>
                      <w:rFonts w:hint="eastAsia"/>
                      <w:color w:val="auto"/>
                    </w:rPr>
                    <w:t>7200</w:t>
                  </w:r>
                </w:p>
              </w:tc>
            </w:tr>
            <w:tr w14:paraId="32BFB3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13" w:type="dxa"/>
                  <w:tcBorders>
                    <w:tl2br w:val="nil"/>
                    <w:tr2bl w:val="nil"/>
                  </w:tcBorders>
                  <w:shd w:val="clear" w:color="auto" w:fill="auto"/>
                  <w:vAlign w:val="center"/>
                </w:tcPr>
                <w:p w14:paraId="3841590C">
                  <w:pPr>
                    <w:spacing w:line="280" w:lineRule="exact"/>
                    <w:jc w:val="center"/>
                    <w:rPr>
                      <w:rFonts w:hint="eastAsia" w:eastAsia="宋体"/>
                      <w:color w:val="auto"/>
                      <w:lang w:eastAsia="zh-CN"/>
                    </w:rPr>
                  </w:pPr>
                  <w:r>
                    <w:rPr>
                      <w:rFonts w:hint="eastAsia"/>
                      <w:color w:val="auto"/>
                      <w:lang w:val="en-US" w:eastAsia="zh-CN"/>
                    </w:rPr>
                    <w:t>6</w:t>
                  </w:r>
                </w:p>
              </w:tc>
              <w:tc>
                <w:tcPr>
                  <w:tcW w:w="1898" w:type="dxa"/>
                  <w:tcBorders>
                    <w:tl2br w:val="nil"/>
                    <w:tr2bl w:val="nil"/>
                  </w:tcBorders>
                  <w:vAlign w:val="center"/>
                </w:tcPr>
                <w:p w14:paraId="3E01FAD3">
                  <w:pPr>
                    <w:jc w:val="center"/>
                    <w:rPr>
                      <w:color w:val="auto"/>
                    </w:rPr>
                  </w:pPr>
                  <w:r>
                    <w:rPr>
                      <w:rFonts w:hint="eastAsia"/>
                      <w:color w:val="auto"/>
                    </w:rPr>
                    <w:t>玻璃酒瓶烤花生产线6条</w:t>
                  </w:r>
                </w:p>
              </w:tc>
              <w:tc>
                <w:tcPr>
                  <w:tcW w:w="1110" w:type="dxa"/>
                  <w:tcBorders>
                    <w:tl2br w:val="nil"/>
                    <w:tr2bl w:val="nil"/>
                  </w:tcBorders>
                  <w:vAlign w:val="center"/>
                </w:tcPr>
                <w:p w14:paraId="6D0045D8">
                  <w:pPr>
                    <w:jc w:val="center"/>
                    <w:rPr>
                      <w:color w:val="auto"/>
                    </w:rPr>
                  </w:pPr>
                  <w:r>
                    <w:rPr>
                      <w:rFonts w:hint="eastAsia"/>
                      <w:color w:val="auto"/>
                    </w:rPr>
                    <w:t>烤花玻璃酒瓶</w:t>
                  </w:r>
                </w:p>
              </w:tc>
              <w:tc>
                <w:tcPr>
                  <w:tcW w:w="1200" w:type="dxa"/>
                  <w:tcBorders>
                    <w:tl2br w:val="nil"/>
                    <w:tr2bl w:val="nil"/>
                  </w:tcBorders>
                  <w:vAlign w:val="center"/>
                </w:tcPr>
                <w:p w14:paraId="3E845D77">
                  <w:pPr>
                    <w:adjustRightInd w:val="0"/>
                    <w:snapToGrid w:val="0"/>
                    <w:jc w:val="center"/>
                    <w:rPr>
                      <w:color w:val="auto"/>
                    </w:rPr>
                  </w:pPr>
                  <w:r>
                    <w:rPr>
                      <w:rFonts w:hint="eastAsia"/>
                      <w:color w:val="auto"/>
                    </w:rPr>
                    <w:t>4400万</w:t>
                  </w:r>
                </w:p>
              </w:tc>
              <w:tc>
                <w:tcPr>
                  <w:tcW w:w="1123" w:type="dxa"/>
                  <w:tcBorders>
                    <w:tl2br w:val="nil"/>
                    <w:tr2bl w:val="nil"/>
                  </w:tcBorders>
                  <w:vAlign w:val="center"/>
                </w:tcPr>
                <w:p w14:paraId="0EB2609F">
                  <w:pPr>
                    <w:adjustRightInd w:val="0"/>
                    <w:snapToGrid w:val="0"/>
                    <w:jc w:val="center"/>
                    <w:rPr>
                      <w:rFonts w:hint="eastAsia" w:eastAsia="宋体"/>
                      <w:color w:val="auto"/>
                      <w:lang w:val="en-US" w:eastAsia="zh-CN"/>
                    </w:rPr>
                  </w:pPr>
                  <w:r>
                    <w:rPr>
                      <w:rFonts w:hint="eastAsia"/>
                      <w:color w:val="auto"/>
                      <w:lang w:val="en-US" w:eastAsia="zh-CN"/>
                    </w:rPr>
                    <w:t>/</w:t>
                  </w:r>
                </w:p>
              </w:tc>
              <w:tc>
                <w:tcPr>
                  <w:tcW w:w="1202" w:type="dxa"/>
                  <w:tcBorders>
                    <w:tl2br w:val="nil"/>
                    <w:tr2bl w:val="nil"/>
                  </w:tcBorders>
                  <w:shd w:val="clear" w:color="auto" w:fill="auto"/>
                  <w:vAlign w:val="center"/>
                </w:tcPr>
                <w:p w14:paraId="677DE736">
                  <w:pPr>
                    <w:adjustRightInd w:val="0"/>
                    <w:snapToGrid w:val="0"/>
                    <w:jc w:val="center"/>
                    <w:rPr>
                      <w:rFonts w:hint="eastAsia" w:ascii="Times New Roman" w:hAnsi="Times New Roman" w:eastAsia="宋体" w:cs="Times New Roman"/>
                      <w:color w:val="auto"/>
                      <w:kern w:val="2"/>
                      <w:sz w:val="21"/>
                      <w:szCs w:val="24"/>
                      <w:lang w:val="en-US" w:eastAsia="zh-CN" w:bidi="ar-SA"/>
                    </w:rPr>
                  </w:pPr>
                  <w:r>
                    <w:rPr>
                      <w:rFonts w:hint="eastAsia"/>
                      <w:color w:val="auto"/>
                    </w:rPr>
                    <w:t>4400万</w:t>
                  </w:r>
                </w:p>
              </w:tc>
              <w:tc>
                <w:tcPr>
                  <w:tcW w:w="897" w:type="dxa"/>
                  <w:tcBorders>
                    <w:tl2br w:val="nil"/>
                    <w:tr2bl w:val="nil"/>
                  </w:tcBorders>
                  <w:vAlign w:val="center"/>
                </w:tcPr>
                <w:p w14:paraId="77026A94">
                  <w:pPr>
                    <w:jc w:val="center"/>
                    <w:rPr>
                      <w:color w:val="auto"/>
                    </w:rPr>
                  </w:pPr>
                  <w:r>
                    <w:rPr>
                      <w:rFonts w:hint="eastAsia"/>
                      <w:color w:val="auto"/>
                    </w:rPr>
                    <w:t>7200</w:t>
                  </w:r>
                </w:p>
              </w:tc>
            </w:tr>
            <w:tr w14:paraId="1B9124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13" w:type="dxa"/>
                  <w:tcBorders>
                    <w:tl2br w:val="nil"/>
                    <w:tr2bl w:val="nil"/>
                  </w:tcBorders>
                  <w:shd w:val="clear" w:color="auto" w:fill="auto"/>
                  <w:vAlign w:val="center"/>
                </w:tcPr>
                <w:p w14:paraId="7F55A8D5">
                  <w:pPr>
                    <w:spacing w:line="280" w:lineRule="exact"/>
                    <w:jc w:val="center"/>
                    <w:rPr>
                      <w:rFonts w:hint="eastAsia" w:eastAsia="宋体"/>
                      <w:color w:val="auto"/>
                      <w:lang w:eastAsia="zh-CN"/>
                    </w:rPr>
                  </w:pPr>
                  <w:r>
                    <w:rPr>
                      <w:rFonts w:hint="eastAsia"/>
                      <w:color w:val="auto"/>
                      <w:lang w:val="en-US" w:eastAsia="zh-CN"/>
                    </w:rPr>
                    <w:t>7</w:t>
                  </w:r>
                </w:p>
              </w:tc>
              <w:tc>
                <w:tcPr>
                  <w:tcW w:w="1898" w:type="dxa"/>
                  <w:tcBorders>
                    <w:tl2br w:val="nil"/>
                    <w:tr2bl w:val="nil"/>
                  </w:tcBorders>
                  <w:vAlign w:val="center"/>
                </w:tcPr>
                <w:p w14:paraId="143AFF33">
                  <w:pPr>
                    <w:jc w:val="center"/>
                    <w:rPr>
                      <w:color w:val="auto"/>
                    </w:rPr>
                  </w:pPr>
                  <w:r>
                    <w:rPr>
                      <w:rFonts w:hint="eastAsia"/>
                      <w:color w:val="auto"/>
                    </w:rPr>
                    <w:t>玻璃酒瓶喷漆生产线2条</w:t>
                  </w:r>
                </w:p>
              </w:tc>
              <w:tc>
                <w:tcPr>
                  <w:tcW w:w="1110" w:type="dxa"/>
                  <w:tcBorders>
                    <w:tl2br w:val="nil"/>
                    <w:tr2bl w:val="nil"/>
                  </w:tcBorders>
                  <w:vAlign w:val="center"/>
                </w:tcPr>
                <w:p w14:paraId="365CF8E8">
                  <w:pPr>
                    <w:jc w:val="center"/>
                    <w:rPr>
                      <w:color w:val="auto"/>
                    </w:rPr>
                  </w:pPr>
                  <w:r>
                    <w:rPr>
                      <w:rFonts w:hint="eastAsia"/>
                      <w:color w:val="auto"/>
                    </w:rPr>
                    <w:t>喷漆玻璃酒瓶</w:t>
                  </w:r>
                </w:p>
              </w:tc>
              <w:tc>
                <w:tcPr>
                  <w:tcW w:w="1200" w:type="dxa"/>
                  <w:tcBorders>
                    <w:tl2br w:val="nil"/>
                    <w:tr2bl w:val="nil"/>
                  </w:tcBorders>
                  <w:vAlign w:val="center"/>
                </w:tcPr>
                <w:p w14:paraId="27C5AAA8">
                  <w:pPr>
                    <w:jc w:val="center"/>
                    <w:rPr>
                      <w:color w:val="auto"/>
                    </w:rPr>
                  </w:pPr>
                  <w:r>
                    <w:rPr>
                      <w:rFonts w:hint="eastAsia"/>
                      <w:color w:val="auto"/>
                    </w:rPr>
                    <w:t>6000万</w:t>
                  </w:r>
                </w:p>
              </w:tc>
              <w:tc>
                <w:tcPr>
                  <w:tcW w:w="1123" w:type="dxa"/>
                  <w:tcBorders>
                    <w:tl2br w:val="nil"/>
                    <w:tr2bl w:val="nil"/>
                  </w:tcBorders>
                  <w:vAlign w:val="center"/>
                </w:tcPr>
                <w:p w14:paraId="5BD602D7">
                  <w:pPr>
                    <w:jc w:val="center"/>
                    <w:rPr>
                      <w:rFonts w:hint="eastAsia" w:eastAsia="宋体"/>
                      <w:color w:val="auto"/>
                      <w:lang w:val="en-US" w:eastAsia="zh-CN"/>
                    </w:rPr>
                  </w:pPr>
                  <w:r>
                    <w:rPr>
                      <w:rFonts w:hint="eastAsia"/>
                      <w:color w:val="auto"/>
                      <w:lang w:val="en-US" w:eastAsia="zh-CN"/>
                    </w:rPr>
                    <w:t>/</w:t>
                  </w:r>
                </w:p>
              </w:tc>
              <w:tc>
                <w:tcPr>
                  <w:tcW w:w="1202" w:type="dxa"/>
                  <w:tcBorders>
                    <w:tl2br w:val="nil"/>
                    <w:tr2bl w:val="nil"/>
                  </w:tcBorders>
                  <w:shd w:val="clear" w:color="auto" w:fill="auto"/>
                  <w:vAlign w:val="center"/>
                </w:tcPr>
                <w:p w14:paraId="1A85BF26">
                  <w:pPr>
                    <w:jc w:val="center"/>
                    <w:rPr>
                      <w:rFonts w:hint="eastAsia" w:ascii="Times New Roman" w:hAnsi="Times New Roman" w:eastAsia="宋体" w:cs="Times New Roman"/>
                      <w:color w:val="auto"/>
                      <w:kern w:val="2"/>
                      <w:sz w:val="21"/>
                      <w:szCs w:val="24"/>
                      <w:lang w:val="en-US" w:eastAsia="zh-CN" w:bidi="ar-SA"/>
                    </w:rPr>
                  </w:pPr>
                  <w:r>
                    <w:rPr>
                      <w:rFonts w:hint="eastAsia"/>
                      <w:color w:val="auto"/>
                    </w:rPr>
                    <w:t>6000万</w:t>
                  </w:r>
                </w:p>
              </w:tc>
              <w:tc>
                <w:tcPr>
                  <w:tcW w:w="897" w:type="dxa"/>
                  <w:tcBorders>
                    <w:tl2br w:val="nil"/>
                    <w:tr2bl w:val="nil"/>
                  </w:tcBorders>
                  <w:vAlign w:val="center"/>
                </w:tcPr>
                <w:p w14:paraId="6530C8B8">
                  <w:pPr>
                    <w:jc w:val="center"/>
                    <w:rPr>
                      <w:color w:val="auto"/>
                    </w:rPr>
                  </w:pPr>
                  <w:r>
                    <w:rPr>
                      <w:rFonts w:hint="eastAsia"/>
                      <w:color w:val="auto"/>
                    </w:rPr>
                    <w:t>7200</w:t>
                  </w:r>
                </w:p>
              </w:tc>
            </w:tr>
            <w:tr w14:paraId="454E1E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13" w:type="dxa"/>
                  <w:tcBorders>
                    <w:tl2br w:val="nil"/>
                    <w:tr2bl w:val="nil"/>
                  </w:tcBorders>
                  <w:vAlign w:val="center"/>
                </w:tcPr>
                <w:p w14:paraId="2A43132F">
                  <w:pPr>
                    <w:spacing w:line="280" w:lineRule="exact"/>
                    <w:jc w:val="center"/>
                    <w:rPr>
                      <w:rFonts w:hint="eastAsia" w:eastAsia="宋体"/>
                      <w:color w:val="auto"/>
                      <w:lang w:eastAsia="zh-CN"/>
                    </w:rPr>
                  </w:pPr>
                  <w:r>
                    <w:rPr>
                      <w:rFonts w:hint="eastAsia"/>
                      <w:color w:val="auto"/>
                      <w:lang w:val="en-US" w:eastAsia="zh-CN"/>
                    </w:rPr>
                    <w:t>8</w:t>
                  </w:r>
                </w:p>
              </w:tc>
              <w:tc>
                <w:tcPr>
                  <w:tcW w:w="1898" w:type="dxa"/>
                  <w:tcBorders>
                    <w:tl2br w:val="nil"/>
                    <w:tr2bl w:val="nil"/>
                  </w:tcBorders>
                  <w:vAlign w:val="center"/>
                </w:tcPr>
                <w:p w14:paraId="6A43BF8C">
                  <w:pPr>
                    <w:jc w:val="center"/>
                    <w:rPr>
                      <w:color w:val="auto"/>
                    </w:rPr>
                  </w:pPr>
                  <w:r>
                    <w:rPr>
                      <w:rFonts w:hint="eastAsia"/>
                      <w:color w:val="auto"/>
                    </w:rPr>
                    <w:t>玻璃酒瓶镀膜生产线1条</w:t>
                  </w:r>
                </w:p>
              </w:tc>
              <w:tc>
                <w:tcPr>
                  <w:tcW w:w="1110" w:type="dxa"/>
                  <w:tcBorders>
                    <w:tl2br w:val="nil"/>
                    <w:tr2bl w:val="nil"/>
                  </w:tcBorders>
                  <w:vAlign w:val="center"/>
                </w:tcPr>
                <w:p w14:paraId="44185705">
                  <w:pPr>
                    <w:jc w:val="center"/>
                    <w:rPr>
                      <w:color w:val="auto"/>
                    </w:rPr>
                  </w:pPr>
                  <w:r>
                    <w:rPr>
                      <w:rFonts w:hint="eastAsia"/>
                      <w:color w:val="auto"/>
                    </w:rPr>
                    <w:t>镀膜玻璃酒瓶</w:t>
                  </w:r>
                </w:p>
              </w:tc>
              <w:tc>
                <w:tcPr>
                  <w:tcW w:w="1200" w:type="dxa"/>
                  <w:tcBorders>
                    <w:tl2br w:val="nil"/>
                    <w:tr2bl w:val="nil"/>
                  </w:tcBorders>
                  <w:vAlign w:val="center"/>
                </w:tcPr>
                <w:p w14:paraId="74CF29A3">
                  <w:pPr>
                    <w:jc w:val="center"/>
                    <w:rPr>
                      <w:color w:val="auto"/>
                    </w:rPr>
                  </w:pPr>
                  <w:r>
                    <w:rPr>
                      <w:rFonts w:hint="eastAsia"/>
                      <w:color w:val="auto"/>
                    </w:rPr>
                    <w:t>600万</w:t>
                  </w:r>
                </w:p>
              </w:tc>
              <w:tc>
                <w:tcPr>
                  <w:tcW w:w="1123" w:type="dxa"/>
                  <w:tcBorders>
                    <w:tl2br w:val="nil"/>
                    <w:tr2bl w:val="nil"/>
                  </w:tcBorders>
                  <w:vAlign w:val="center"/>
                </w:tcPr>
                <w:p w14:paraId="303EDF92">
                  <w:pPr>
                    <w:jc w:val="center"/>
                    <w:rPr>
                      <w:rFonts w:hint="eastAsia" w:eastAsia="宋体"/>
                      <w:color w:val="auto"/>
                      <w:lang w:val="en-US" w:eastAsia="zh-CN"/>
                    </w:rPr>
                  </w:pPr>
                  <w:r>
                    <w:rPr>
                      <w:rFonts w:hint="eastAsia"/>
                      <w:color w:val="auto"/>
                      <w:lang w:val="en-US" w:eastAsia="zh-CN"/>
                    </w:rPr>
                    <w:t>/</w:t>
                  </w:r>
                </w:p>
              </w:tc>
              <w:tc>
                <w:tcPr>
                  <w:tcW w:w="1202" w:type="dxa"/>
                  <w:tcBorders>
                    <w:tl2br w:val="nil"/>
                    <w:tr2bl w:val="nil"/>
                  </w:tcBorders>
                  <w:shd w:val="clear" w:color="auto" w:fill="auto"/>
                  <w:vAlign w:val="center"/>
                </w:tcPr>
                <w:p w14:paraId="45077480">
                  <w:pPr>
                    <w:jc w:val="center"/>
                    <w:rPr>
                      <w:rFonts w:hint="eastAsia" w:ascii="Times New Roman" w:hAnsi="Times New Roman" w:eastAsia="宋体" w:cs="Times New Roman"/>
                      <w:color w:val="auto"/>
                      <w:kern w:val="2"/>
                      <w:sz w:val="21"/>
                      <w:szCs w:val="24"/>
                      <w:lang w:val="en-US" w:eastAsia="zh-CN" w:bidi="ar-SA"/>
                    </w:rPr>
                  </w:pPr>
                  <w:r>
                    <w:rPr>
                      <w:rFonts w:hint="eastAsia"/>
                      <w:color w:val="auto"/>
                    </w:rPr>
                    <w:t>600万</w:t>
                  </w:r>
                </w:p>
              </w:tc>
              <w:tc>
                <w:tcPr>
                  <w:tcW w:w="897" w:type="dxa"/>
                  <w:tcBorders>
                    <w:tl2br w:val="nil"/>
                    <w:tr2bl w:val="nil"/>
                  </w:tcBorders>
                  <w:vAlign w:val="center"/>
                </w:tcPr>
                <w:p w14:paraId="4A7D55B7">
                  <w:pPr>
                    <w:jc w:val="center"/>
                    <w:rPr>
                      <w:color w:val="auto"/>
                    </w:rPr>
                  </w:pPr>
                  <w:r>
                    <w:rPr>
                      <w:rFonts w:hint="eastAsia"/>
                      <w:color w:val="auto"/>
                    </w:rPr>
                    <w:t>7200</w:t>
                  </w:r>
                </w:p>
              </w:tc>
            </w:tr>
          </w:tbl>
          <w:p w14:paraId="610554F2">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textAlignment w:val="auto"/>
              <w:rPr>
                <w:b/>
                <w:bCs/>
                <w:color w:val="auto"/>
              </w:rPr>
            </w:pPr>
            <w:r>
              <w:rPr>
                <w:rFonts w:hint="default" w:ascii="Times New Roman" w:hAnsi="Times New Roman" w:eastAsia="宋体" w:cs="Times New Roman"/>
                <w:b/>
                <w:bCs/>
                <w:color w:val="auto"/>
                <w:kern w:val="2"/>
                <w:sz w:val="21"/>
                <w:szCs w:val="21"/>
                <w:lang w:val="en-US" w:eastAsia="zh-CN" w:bidi="ar-SA"/>
              </w:rPr>
              <w:t>3、</w:t>
            </w:r>
            <w:r>
              <w:rPr>
                <w:rFonts w:hint="eastAsia"/>
                <w:b/>
                <w:bCs/>
                <w:color w:val="auto"/>
              </w:rPr>
              <w:t>主要生产设备及参数</w:t>
            </w:r>
          </w:p>
          <w:p w14:paraId="2498A281">
            <w:pPr>
              <w:spacing w:line="360" w:lineRule="auto"/>
              <w:ind w:firstLine="420" w:firstLineChars="200"/>
              <w:rPr>
                <w:color w:val="auto"/>
              </w:rPr>
            </w:pPr>
            <w:r>
              <w:rPr>
                <w:color w:val="auto"/>
              </w:rPr>
              <w:t>项目主要</w:t>
            </w:r>
            <w:r>
              <w:rPr>
                <w:rFonts w:hint="eastAsia"/>
                <w:color w:val="auto"/>
              </w:rPr>
              <w:t>生产</w:t>
            </w:r>
            <w:r>
              <w:rPr>
                <w:color w:val="auto"/>
              </w:rPr>
              <w:t>设备情况见表2-</w:t>
            </w:r>
            <w:r>
              <w:rPr>
                <w:rFonts w:hint="eastAsia"/>
                <w:color w:val="auto"/>
                <w:lang w:val="en-US" w:eastAsia="zh-CN"/>
              </w:rPr>
              <w:t>5</w:t>
            </w:r>
            <w:r>
              <w:rPr>
                <w:rFonts w:hint="eastAsia"/>
                <w:color w:val="auto"/>
              </w:rPr>
              <w:t>。</w:t>
            </w:r>
          </w:p>
          <w:p w14:paraId="0E9EF97F">
            <w:pPr>
              <w:spacing w:before="120" w:beforeLines="50"/>
              <w:jc w:val="center"/>
              <w:rPr>
                <w:rFonts w:hint="eastAsia"/>
                <w:b/>
                <w:bCs/>
                <w:color w:val="auto"/>
              </w:rPr>
            </w:pPr>
            <w:r>
              <w:rPr>
                <w:rFonts w:hint="eastAsia"/>
                <w:b/>
                <w:bCs/>
                <w:color w:val="auto"/>
              </w:rPr>
              <w:t>表2-</w:t>
            </w:r>
            <w:r>
              <w:rPr>
                <w:rFonts w:hint="eastAsia"/>
                <w:b/>
                <w:bCs/>
                <w:color w:val="auto"/>
                <w:lang w:val="en-US" w:eastAsia="zh-CN"/>
              </w:rPr>
              <w:t>5</w:t>
            </w:r>
            <w:r>
              <w:rPr>
                <w:rFonts w:hint="eastAsia"/>
                <w:b/>
                <w:bCs/>
                <w:color w:val="auto"/>
              </w:rPr>
              <w:t xml:space="preserve"> 扩建项目</w:t>
            </w:r>
            <w:r>
              <w:rPr>
                <w:rFonts w:hint="eastAsia"/>
                <w:b/>
                <w:bCs/>
                <w:color w:val="auto"/>
                <w:lang w:val="en-US" w:eastAsia="zh-CN"/>
              </w:rPr>
              <w:t>建成后全厂</w:t>
            </w:r>
            <w:r>
              <w:rPr>
                <w:rFonts w:hint="eastAsia"/>
                <w:b/>
                <w:bCs/>
                <w:color w:val="auto"/>
              </w:rPr>
              <w:t>主要生产设备一览表</w:t>
            </w:r>
          </w:p>
          <w:tbl>
            <w:tblPr>
              <w:tblStyle w:val="3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04"/>
              <w:gridCol w:w="1515"/>
              <w:gridCol w:w="1110"/>
              <w:gridCol w:w="1115"/>
              <w:gridCol w:w="1115"/>
              <w:gridCol w:w="1115"/>
              <w:gridCol w:w="690"/>
              <w:gridCol w:w="681"/>
            </w:tblGrid>
            <w:tr w14:paraId="622E10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shd w:val="clear" w:color="auto" w:fill="auto"/>
                  <w:vAlign w:val="center"/>
                </w:tcPr>
                <w:p w14:paraId="71D54CE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bCs/>
                      <w:color w:val="auto"/>
                      <w:kern w:val="2"/>
                      <w:sz w:val="21"/>
                      <w:szCs w:val="24"/>
                      <w:lang w:val="en-US" w:eastAsia="zh-CN" w:bidi="ar-SA"/>
                    </w:rPr>
                  </w:pPr>
                  <w:r>
                    <w:rPr>
                      <w:b/>
                      <w:bCs/>
                      <w:color w:val="auto"/>
                    </w:rPr>
                    <w:t>序号</w:t>
                  </w:r>
                </w:p>
              </w:tc>
              <w:tc>
                <w:tcPr>
                  <w:tcW w:w="1515" w:type="dxa"/>
                  <w:tcBorders>
                    <w:tl2br w:val="nil"/>
                    <w:tr2bl w:val="nil"/>
                  </w:tcBorders>
                  <w:shd w:val="clear" w:color="auto" w:fill="auto"/>
                  <w:vAlign w:val="center"/>
                </w:tcPr>
                <w:p w14:paraId="10905ECC">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bCs/>
                      <w:color w:val="auto"/>
                      <w:kern w:val="2"/>
                      <w:sz w:val="21"/>
                      <w:szCs w:val="24"/>
                      <w:lang w:val="en-US" w:eastAsia="zh-CN" w:bidi="ar-SA"/>
                    </w:rPr>
                  </w:pPr>
                  <w:r>
                    <w:rPr>
                      <w:rFonts w:hint="default"/>
                      <w:b/>
                      <w:bCs/>
                      <w:color w:val="auto"/>
                    </w:rPr>
                    <w:t>设备名称</w:t>
                  </w:r>
                </w:p>
              </w:tc>
              <w:tc>
                <w:tcPr>
                  <w:tcW w:w="1110" w:type="dxa"/>
                  <w:tcBorders>
                    <w:tl2br w:val="nil"/>
                    <w:tr2bl w:val="nil"/>
                  </w:tcBorders>
                  <w:shd w:val="clear" w:color="auto" w:fill="auto"/>
                  <w:vAlign w:val="center"/>
                </w:tcPr>
                <w:p w14:paraId="37B3E8E0">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b/>
                      <w:bCs/>
                      <w:color w:val="auto"/>
                      <w:lang w:val="en-US" w:eastAsia="zh-CN"/>
                    </w:rPr>
                    <w:t>型号</w:t>
                  </w:r>
                </w:p>
              </w:tc>
              <w:tc>
                <w:tcPr>
                  <w:tcW w:w="1115" w:type="dxa"/>
                  <w:tcBorders>
                    <w:tl2br w:val="nil"/>
                    <w:tr2bl w:val="nil"/>
                  </w:tcBorders>
                  <w:shd w:val="clear" w:color="auto" w:fill="auto"/>
                  <w:vAlign w:val="center"/>
                </w:tcPr>
                <w:p w14:paraId="6D31E13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bCs/>
                      <w:color w:val="auto"/>
                      <w:kern w:val="2"/>
                      <w:sz w:val="21"/>
                      <w:szCs w:val="24"/>
                      <w:lang w:val="en-US" w:eastAsia="zh-CN" w:bidi="ar-SA"/>
                    </w:rPr>
                  </w:pPr>
                  <w:r>
                    <w:rPr>
                      <w:rFonts w:hint="default"/>
                      <w:b/>
                      <w:bCs/>
                      <w:color w:val="auto"/>
                      <w:lang w:val="en-US" w:eastAsia="zh-CN"/>
                    </w:rPr>
                    <w:t>现有项目数量</w:t>
                  </w:r>
                </w:p>
              </w:tc>
              <w:tc>
                <w:tcPr>
                  <w:tcW w:w="1115" w:type="dxa"/>
                  <w:tcBorders>
                    <w:tl2br w:val="nil"/>
                    <w:tr2bl w:val="nil"/>
                  </w:tcBorders>
                  <w:shd w:val="clear" w:color="auto" w:fill="auto"/>
                  <w:vAlign w:val="center"/>
                </w:tcPr>
                <w:p w14:paraId="36E12810">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b/>
                      <w:bCs/>
                      <w:color w:val="auto"/>
                      <w:lang w:val="en-US" w:eastAsia="zh-CN"/>
                    </w:rPr>
                    <w:t>扩建</w:t>
                  </w:r>
                  <w:r>
                    <w:rPr>
                      <w:rFonts w:hint="default"/>
                      <w:b/>
                      <w:bCs/>
                      <w:color w:val="auto"/>
                      <w:lang w:val="en-US" w:eastAsia="zh-CN"/>
                    </w:rPr>
                    <w:t>项目数量</w:t>
                  </w:r>
                </w:p>
              </w:tc>
              <w:tc>
                <w:tcPr>
                  <w:tcW w:w="1115" w:type="dxa"/>
                  <w:tcBorders>
                    <w:tl2br w:val="nil"/>
                    <w:tr2bl w:val="nil"/>
                  </w:tcBorders>
                  <w:shd w:val="clear" w:color="auto" w:fill="auto"/>
                  <w:vAlign w:val="center"/>
                </w:tcPr>
                <w:p w14:paraId="694B4992">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b/>
                      <w:bCs/>
                      <w:color w:val="auto"/>
                      <w:lang w:val="en-US" w:eastAsia="zh-CN"/>
                    </w:rPr>
                    <w:t>扩建</w:t>
                  </w:r>
                  <w:r>
                    <w:rPr>
                      <w:rFonts w:hint="default"/>
                      <w:b/>
                      <w:bCs/>
                      <w:color w:val="auto"/>
                      <w:lang w:val="en-US" w:eastAsia="zh-CN"/>
                    </w:rPr>
                    <w:t>后</w:t>
                  </w:r>
                  <w:r>
                    <w:rPr>
                      <w:rFonts w:hint="eastAsia"/>
                      <w:b/>
                      <w:bCs/>
                      <w:color w:val="auto"/>
                      <w:lang w:val="en-US" w:eastAsia="zh-CN"/>
                    </w:rPr>
                    <w:t>全厂</w:t>
                  </w:r>
                  <w:r>
                    <w:rPr>
                      <w:rFonts w:hint="default"/>
                      <w:b/>
                      <w:bCs/>
                      <w:color w:val="auto"/>
                      <w:lang w:val="en-US" w:eastAsia="zh-CN"/>
                    </w:rPr>
                    <w:t>数量</w:t>
                  </w:r>
                </w:p>
              </w:tc>
              <w:tc>
                <w:tcPr>
                  <w:tcW w:w="690" w:type="dxa"/>
                  <w:tcBorders>
                    <w:tl2br w:val="nil"/>
                    <w:tr2bl w:val="nil"/>
                  </w:tcBorders>
                  <w:shd w:val="clear" w:color="auto" w:fill="auto"/>
                  <w:vAlign w:val="center"/>
                </w:tcPr>
                <w:p w14:paraId="488A0F63">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default"/>
                      <w:b/>
                      <w:bCs/>
                      <w:color w:val="auto"/>
                      <w:lang w:val="en-US" w:eastAsia="zh-CN"/>
                    </w:rPr>
                    <w:t>变化量</w:t>
                  </w:r>
                </w:p>
              </w:tc>
              <w:tc>
                <w:tcPr>
                  <w:tcW w:w="681" w:type="dxa"/>
                  <w:tcBorders>
                    <w:tl2br w:val="nil"/>
                    <w:tr2bl w:val="nil"/>
                  </w:tcBorders>
                  <w:shd w:val="clear" w:color="auto" w:fill="auto"/>
                  <w:vAlign w:val="center"/>
                </w:tcPr>
                <w:p w14:paraId="3645A8B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bCs/>
                      <w:color w:val="auto"/>
                      <w:kern w:val="2"/>
                      <w:sz w:val="21"/>
                      <w:szCs w:val="24"/>
                      <w:lang w:val="en-US" w:eastAsia="zh-CN" w:bidi="ar-SA"/>
                    </w:rPr>
                  </w:pPr>
                  <w:r>
                    <w:rPr>
                      <w:rFonts w:hint="default"/>
                      <w:b/>
                      <w:bCs/>
                      <w:color w:val="auto"/>
                    </w:rPr>
                    <w:t>单位</w:t>
                  </w:r>
                </w:p>
              </w:tc>
            </w:tr>
            <w:tr w14:paraId="49A749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vAlign w:val="center"/>
                </w:tcPr>
                <w:p w14:paraId="5006D310">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1</w:t>
                  </w:r>
                </w:p>
              </w:tc>
              <w:tc>
                <w:tcPr>
                  <w:tcW w:w="1515" w:type="dxa"/>
                  <w:tcBorders>
                    <w:tl2br w:val="nil"/>
                    <w:tr2bl w:val="nil"/>
                  </w:tcBorders>
                  <w:vAlign w:val="center"/>
                </w:tcPr>
                <w:p w14:paraId="7661D537">
                  <w:pPr>
                    <w:keepNext w:val="0"/>
                    <w:keepLines w:val="0"/>
                    <w:pageBreakBefore w:val="0"/>
                    <w:widowControl w:val="0"/>
                    <w:kinsoku/>
                    <w:wordWrap/>
                    <w:overflowPunct/>
                    <w:topLinePunct w:val="0"/>
                    <w:autoSpaceDE/>
                    <w:autoSpaceDN/>
                    <w:bidi w:val="0"/>
                    <w:adjustRightInd/>
                    <w:snapToGrid w:val="0"/>
                    <w:jc w:val="center"/>
                    <w:textAlignment w:val="auto"/>
                    <w:rPr>
                      <w:rFonts w:hint="default" w:eastAsia="宋体"/>
                      <w:b w:val="0"/>
                      <w:bCs w:val="0"/>
                      <w:color w:val="auto"/>
                      <w:vertAlign w:val="baseline"/>
                      <w:lang w:val="en-US" w:eastAsia="zh-CN"/>
                    </w:rPr>
                  </w:pPr>
                  <w:r>
                    <w:rPr>
                      <w:rFonts w:hint="eastAsia"/>
                      <w:b w:val="0"/>
                      <w:bCs w:val="0"/>
                      <w:color w:val="auto"/>
                      <w:vertAlign w:val="baseline"/>
                      <w:lang w:val="en-US" w:eastAsia="zh-CN"/>
                    </w:rPr>
                    <w:t>超声波清洗机</w:t>
                  </w:r>
                </w:p>
              </w:tc>
              <w:tc>
                <w:tcPr>
                  <w:tcW w:w="1110" w:type="dxa"/>
                  <w:tcBorders>
                    <w:tl2br w:val="nil"/>
                    <w:tr2bl w:val="nil"/>
                  </w:tcBorders>
                  <w:vAlign w:val="center"/>
                </w:tcPr>
                <w:p w14:paraId="2A623E10">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w:t>
                  </w:r>
                </w:p>
              </w:tc>
              <w:tc>
                <w:tcPr>
                  <w:tcW w:w="1115" w:type="dxa"/>
                  <w:tcBorders>
                    <w:tl2br w:val="nil"/>
                    <w:tr2bl w:val="nil"/>
                  </w:tcBorders>
                  <w:vAlign w:val="center"/>
                </w:tcPr>
                <w:p w14:paraId="5BCE9C7F">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vAlign w:val="center"/>
                </w:tcPr>
                <w:p w14:paraId="40E2BFE7">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1</w:t>
                  </w:r>
                </w:p>
              </w:tc>
              <w:tc>
                <w:tcPr>
                  <w:tcW w:w="1115" w:type="dxa"/>
                  <w:tcBorders>
                    <w:tl2br w:val="nil"/>
                    <w:tr2bl w:val="nil"/>
                  </w:tcBorders>
                  <w:shd w:val="clear" w:color="auto" w:fill="auto"/>
                  <w:vAlign w:val="center"/>
                </w:tcPr>
                <w:p w14:paraId="17C7535C">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1</w:t>
                  </w:r>
                </w:p>
              </w:tc>
              <w:tc>
                <w:tcPr>
                  <w:tcW w:w="690" w:type="dxa"/>
                  <w:tcBorders>
                    <w:tl2br w:val="nil"/>
                    <w:tr2bl w:val="nil"/>
                  </w:tcBorders>
                  <w:shd w:val="clear" w:color="auto" w:fill="auto"/>
                  <w:vAlign w:val="center"/>
                </w:tcPr>
                <w:p w14:paraId="310E5121">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+1</w:t>
                  </w:r>
                </w:p>
              </w:tc>
              <w:tc>
                <w:tcPr>
                  <w:tcW w:w="681" w:type="dxa"/>
                  <w:tcBorders>
                    <w:tl2br w:val="nil"/>
                    <w:tr2bl w:val="nil"/>
                  </w:tcBorders>
                  <w:vAlign w:val="center"/>
                </w:tcPr>
                <w:p w14:paraId="6E2D441B">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台</w:t>
                  </w:r>
                </w:p>
              </w:tc>
            </w:tr>
            <w:tr w14:paraId="499547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vAlign w:val="center"/>
                </w:tcPr>
                <w:p w14:paraId="6FA6A1D2">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2</w:t>
                  </w:r>
                </w:p>
              </w:tc>
              <w:tc>
                <w:tcPr>
                  <w:tcW w:w="1515" w:type="dxa"/>
                  <w:tcBorders>
                    <w:tl2br w:val="nil"/>
                    <w:tr2bl w:val="nil"/>
                  </w:tcBorders>
                  <w:vAlign w:val="center"/>
                </w:tcPr>
                <w:p w14:paraId="364C4A6E">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内雕打印机</w:t>
                  </w:r>
                </w:p>
              </w:tc>
              <w:tc>
                <w:tcPr>
                  <w:tcW w:w="1110" w:type="dxa"/>
                  <w:tcBorders>
                    <w:tl2br w:val="nil"/>
                    <w:tr2bl w:val="nil"/>
                  </w:tcBorders>
                  <w:vAlign w:val="center"/>
                </w:tcPr>
                <w:p w14:paraId="09776EEB">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w:t>
                  </w:r>
                </w:p>
              </w:tc>
              <w:tc>
                <w:tcPr>
                  <w:tcW w:w="1115" w:type="dxa"/>
                  <w:tcBorders>
                    <w:tl2br w:val="nil"/>
                    <w:tr2bl w:val="nil"/>
                  </w:tcBorders>
                  <w:vAlign w:val="center"/>
                </w:tcPr>
                <w:p w14:paraId="56241E7B">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vAlign w:val="center"/>
                </w:tcPr>
                <w:p w14:paraId="3BC8BB14">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4</w:t>
                  </w:r>
                </w:p>
              </w:tc>
              <w:tc>
                <w:tcPr>
                  <w:tcW w:w="1115" w:type="dxa"/>
                  <w:tcBorders>
                    <w:tl2br w:val="nil"/>
                    <w:tr2bl w:val="nil"/>
                  </w:tcBorders>
                  <w:shd w:val="clear" w:color="auto" w:fill="auto"/>
                  <w:vAlign w:val="center"/>
                </w:tcPr>
                <w:p w14:paraId="4755D962">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4</w:t>
                  </w:r>
                </w:p>
              </w:tc>
              <w:tc>
                <w:tcPr>
                  <w:tcW w:w="690" w:type="dxa"/>
                  <w:tcBorders>
                    <w:tl2br w:val="nil"/>
                    <w:tr2bl w:val="nil"/>
                  </w:tcBorders>
                  <w:shd w:val="clear" w:color="auto" w:fill="auto"/>
                  <w:vAlign w:val="center"/>
                </w:tcPr>
                <w:p w14:paraId="2846490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+4</w:t>
                  </w:r>
                </w:p>
              </w:tc>
              <w:tc>
                <w:tcPr>
                  <w:tcW w:w="681" w:type="dxa"/>
                  <w:tcBorders>
                    <w:tl2br w:val="nil"/>
                    <w:tr2bl w:val="nil"/>
                  </w:tcBorders>
                  <w:vAlign w:val="center"/>
                </w:tcPr>
                <w:p w14:paraId="77583567">
                  <w:pPr>
                    <w:keepNext w:val="0"/>
                    <w:keepLines w:val="0"/>
                    <w:pageBreakBefore w:val="0"/>
                    <w:widowControl w:val="0"/>
                    <w:kinsoku/>
                    <w:wordWrap/>
                    <w:overflowPunct/>
                    <w:topLinePunct w:val="0"/>
                    <w:autoSpaceDE/>
                    <w:autoSpaceDN/>
                    <w:bidi w:val="0"/>
                    <w:adjustRightInd/>
                    <w:snapToGrid w:val="0"/>
                    <w:jc w:val="center"/>
                    <w:textAlignment w:val="auto"/>
                    <w:rPr>
                      <w:rFonts w:hint="eastAsia"/>
                      <w:b w:val="0"/>
                      <w:bCs w:val="0"/>
                      <w:color w:val="auto"/>
                      <w:vertAlign w:val="baseline"/>
                    </w:rPr>
                  </w:pPr>
                  <w:r>
                    <w:rPr>
                      <w:rFonts w:hint="eastAsia"/>
                      <w:b w:val="0"/>
                      <w:bCs w:val="0"/>
                      <w:color w:val="auto"/>
                      <w:vertAlign w:val="baseline"/>
                      <w:lang w:val="en-US" w:eastAsia="zh-CN"/>
                    </w:rPr>
                    <w:t>台</w:t>
                  </w:r>
                </w:p>
              </w:tc>
            </w:tr>
            <w:tr w14:paraId="27EF63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vAlign w:val="center"/>
                </w:tcPr>
                <w:p w14:paraId="223BD1FC">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3</w:t>
                  </w:r>
                </w:p>
              </w:tc>
              <w:tc>
                <w:tcPr>
                  <w:tcW w:w="1515" w:type="dxa"/>
                  <w:tcBorders>
                    <w:tl2br w:val="nil"/>
                    <w:tr2bl w:val="nil"/>
                  </w:tcBorders>
                  <w:vAlign w:val="center"/>
                </w:tcPr>
                <w:p w14:paraId="52975887">
                  <w:pPr>
                    <w:keepNext w:val="0"/>
                    <w:keepLines w:val="0"/>
                    <w:pageBreakBefore w:val="0"/>
                    <w:widowControl w:val="0"/>
                    <w:kinsoku/>
                    <w:wordWrap/>
                    <w:overflowPunct/>
                    <w:topLinePunct w:val="0"/>
                    <w:autoSpaceDE/>
                    <w:autoSpaceDN/>
                    <w:bidi w:val="0"/>
                    <w:adjustRightInd/>
                    <w:snapToGrid w:val="0"/>
                    <w:jc w:val="center"/>
                    <w:textAlignment w:val="auto"/>
                    <w:rPr>
                      <w:rFonts w:hint="default" w:eastAsia="宋体"/>
                      <w:b w:val="0"/>
                      <w:bCs w:val="0"/>
                      <w:color w:val="auto"/>
                      <w:vertAlign w:val="baseline"/>
                      <w:lang w:val="en-US" w:eastAsia="zh-CN"/>
                    </w:rPr>
                  </w:pPr>
                  <w:r>
                    <w:rPr>
                      <w:rFonts w:hint="eastAsia"/>
                      <w:b w:val="0"/>
                      <w:bCs w:val="0"/>
                      <w:color w:val="auto"/>
                      <w:vertAlign w:val="baseline"/>
                      <w:lang w:val="en-US" w:eastAsia="zh-CN"/>
                    </w:rPr>
                    <w:t>全自动直印机</w:t>
                  </w:r>
                </w:p>
              </w:tc>
              <w:tc>
                <w:tcPr>
                  <w:tcW w:w="1110" w:type="dxa"/>
                  <w:tcBorders>
                    <w:tl2br w:val="nil"/>
                    <w:tr2bl w:val="nil"/>
                  </w:tcBorders>
                  <w:vAlign w:val="center"/>
                </w:tcPr>
                <w:p w14:paraId="4A11087D">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w:t>
                  </w:r>
                </w:p>
              </w:tc>
              <w:tc>
                <w:tcPr>
                  <w:tcW w:w="1115" w:type="dxa"/>
                  <w:tcBorders>
                    <w:tl2br w:val="nil"/>
                    <w:tr2bl w:val="nil"/>
                  </w:tcBorders>
                  <w:vAlign w:val="center"/>
                </w:tcPr>
                <w:p w14:paraId="509A6844">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vAlign w:val="center"/>
                </w:tcPr>
                <w:p w14:paraId="585EB24F">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1</w:t>
                  </w:r>
                </w:p>
              </w:tc>
              <w:tc>
                <w:tcPr>
                  <w:tcW w:w="1115" w:type="dxa"/>
                  <w:tcBorders>
                    <w:tl2br w:val="nil"/>
                    <w:tr2bl w:val="nil"/>
                  </w:tcBorders>
                  <w:shd w:val="clear" w:color="auto" w:fill="auto"/>
                  <w:vAlign w:val="center"/>
                </w:tcPr>
                <w:p w14:paraId="01A0996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1</w:t>
                  </w:r>
                </w:p>
              </w:tc>
              <w:tc>
                <w:tcPr>
                  <w:tcW w:w="690" w:type="dxa"/>
                  <w:tcBorders>
                    <w:tl2br w:val="nil"/>
                    <w:tr2bl w:val="nil"/>
                  </w:tcBorders>
                  <w:shd w:val="clear" w:color="auto" w:fill="auto"/>
                  <w:vAlign w:val="center"/>
                </w:tcPr>
                <w:p w14:paraId="52CBA806">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+1</w:t>
                  </w:r>
                </w:p>
              </w:tc>
              <w:tc>
                <w:tcPr>
                  <w:tcW w:w="681" w:type="dxa"/>
                  <w:tcBorders>
                    <w:tl2br w:val="nil"/>
                    <w:tr2bl w:val="nil"/>
                  </w:tcBorders>
                  <w:vAlign w:val="center"/>
                </w:tcPr>
                <w:p w14:paraId="4FAE68E5">
                  <w:pPr>
                    <w:keepNext w:val="0"/>
                    <w:keepLines w:val="0"/>
                    <w:pageBreakBefore w:val="0"/>
                    <w:widowControl w:val="0"/>
                    <w:kinsoku/>
                    <w:wordWrap/>
                    <w:overflowPunct/>
                    <w:topLinePunct w:val="0"/>
                    <w:autoSpaceDE/>
                    <w:autoSpaceDN/>
                    <w:bidi w:val="0"/>
                    <w:adjustRightInd/>
                    <w:snapToGrid w:val="0"/>
                    <w:jc w:val="center"/>
                    <w:textAlignment w:val="auto"/>
                    <w:rPr>
                      <w:rFonts w:hint="eastAsia"/>
                      <w:b w:val="0"/>
                      <w:bCs w:val="0"/>
                      <w:color w:val="auto"/>
                      <w:vertAlign w:val="baseline"/>
                    </w:rPr>
                  </w:pPr>
                  <w:r>
                    <w:rPr>
                      <w:rFonts w:hint="eastAsia"/>
                      <w:b w:val="0"/>
                      <w:bCs w:val="0"/>
                      <w:color w:val="auto"/>
                      <w:vertAlign w:val="baseline"/>
                      <w:lang w:val="en-US" w:eastAsia="zh-CN"/>
                    </w:rPr>
                    <w:t>台</w:t>
                  </w:r>
                </w:p>
              </w:tc>
            </w:tr>
            <w:tr w14:paraId="0F7F26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vAlign w:val="center"/>
                </w:tcPr>
                <w:p w14:paraId="5FC323FB">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4</w:t>
                  </w:r>
                </w:p>
              </w:tc>
              <w:tc>
                <w:tcPr>
                  <w:tcW w:w="1515" w:type="dxa"/>
                  <w:tcBorders>
                    <w:tl2br w:val="nil"/>
                    <w:tr2bl w:val="nil"/>
                  </w:tcBorders>
                  <w:vAlign w:val="center"/>
                </w:tcPr>
                <w:p w14:paraId="7B902505">
                  <w:pPr>
                    <w:keepNext w:val="0"/>
                    <w:keepLines w:val="0"/>
                    <w:pageBreakBefore w:val="0"/>
                    <w:widowControl w:val="0"/>
                    <w:kinsoku/>
                    <w:wordWrap/>
                    <w:overflowPunct/>
                    <w:topLinePunct w:val="0"/>
                    <w:autoSpaceDE/>
                    <w:autoSpaceDN/>
                    <w:bidi w:val="0"/>
                    <w:adjustRightInd/>
                    <w:snapToGrid w:val="0"/>
                    <w:jc w:val="center"/>
                    <w:textAlignment w:val="auto"/>
                    <w:rPr>
                      <w:rFonts w:hint="default" w:eastAsia="宋体"/>
                      <w:b w:val="0"/>
                      <w:bCs w:val="0"/>
                      <w:color w:val="auto"/>
                      <w:vertAlign w:val="baseline"/>
                      <w:lang w:val="en-US" w:eastAsia="zh-CN"/>
                    </w:rPr>
                  </w:pPr>
                  <w:r>
                    <w:rPr>
                      <w:rFonts w:hint="eastAsia"/>
                      <w:b w:val="0"/>
                      <w:bCs w:val="0"/>
                      <w:color w:val="auto"/>
                      <w:vertAlign w:val="baseline"/>
                      <w:lang w:val="en-US" w:eastAsia="zh-CN"/>
                    </w:rPr>
                    <w:t>6色全自动直印机</w:t>
                  </w:r>
                </w:p>
              </w:tc>
              <w:tc>
                <w:tcPr>
                  <w:tcW w:w="1110" w:type="dxa"/>
                  <w:tcBorders>
                    <w:tl2br w:val="nil"/>
                    <w:tr2bl w:val="nil"/>
                  </w:tcBorders>
                  <w:vAlign w:val="center"/>
                </w:tcPr>
                <w:p w14:paraId="4D2E3C46">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w:t>
                  </w:r>
                </w:p>
              </w:tc>
              <w:tc>
                <w:tcPr>
                  <w:tcW w:w="1115" w:type="dxa"/>
                  <w:tcBorders>
                    <w:tl2br w:val="nil"/>
                    <w:tr2bl w:val="nil"/>
                  </w:tcBorders>
                  <w:vAlign w:val="center"/>
                </w:tcPr>
                <w:p w14:paraId="40E57351">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vAlign w:val="center"/>
                </w:tcPr>
                <w:p w14:paraId="46728431">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1</w:t>
                  </w:r>
                </w:p>
              </w:tc>
              <w:tc>
                <w:tcPr>
                  <w:tcW w:w="1115" w:type="dxa"/>
                  <w:tcBorders>
                    <w:tl2br w:val="nil"/>
                    <w:tr2bl w:val="nil"/>
                  </w:tcBorders>
                  <w:shd w:val="clear" w:color="auto" w:fill="auto"/>
                  <w:vAlign w:val="center"/>
                </w:tcPr>
                <w:p w14:paraId="2666A1C1">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1</w:t>
                  </w:r>
                </w:p>
              </w:tc>
              <w:tc>
                <w:tcPr>
                  <w:tcW w:w="690" w:type="dxa"/>
                  <w:tcBorders>
                    <w:tl2br w:val="nil"/>
                    <w:tr2bl w:val="nil"/>
                  </w:tcBorders>
                  <w:shd w:val="clear" w:color="auto" w:fill="auto"/>
                  <w:vAlign w:val="center"/>
                </w:tcPr>
                <w:p w14:paraId="6521DC6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+1</w:t>
                  </w:r>
                </w:p>
              </w:tc>
              <w:tc>
                <w:tcPr>
                  <w:tcW w:w="681" w:type="dxa"/>
                  <w:tcBorders>
                    <w:tl2br w:val="nil"/>
                    <w:tr2bl w:val="nil"/>
                  </w:tcBorders>
                  <w:vAlign w:val="center"/>
                </w:tcPr>
                <w:p w14:paraId="5102A6A6">
                  <w:pPr>
                    <w:keepNext w:val="0"/>
                    <w:keepLines w:val="0"/>
                    <w:pageBreakBefore w:val="0"/>
                    <w:widowControl w:val="0"/>
                    <w:kinsoku/>
                    <w:wordWrap/>
                    <w:overflowPunct/>
                    <w:topLinePunct w:val="0"/>
                    <w:autoSpaceDE/>
                    <w:autoSpaceDN/>
                    <w:bidi w:val="0"/>
                    <w:adjustRightInd/>
                    <w:snapToGrid w:val="0"/>
                    <w:jc w:val="center"/>
                    <w:textAlignment w:val="auto"/>
                    <w:rPr>
                      <w:rFonts w:hint="eastAsia"/>
                      <w:b w:val="0"/>
                      <w:bCs w:val="0"/>
                      <w:color w:val="auto"/>
                      <w:vertAlign w:val="baseline"/>
                    </w:rPr>
                  </w:pPr>
                  <w:r>
                    <w:rPr>
                      <w:rFonts w:hint="eastAsia"/>
                      <w:b w:val="0"/>
                      <w:bCs w:val="0"/>
                      <w:color w:val="auto"/>
                      <w:vertAlign w:val="baseline"/>
                      <w:lang w:val="en-US" w:eastAsia="zh-CN"/>
                    </w:rPr>
                    <w:t>台</w:t>
                  </w:r>
                </w:p>
              </w:tc>
            </w:tr>
            <w:tr w14:paraId="7852E7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vAlign w:val="center"/>
                </w:tcPr>
                <w:p w14:paraId="051FB5FF">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5</w:t>
                  </w:r>
                </w:p>
              </w:tc>
              <w:tc>
                <w:tcPr>
                  <w:tcW w:w="1515" w:type="dxa"/>
                  <w:tcBorders>
                    <w:tl2br w:val="nil"/>
                    <w:tr2bl w:val="nil"/>
                  </w:tcBorders>
                  <w:vAlign w:val="center"/>
                </w:tcPr>
                <w:p w14:paraId="038FBB00">
                  <w:pPr>
                    <w:keepNext w:val="0"/>
                    <w:keepLines w:val="0"/>
                    <w:pageBreakBefore w:val="0"/>
                    <w:widowControl w:val="0"/>
                    <w:kinsoku/>
                    <w:wordWrap/>
                    <w:overflowPunct/>
                    <w:topLinePunct w:val="0"/>
                    <w:autoSpaceDE/>
                    <w:autoSpaceDN/>
                    <w:bidi w:val="0"/>
                    <w:adjustRightInd/>
                    <w:snapToGrid w:val="0"/>
                    <w:jc w:val="center"/>
                    <w:textAlignment w:val="auto"/>
                    <w:rPr>
                      <w:rFonts w:hint="default" w:eastAsia="宋体"/>
                      <w:b w:val="0"/>
                      <w:bCs w:val="0"/>
                      <w:color w:val="auto"/>
                      <w:vertAlign w:val="baseline"/>
                      <w:lang w:val="en-US" w:eastAsia="zh-CN"/>
                    </w:rPr>
                  </w:pPr>
                  <w:r>
                    <w:rPr>
                      <w:rFonts w:hint="eastAsia"/>
                      <w:b w:val="0"/>
                      <w:bCs w:val="0"/>
                      <w:color w:val="auto"/>
                      <w:vertAlign w:val="baseline"/>
                      <w:lang w:val="en-US" w:eastAsia="zh-CN"/>
                    </w:rPr>
                    <w:t>半自动直印机</w:t>
                  </w:r>
                </w:p>
              </w:tc>
              <w:tc>
                <w:tcPr>
                  <w:tcW w:w="1110" w:type="dxa"/>
                  <w:tcBorders>
                    <w:tl2br w:val="nil"/>
                    <w:tr2bl w:val="nil"/>
                  </w:tcBorders>
                  <w:vAlign w:val="center"/>
                </w:tcPr>
                <w:p w14:paraId="1E06C206">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w:t>
                  </w:r>
                </w:p>
              </w:tc>
              <w:tc>
                <w:tcPr>
                  <w:tcW w:w="1115" w:type="dxa"/>
                  <w:tcBorders>
                    <w:tl2br w:val="nil"/>
                    <w:tr2bl w:val="nil"/>
                  </w:tcBorders>
                  <w:vAlign w:val="center"/>
                </w:tcPr>
                <w:p w14:paraId="25D878FB">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vAlign w:val="center"/>
                </w:tcPr>
                <w:p w14:paraId="254FF9AE">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1</w:t>
                  </w:r>
                </w:p>
              </w:tc>
              <w:tc>
                <w:tcPr>
                  <w:tcW w:w="1115" w:type="dxa"/>
                  <w:tcBorders>
                    <w:tl2br w:val="nil"/>
                    <w:tr2bl w:val="nil"/>
                  </w:tcBorders>
                  <w:shd w:val="clear" w:color="auto" w:fill="auto"/>
                  <w:vAlign w:val="center"/>
                </w:tcPr>
                <w:p w14:paraId="7E06EC8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1</w:t>
                  </w:r>
                </w:p>
              </w:tc>
              <w:tc>
                <w:tcPr>
                  <w:tcW w:w="690" w:type="dxa"/>
                  <w:tcBorders>
                    <w:tl2br w:val="nil"/>
                    <w:tr2bl w:val="nil"/>
                  </w:tcBorders>
                  <w:shd w:val="clear" w:color="auto" w:fill="auto"/>
                  <w:vAlign w:val="center"/>
                </w:tcPr>
                <w:p w14:paraId="48225EB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+1</w:t>
                  </w:r>
                </w:p>
              </w:tc>
              <w:tc>
                <w:tcPr>
                  <w:tcW w:w="681" w:type="dxa"/>
                  <w:tcBorders>
                    <w:tl2br w:val="nil"/>
                    <w:tr2bl w:val="nil"/>
                  </w:tcBorders>
                  <w:vAlign w:val="center"/>
                </w:tcPr>
                <w:p w14:paraId="11181BA8">
                  <w:pPr>
                    <w:keepNext w:val="0"/>
                    <w:keepLines w:val="0"/>
                    <w:pageBreakBefore w:val="0"/>
                    <w:widowControl w:val="0"/>
                    <w:kinsoku/>
                    <w:wordWrap/>
                    <w:overflowPunct/>
                    <w:topLinePunct w:val="0"/>
                    <w:autoSpaceDE/>
                    <w:autoSpaceDN/>
                    <w:bidi w:val="0"/>
                    <w:adjustRightInd/>
                    <w:snapToGrid w:val="0"/>
                    <w:jc w:val="center"/>
                    <w:textAlignment w:val="auto"/>
                    <w:rPr>
                      <w:rFonts w:hint="eastAsia"/>
                      <w:b w:val="0"/>
                      <w:bCs w:val="0"/>
                      <w:color w:val="auto"/>
                      <w:vertAlign w:val="baseline"/>
                    </w:rPr>
                  </w:pPr>
                  <w:r>
                    <w:rPr>
                      <w:rFonts w:hint="eastAsia"/>
                      <w:b w:val="0"/>
                      <w:bCs w:val="0"/>
                      <w:color w:val="auto"/>
                      <w:vertAlign w:val="baseline"/>
                      <w:lang w:val="en-US" w:eastAsia="zh-CN"/>
                    </w:rPr>
                    <w:t>台</w:t>
                  </w:r>
                </w:p>
              </w:tc>
            </w:tr>
            <w:tr w14:paraId="7E61C7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vAlign w:val="center"/>
                </w:tcPr>
                <w:p w14:paraId="10E9B62B">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6</w:t>
                  </w:r>
                </w:p>
              </w:tc>
              <w:tc>
                <w:tcPr>
                  <w:tcW w:w="1515" w:type="dxa"/>
                  <w:tcBorders>
                    <w:tl2br w:val="nil"/>
                    <w:tr2bl w:val="nil"/>
                  </w:tcBorders>
                  <w:vAlign w:val="center"/>
                </w:tcPr>
                <w:p w14:paraId="066E259B">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烫金机</w:t>
                  </w:r>
                </w:p>
              </w:tc>
              <w:tc>
                <w:tcPr>
                  <w:tcW w:w="1110" w:type="dxa"/>
                  <w:tcBorders>
                    <w:tl2br w:val="nil"/>
                    <w:tr2bl w:val="nil"/>
                  </w:tcBorders>
                  <w:vAlign w:val="center"/>
                </w:tcPr>
                <w:p w14:paraId="172DE54D">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w:t>
                  </w:r>
                </w:p>
              </w:tc>
              <w:tc>
                <w:tcPr>
                  <w:tcW w:w="1115" w:type="dxa"/>
                  <w:tcBorders>
                    <w:tl2br w:val="nil"/>
                    <w:tr2bl w:val="nil"/>
                  </w:tcBorders>
                  <w:vAlign w:val="center"/>
                </w:tcPr>
                <w:p w14:paraId="46A3A548">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vAlign w:val="center"/>
                </w:tcPr>
                <w:p w14:paraId="313815FF">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1</w:t>
                  </w:r>
                </w:p>
              </w:tc>
              <w:tc>
                <w:tcPr>
                  <w:tcW w:w="1115" w:type="dxa"/>
                  <w:tcBorders>
                    <w:tl2br w:val="nil"/>
                    <w:tr2bl w:val="nil"/>
                  </w:tcBorders>
                  <w:shd w:val="clear" w:color="auto" w:fill="auto"/>
                  <w:vAlign w:val="center"/>
                </w:tcPr>
                <w:p w14:paraId="043E3EB6">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1</w:t>
                  </w:r>
                </w:p>
              </w:tc>
              <w:tc>
                <w:tcPr>
                  <w:tcW w:w="690" w:type="dxa"/>
                  <w:tcBorders>
                    <w:tl2br w:val="nil"/>
                    <w:tr2bl w:val="nil"/>
                  </w:tcBorders>
                  <w:shd w:val="clear" w:color="auto" w:fill="auto"/>
                  <w:vAlign w:val="center"/>
                </w:tcPr>
                <w:p w14:paraId="1BCD776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+1</w:t>
                  </w:r>
                </w:p>
              </w:tc>
              <w:tc>
                <w:tcPr>
                  <w:tcW w:w="681" w:type="dxa"/>
                  <w:tcBorders>
                    <w:tl2br w:val="nil"/>
                    <w:tr2bl w:val="nil"/>
                  </w:tcBorders>
                  <w:vAlign w:val="center"/>
                </w:tcPr>
                <w:p w14:paraId="6874F229">
                  <w:pPr>
                    <w:keepNext w:val="0"/>
                    <w:keepLines w:val="0"/>
                    <w:pageBreakBefore w:val="0"/>
                    <w:widowControl w:val="0"/>
                    <w:kinsoku/>
                    <w:wordWrap/>
                    <w:overflowPunct/>
                    <w:topLinePunct w:val="0"/>
                    <w:autoSpaceDE/>
                    <w:autoSpaceDN/>
                    <w:bidi w:val="0"/>
                    <w:adjustRightInd/>
                    <w:snapToGrid w:val="0"/>
                    <w:jc w:val="center"/>
                    <w:textAlignment w:val="auto"/>
                    <w:rPr>
                      <w:rFonts w:hint="eastAsia"/>
                      <w:b w:val="0"/>
                      <w:bCs w:val="0"/>
                      <w:color w:val="auto"/>
                      <w:vertAlign w:val="baseline"/>
                    </w:rPr>
                  </w:pPr>
                  <w:r>
                    <w:rPr>
                      <w:rFonts w:hint="eastAsia"/>
                      <w:b w:val="0"/>
                      <w:bCs w:val="0"/>
                      <w:color w:val="auto"/>
                      <w:vertAlign w:val="baseline"/>
                      <w:lang w:val="en-US" w:eastAsia="zh-CN"/>
                    </w:rPr>
                    <w:t>台</w:t>
                  </w:r>
                </w:p>
              </w:tc>
            </w:tr>
            <w:tr w14:paraId="613681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vAlign w:val="center"/>
                </w:tcPr>
                <w:p w14:paraId="50538203">
                  <w:pPr>
                    <w:keepNext w:val="0"/>
                    <w:keepLines w:val="0"/>
                    <w:pageBreakBefore w:val="0"/>
                    <w:widowControl w:val="0"/>
                    <w:kinsoku/>
                    <w:wordWrap/>
                    <w:overflowPunct/>
                    <w:topLinePunct w:val="0"/>
                    <w:autoSpaceDE/>
                    <w:autoSpaceDN/>
                    <w:bidi w:val="0"/>
                    <w:adjustRightInd/>
                    <w:snapToGrid w:val="0"/>
                    <w:jc w:val="center"/>
                    <w:textAlignment w:val="auto"/>
                    <w:rPr>
                      <w:rFonts w:hint="default"/>
                      <w:b w:val="0"/>
                      <w:bCs w:val="0"/>
                      <w:color w:val="auto"/>
                      <w:vertAlign w:val="baseline"/>
                      <w:lang w:val="en-US" w:eastAsia="zh-CN"/>
                    </w:rPr>
                  </w:pPr>
                  <w:r>
                    <w:rPr>
                      <w:rFonts w:hint="eastAsia"/>
                      <w:b w:val="0"/>
                      <w:bCs w:val="0"/>
                      <w:color w:val="auto"/>
                      <w:vertAlign w:val="baseline"/>
                      <w:lang w:val="en-US" w:eastAsia="zh-CN"/>
                    </w:rPr>
                    <w:t>7</w:t>
                  </w:r>
                </w:p>
              </w:tc>
              <w:tc>
                <w:tcPr>
                  <w:tcW w:w="1515" w:type="dxa"/>
                  <w:tcBorders>
                    <w:tl2br w:val="nil"/>
                    <w:tr2bl w:val="nil"/>
                  </w:tcBorders>
                  <w:vAlign w:val="center"/>
                </w:tcPr>
                <w:p w14:paraId="2957262E">
                  <w:pPr>
                    <w:keepNext w:val="0"/>
                    <w:keepLines w:val="0"/>
                    <w:pageBreakBefore w:val="0"/>
                    <w:widowControl w:val="0"/>
                    <w:kinsoku/>
                    <w:wordWrap/>
                    <w:overflowPunct/>
                    <w:topLinePunct w:val="0"/>
                    <w:autoSpaceDE/>
                    <w:autoSpaceDN/>
                    <w:bidi w:val="0"/>
                    <w:adjustRightInd/>
                    <w:snapToGrid w:val="0"/>
                    <w:jc w:val="center"/>
                    <w:textAlignment w:val="auto"/>
                    <w:rPr>
                      <w:rFonts w:hint="default"/>
                      <w:b w:val="0"/>
                      <w:bCs w:val="0"/>
                      <w:color w:val="auto"/>
                      <w:vertAlign w:val="baseline"/>
                      <w:lang w:val="en-US" w:eastAsia="zh-CN"/>
                    </w:rPr>
                  </w:pPr>
                  <w:r>
                    <w:rPr>
                      <w:rFonts w:hint="eastAsia"/>
                      <w:b w:val="0"/>
                      <w:bCs w:val="0"/>
                      <w:color w:val="auto"/>
                      <w:vertAlign w:val="baseline"/>
                      <w:lang w:val="en-US" w:eastAsia="zh-CN"/>
                    </w:rPr>
                    <w:t>热转印机</w:t>
                  </w:r>
                </w:p>
              </w:tc>
              <w:tc>
                <w:tcPr>
                  <w:tcW w:w="1110" w:type="dxa"/>
                  <w:tcBorders>
                    <w:tl2br w:val="nil"/>
                    <w:tr2bl w:val="nil"/>
                  </w:tcBorders>
                  <w:vAlign w:val="center"/>
                </w:tcPr>
                <w:p w14:paraId="1626E7F7">
                  <w:pPr>
                    <w:keepNext w:val="0"/>
                    <w:keepLines w:val="0"/>
                    <w:pageBreakBefore w:val="0"/>
                    <w:widowControl w:val="0"/>
                    <w:kinsoku/>
                    <w:wordWrap/>
                    <w:overflowPunct/>
                    <w:topLinePunct w:val="0"/>
                    <w:autoSpaceDE/>
                    <w:autoSpaceDN/>
                    <w:bidi w:val="0"/>
                    <w:adjustRightInd/>
                    <w:snapToGrid w:val="0"/>
                    <w:jc w:val="center"/>
                    <w:textAlignment w:val="auto"/>
                    <w:rPr>
                      <w:rFonts w:hint="default"/>
                      <w:b w:val="0"/>
                      <w:bCs w:val="0"/>
                      <w:color w:val="auto"/>
                      <w:vertAlign w:val="baseline"/>
                      <w:lang w:val="en-US" w:eastAsia="zh-CN"/>
                    </w:rPr>
                  </w:pPr>
                  <w:r>
                    <w:rPr>
                      <w:rFonts w:hint="eastAsia"/>
                      <w:b w:val="0"/>
                      <w:bCs w:val="0"/>
                      <w:color w:val="auto"/>
                      <w:vertAlign w:val="baseline"/>
                      <w:lang w:val="en-US" w:eastAsia="zh-CN"/>
                    </w:rPr>
                    <w:t>/</w:t>
                  </w:r>
                </w:p>
              </w:tc>
              <w:tc>
                <w:tcPr>
                  <w:tcW w:w="1115" w:type="dxa"/>
                  <w:tcBorders>
                    <w:tl2br w:val="nil"/>
                    <w:tr2bl w:val="nil"/>
                  </w:tcBorders>
                  <w:vAlign w:val="center"/>
                </w:tcPr>
                <w:p w14:paraId="7104A908">
                  <w:pPr>
                    <w:keepNext w:val="0"/>
                    <w:keepLines w:val="0"/>
                    <w:pageBreakBefore w:val="0"/>
                    <w:widowControl w:val="0"/>
                    <w:kinsoku/>
                    <w:wordWrap/>
                    <w:overflowPunct/>
                    <w:topLinePunct w:val="0"/>
                    <w:autoSpaceDE/>
                    <w:autoSpaceDN/>
                    <w:bidi w:val="0"/>
                    <w:adjustRightInd/>
                    <w:snapToGrid w:val="0"/>
                    <w:jc w:val="center"/>
                    <w:textAlignment w:val="auto"/>
                    <w:rPr>
                      <w:rFonts w:hint="default"/>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vAlign w:val="center"/>
                </w:tcPr>
                <w:p w14:paraId="1E283717">
                  <w:pPr>
                    <w:keepNext w:val="0"/>
                    <w:keepLines w:val="0"/>
                    <w:pageBreakBefore w:val="0"/>
                    <w:widowControl w:val="0"/>
                    <w:kinsoku/>
                    <w:wordWrap/>
                    <w:overflowPunct/>
                    <w:topLinePunct w:val="0"/>
                    <w:autoSpaceDE/>
                    <w:autoSpaceDN/>
                    <w:bidi w:val="0"/>
                    <w:adjustRightInd/>
                    <w:snapToGrid w:val="0"/>
                    <w:jc w:val="center"/>
                    <w:textAlignment w:val="auto"/>
                    <w:rPr>
                      <w:rFonts w:hint="default"/>
                      <w:b w:val="0"/>
                      <w:bCs w:val="0"/>
                      <w:color w:val="auto"/>
                      <w:vertAlign w:val="baseline"/>
                      <w:lang w:val="en-US" w:eastAsia="zh-CN"/>
                    </w:rPr>
                  </w:pPr>
                  <w:r>
                    <w:rPr>
                      <w:rFonts w:hint="eastAsia"/>
                      <w:b w:val="0"/>
                      <w:bCs w:val="0"/>
                      <w:color w:val="auto"/>
                      <w:vertAlign w:val="baseline"/>
                      <w:lang w:val="en-US" w:eastAsia="zh-CN"/>
                    </w:rPr>
                    <w:t>2</w:t>
                  </w:r>
                </w:p>
              </w:tc>
              <w:tc>
                <w:tcPr>
                  <w:tcW w:w="1115" w:type="dxa"/>
                  <w:tcBorders>
                    <w:tl2br w:val="nil"/>
                    <w:tr2bl w:val="nil"/>
                  </w:tcBorders>
                  <w:shd w:val="clear" w:color="auto" w:fill="auto"/>
                  <w:vAlign w:val="center"/>
                </w:tcPr>
                <w:p w14:paraId="2ED49B8C">
                  <w:pPr>
                    <w:keepNext w:val="0"/>
                    <w:keepLines w:val="0"/>
                    <w:pageBreakBefore w:val="0"/>
                    <w:widowControl w:val="0"/>
                    <w:kinsoku/>
                    <w:wordWrap/>
                    <w:overflowPunct/>
                    <w:topLinePunct w:val="0"/>
                    <w:autoSpaceDE/>
                    <w:autoSpaceDN/>
                    <w:bidi w:val="0"/>
                    <w:adjustRightInd/>
                    <w:snapToGrid w:val="0"/>
                    <w:jc w:val="center"/>
                    <w:textAlignment w:val="auto"/>
                    <w:rPr>
                      <w:rFonts w:hint="default"/>
                      <w:b w:val="0"/>
                      <w:bCs w:val="0"/>
                      <w:color w:val="auto"/>
                      <w:vertAlign w:val="baseline"/>
                      <w:lang w:val="en-US" w:eastAsia="zh-CN"/>
                    </w:rPr>
                  </w:pPr>
                  <w:r>
                    <w:rPr>
                      <w:rFonts w:hint="eastAsia"/>
                      <w:b w:val="0"/>
                      <w:bCs w:val="0"/>
                      <w:color w:val="auto"/>
                      <w:vertAlign w:val="baseline"/>
                      <w:lang w:val="en-US" w:eastAsia="zh-CN"/>
                    </w:rPr>
                    <w:t>2</w:t>
                  </w:r>
                </w:p>
              </w:tc>
              <w:tc>
                <w:tcPr>
                  <w:tcW w:w="690" w:type="dxa"/>
                  <w:tcBorders>
                    <w:tl2br w:val="nil"/>
                    <w:tr2bl w:val="nil"/>
                  </w:tcBorders>
                  <w:shd w:val="clear" w:color="auto" w:fill="auto"/>
                  <w:vAlign w:val="center"/>
                </w:tcPr>
                <w:p w14:paraId="16486CDD">
                  <w:pPr>
                    <w:keepNext w:val="0"/>
                    <w:keepLines w:val="0"/>
                    <w:pageBreakBefore w:val="0"/>
                    <w:widowControl w:val="0"/>
                    <w:kinsoku/>
                    <w:wordWrap/>
                    <w:overflowPunct/>
                    <w:topLinePunct w:val="0"/>
                    <w:autoSpaceDE/>
                    <w:autoSpaceDN/>
                    <w:bidi w:val="0"/>
                    <w:adjustRightInd/>
                    <w:snapToGrid w:val="0"/>
                    <w:jc w:val="center"/>
                    <w:textAlignment w:val="auto"/>
                    <w:rPr>
                      <w:rFonts w:hint="default"/>
                      <w:b w:val="0"/>
                      <w:bCs w:val="0"/>
                      <w:color w:val="auto"/>
                      <w:vertAlign w:val="baseline"/>
                      <w:lang w:val="en-US" w:eastAsia="zh-CN"/>
                    </w:rPr>
                  </w:pPr>
                  <w:r>
                    <w:rPr>
                      <w:rFonts w:hint="eastAsia"/>
                      <w:b w:val="0"/>
                      <w:bCs w:val="0"/>
                      <w:color w:val="auto"/>
                      <w:vertAlign w:val="baseline"/>
                      <w:lang w:val="en-US" w:eastAsia="zh-CN"/>
                    </w:rPr>
                    <w:t>+2</w:t>
                  </w:r>
                </w:p>
              </w:tc>
              <w:tc>
                <w:tcPr>
                  <w:tcW w:w="681" w:type="dxa"/>
                  <w:tcBorders>
                    <w:tl2br w:val="nil"/>
                    <w:tr2bl w:val="nil"/>
                  </w:tcBorders>
                  <w:vAlign w:val="center"/>
                </w:tcPr>
                <w:p w14:paraId="1C5EC721">
                  <w:pPr>
                    <w:keepNext w:val="0"/>
                    <w:keepLines w:val="0"/>
                    <w:pageBreakBefore w:val="0"/>
                    <w:widowControl w:val="0"/>
                    <w:kinsoku/>
                    <w:wordWrap/>
                    <w:overflowPunct/>
                    <w:topLinePunct w:val="0"/>
                    <w:autoSpaceDE/>
                    <w:autoSpaceDN/>
                    <w:bidi w:val="0"/>
                    <w:adjustRightInd/>
                    <w:snapToGrid w:val="0"/>
                    <w:jc w:val="center"/>
                    <w:textAlignment w:val="auto"/>
                    <w:rPr>
                      <w:rFonts w:hint="default"/>
                      <w:b w:val="0"/>
                      <w:bCs w:val="0"/>
                      <w:color w:val="auto"/>
                      <w:vertAlign w:val="baseline"/>
                      <w:lang w:val="en-US" w:eastAsia="zh-CN"/>
                    </w:rPr>
                  </w:pPr>
                  <w:r>
                    <w:rPr>
                      <w:rFonts w:hint="eastAsia"/>
                      <w:b w:val="0"/>
                      <w:bCs w:val="0"/>
                      <w:color w:val="auto"/>
                      <w:vertAlign w:val="baseline"/>
                      <w:lang w:val="en-US" w:eastAsia="zh-CN"/>
                    </w:rPr>
                    <w:t>台</w:t>
                  </w:r>
                </w:p>
              </w:tc>
            </w:tr>
            <w:tr w14:paraId="4EE953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shd w:val="clear" w:color="auto" w:fill="auto"/>
                  <w:vAlign w:val="center"/>
                </w:tcPr>
                <w:p w14:paraId="3236607C">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8</w:t>
                  </w:r>
                </w:p>
              </w:tc>
              <w:tc>
                <w:tcPr>
                  <w:tcW w:w="1515" w:type="dxa"/>
                  <w:tcBorders>
                    <w:tl2br w:val="nil"/>
                    <w:tr2bl w:val="nil"/>
                  </w:tcBorders>
                  <w:shd w:val="clear" w:color="auto" w:fill="auto"/>
                  <w:vAlign w:val="center"/>
                </w:tcPr>
                <w:p w14:paraId="1C9E84F2">
                  <w:pPr>
                    <w:widowControl/>
                    <w:spacing w:after="0"/>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洗瓶机</w:t>
                  </w:r>
                </w:p>
              </w:tc>
              <w:tc>
                <w:tcPr>
                  <w:tcW w:w="1110" w:type="dxa"/>
                  <w:tcBorders>
                    <w:tl2br w:val="nil"/>
                    <w:tr2bl w:val="nil"/>
                  </w:tcBorders>
                  <w:shd w:val="clear" w:color="auto" w:fill="auto"/>
                  <w:vAlign w:val="center"/>
                </w:tcPr>
                <w:p w14:paraId="46F51C45">
                  <w:pPr>
                    <w:widowControl/>
                    <w:spacing w:after="0"/>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1115" w:type="dxa"/>
                  <w:tcBorders>
                    <w:tl2br w:val="nil"/>
                    <w:tr2bl w:val="nil"/>
                  </w:tcBorders>
                  <w:shd w:val="clear" w:color="auto" w:fill="auto"/>
                  <w:vAlign w:val="center"/>
                </w:tcPr>
                <w:p w14:paraId="20FACFE1">
                  <w:pPr>
                    <w:widowControl/>
                    <w:jc w:val="center"/>
                    <w:textAlignment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2</w:t>
                  </w:r>
                </w:p>
              </w:tc>
              <w:tc>
                <w:tcPr>
                  <w:tcW w:w="1115" w:type="dxa"/>
                  <w:tcBorders>
                    <w:tl2br w:val="nil"/>
                    <w:tr2bl w:val="nil"/>
                  </w:tcBorders>
                  <w:vAlign w:val="center"/>
                </w:tcPr>
                <w:p w14:paraId="38D0A09B">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shd w:val="clear" w:color="auto" w:fill="auto"/>
                  <w:vAlign w:val="center"/>
                </w:tcPr>
                <w:p w14:paraId="32AF17C3">
                  <w:pPr>
                    <w:widowControl/>
                    <w:jc w:val="center"/>
                    <w:textAlignment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2</w:t>
                  </w:r>
                </w:p>
              </w:tc>
              <w:tc>
                <w:tcPr>
                  <w:tcW w:w="690" w:type="dxa"/>
                  <w:tcBorders>
                    <w:tl2br w:val="nil"/>
                    <w:tr2bl w:val="nil"/>
                  </w:tcBorders>
                  <w:shd w:val="clear" w:color="auto" w:fill="auto"/>
                  <w:vAlign w:val="center"/>
                </w:tcPr>
                <w:p w14:paraId="6523AC5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0</w:t>
                  </w:r>
                </w:p>
              </w:tc>
              <w:tc>
                <w:tcPr>
                  <w:tcW w:w="681" w:type="dxa"/>
                  <w:tcBorders>
                    <w:tl2br w:val="nil"/>
                    <w:tr2bl w:val="nil"/>
                  </w:tcBorders>
                  <w:shd w:val="clear" w:color="auto" w:fill="auto"/>
                  <w:vAlign w:val="center"/>
                </w:tcPr>
                <w:p w14:paraId="45A92FDD">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台</w:t>
                  </w:r>
                </w:p>
              </w:tc>
            </w:tr>
            <w:tr w14:paraId="2FFA4A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shd w:val="clear" w:color="auto" w:fill="auto"/>
                  <w:vAlign w:val="center"/>
                </w:tcPr>
                <w:p w14:paraId="216C240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9</w:t>
                  </w:r>
                </w:p>
              </w:tc>
              <w:tc>
                <w:tcPr>
                  <w:tcW w:w="1515" w:type="dxa"/>
                  <w:tcBorders>
                    <w:tl2br w:val="nil"/>
                    <w:tr2bl w:val="nil"/>
                  </w:tcBorders>
                  <w:shd w:val="clear" w:color="auto" w:fill="auto"/>
                  <w:vAlign w:val="center"/>
                </w:tcPr>
                <w:p w14:paraId="1A09CB2E">
                  <w:pPr>
                    <w:widowControl/>
                    <w:spacing w:after="0"/>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喷漆线</w:t>
                  </w:r>
                </w:p>
              </w:tc>
              <w:tc>
                <w:tcPr>
                  <w:tcW w:w="1110" w:type="dxa"/>
                  <w:tcBorders>
                    <w:tl2br w:val="nil"/>
                    <w:tr2bl w:val="nil"/>
                  </w:tcBorders>
                  <w:shd w:val="clear" w:color="auto" w:fill="auto"/>
                  <w:vAlign w:val="center"/>
                </w:tcPr>
                <w:p w14:paraId="47EF22F8">
                  <w:pPr>
                    <w:widowControl/>
                    <w:spacing w:after="0"/>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1115" w:type="dxa"/>
                  <w:tcBorders>
                    <w:tl2br w:val="nil"/>
                    <w:tr2bl w:val="nil"/>
                  </w:tcBorders>
                  <w:shd w:val="clear" w:color="auto" w:fill="auto"/>
                  <w:vAlign w:val="center"/>
                </w:tcPr>
                <w:p w14:paraId="59863856">
                  <w:pPr>
                    <w:widowControl/>
                    <w:jc w:val="center"/>
                    <w:textAlignment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2</w:t>
                  </w:r>
                </w:p>
              </w:tc>
              <w:tc>
                <w:tcPr>
                  <w:tcW w:w="1115" w:type="dxa"/>
                  <w:tcBorders>
                    <w:tl2br w:val="nil"/>
                    <w:tr2bl w:val="nil"/>
                  </w:tcBorders>
                  <w:vAlign w:val="center"/>
                </w:tcPr>
                <w:p w14:paraId="783C8C06">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shd w:val="clear" w:color="auto" w:fill="auto"/>
                  <w:vAlign w:val="center"/>
                </w:tcPr>
                <w:p w14:paraId="78322090">
                  <w:pPr>
                    <w:widowControl/>
                    <w:jc w:val="center"/>
                    <w:textAlignment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2</w:t>
                  </w:r>
                </w:p>
              </w:tc>
              <w:tc>
                <w:tcPr>
                  <w:tcW w:w="690" w:type="dxa"/>
                  <w:tcBorders>
                    <w:tl2br w:val="nil"/>
                    <w:tr2bl w:val="nil"/>
                  </w:tcBorders>
                  <w:shd w:val="clear" w:color="auto" w:fill="auto"/>
                  <w:vAlign w:val="center"/>
                </w:tcPr>
                <w:p w14:paraId="30885AA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0</w:t>
                  </w:r>
                </w:p>
              </w:tc>
              <w:tc>
                <w:tcPr>
                  <w:tcW w:w="681" w:type="dxa"/>
                  <w:tcBorders>
                    <w:tl2br w:val="nil"/>
                    <w:tr2bl w:val="nil"/>
                  </w:tcBorders>
                  <w:shd w:val="clear" w:color="auto" w:fill="auto"/>
                  <w:vAlign w:val="center"/>
                </w:tcPr>
                <w:p w14:paraId="020B50E2">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条</w:t>
                  </w:r>
                </w:p>
              </w:tc>
            </w:tr>
            <w:tr w14:paraId="709662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shd w:val="clear" w:color="auto" w:fill="auto"/>
                  <w:vAlign w:val="center"/>
                </w:tcPr>
                <w:p w14:paraId="2895CBA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10</w:t>
                  </w:r>
                </w:p>
              </w:tc>
              <w:tc>
                <w:tcPr>
                  <w:tcW w:w="1515" w:type="dxa"/>
                  <w:tcBorders>
                    <w:tl2br w:val="nil"/>
                    <w:tr2bl w:val="nil"/>
                  </w:tcBorders>
                  <w:shd w:val="clear" w:color="auto" w:fill="auto"/>
                  <w:vAlign w:val="center"/>
                </w:tcPr>
                <w:p w14:paraId="0472AACF">
                  <w:pPr>
                    <w:widowControl/>
                    <w:spacing w:after="0"/>
                    <w:jc w:val="cente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真空镀膜机</w:t>
                  </w:r>
                </w:p>
              </w:tc>
              <w:tc>
                <w:tcPr>
                  <w:tcW w:w="1110" w:type="dxa"/>
                  <w:tcBorders>
                    <w:tl2br w:val="nil"/>
                    <w:tr2bl w:val="nil"/>
                  </w:tcBorders>
                  <w:shd w:val="clear" w:color="auto" w:fill="auto"/>
                  <w:vAlign w:val="center"/>
                </w:tcPr>
                <w:p w14:paraId="3B839EB8">
                  <w:pPr>
                    <w:widowControl/>
                    <w:spacing w:after="0"/>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1115" w:type="dxa"/>
                  <w:tcBorders>
                    <w:tl2br w:val="nil"/>
                    <w:tr2bl w:val="nil"/>
                  </w:tcBorders>
                  <w:shd w:val="clear" w:color="auto" w:fill="auto"/>
                  <w:vAlign w:val="center"/>
                </w:tcPr>
                <w:p w14:paraId="0DFE89DC">
                  <w:pPr>
                    <w:widowControl/>
                    <w:jc w:val="center"/>
                    <w:textAlignment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5</w:t>
                  </w:r>
                </w:p>
              </w:tc>
              <w:tc>
                <w:tcPr>
                  <w:tcW w:w="1115" w:type="dxa"/>
                  <w:tcBorders>
                    <w:tl2br w:val="nil"/>
                    <w:tr2bl w:val="nil"/>
                  </w:tcBorders>
                  <w:vAlign w:val="center"/>
                </w:tcPr>
                <w:p w14:paraId="28F81A04">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shd w:val="clear" w:color="auto" w:fill="auto"/>
                  <w:vAlign w:val="center"/>
                </w:tcPr>
                <w:p w14:paraId="5EE227BF">
                  <w:pPr>
                    <w:widowControl/>
                    <w:jc w:val="center"/>
                    <w:textAlignment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5</w:t>
                  </w:r>
                </w:p>
              </w:tc>
              <w:tc>
                <w:tcPr>
                  <w:tcW w:w="690" w:type="dxa"/>
                  <w:tcBorders>
                    <w:tl2br w:val="nil"/>
                    <w:tr2bl w:val="nil"/>
                  </w:tcBorders>
                  <w:shd w:val="clear" w:color="auto" w:fill="auto"/>
                  <w:vAlign w:val="center"/>
                </w:tcPr>
                <w:p w14:paraId="1A2841A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0</w:t>
                  </w:r>
                </w:p>
              </w:tc>
              <w:tc>
                <w:tcPr>
                  <w:tcW w:w="681" w:type="dxa"/>
                  <w:tcBorders>
                    <w:tl2br w:val="nil"/>
                    <w:tr2bl w:val="nil"/>
                  </w:tcBorders>
                  <w:shd w:val="clear" w:color="auto" w:fill="auto"/>
                  <w:vAlign w:val="center"/>
                </w:tcPr>
                <w:p w14:paraId="46FC98BB">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台</w:t>
                  </w:r>
                </w:p>
              </w:tc>
            </w:tr>
            <w:tr w14:paraId="676FD1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shd w:val="clear" w:color="auto" w:fill="auto"/>
                  <w:vAlign w:val="center"/>
                </w:tcPr>
                <w:p w14:paraId="2F3BA666">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11</w:t>
                  </w:r>
                </w:p>
              </w:tc>
              <w:tc>
                <w:tcPr>
                  <w:tcW w:w="1515" w:type="dxa"/>
                  <w:tcBorders>
                    <w:tl2br w:val="nil"/>
                    <w:tr2bl w:val="nil"/>
                  </w:tcBorders>
                  <w:shd w:val="clear" w:color="auto" w:fill="auto"/>
                  <w:vAlign w:val="center"/>
                </w:tcPr>
                <w:p w14:paraId="141A12FF">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熔</w:t>
                  </w:r>
                  <w:r>
                    <w:rPr>
                      <w:rFonts w:hint="eastAsia"/>
                      <w:color w:val="auto"/>
                      <w:lang w:eastAsia="zh-CN"/>
                    </w:rPr>
                    <w:t>化炉</w:t>
                  </w:r>
                </w:p>
              </w:tc>
              <w:tc>
                <w:tcPr>
                  <w:tcW w:w="1110" w:type="dxa"/>
                  <w:tcBorders>
                    <w:tl2br w:val="nil"/>
                    <w:tr2bl w:val="nil"/>
                  </w:tcBorders>
                  <w:shd w:val="clear" w:color="auto" w:fill="auto"/>
                  <w:vAlign w:val="center"/>
                </w:tcPr>
                <w:p w14:paraId="1E69F041">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DF-40</w:t>
                  </w:r>
                </w:p>
              </w:tc>
              <w:tc>
                <w:tcPr>
                  <w:tcW w:w="1115" w:type="dxa"/>
                  <w:tcBorders>
                    <w:tl2br w:val="nil"/>
                    <w:tr2bl w:val="nil"/>
                  </w:tcBorders>
                  <w:shd w:val="clear" w:color="auto" w:fill="auto"/>
                  <w:vAlign w:val="center"/>
                </w:tcPr>
                <w:p w14:paraId="3292A8F0">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4</w:t>
                  </w:r>
                </w:p>
              </w:tc>
              <w:tc>
                <w:tcPr>
                  <w:tcW w:w="1115" w:type="dxa"/>
                  <w:tcBorders>
                    <w:tl2br w:val="nil"/>
                    <w:tr2bl w:val="nil"/>
                  </w:tcBorders>
                  <w:vAlign w:val="center"/>
                </w:tcPr>
                <w:p w14:paraId="44910B74">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shd w:val="clear" w:color="auto" w:fill="auto"/>
                  <w:vAlign w:val="center"/>
                </w:tcPr>
                <w:p w14:paraId="7A04A102">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4</w:t>
                  </w:r>
                </w:p>
              </w:tc>
              <w:tc>
                <w:tcPr>
                  <w:tcW w:w="690" w:type="dxa"/>
                  <w:tcBorders>
                    <w:tl2br w:val="nil"/>
                    <w:tr2bl w:val="nil"/>
                  </w:tcBorders>
                  <w:shd w:val="clear" w:color="auto" w:fill="auto"/>
                  <w:vAlign w:val="center"/>
                </w:tcPr>
                <w:p w14:paraId="432F057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0</w:t>
                  </w:r>
                </w:p>
              </w:tc>
              <w:tc>
                <w:tcPr>
                  <w:tcW w:w="681" w:type="dxa"/>
                  <w:tcBorders>
                    <w:tl2br w:val="nil"/>
                    <w:tr2bl w:val="nil"/>
                  </w:tcBorders>
                  <w:shd w:val="clear" w:color="auto" w:fill="auto"/>
                  <w:vAlign w:val="center"/>
                </w:tcPr>
                <w:p w14:paraId="10875240">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座</w:t>
                  </w:r>
                </w:p>
              </w:tc>
            </w:tr>
            <w:tr w14:paraId="7F8D72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shd w:val="clear" w:color="auto" w:fill="auto"/>
                  <w:vAlign w:val="center"/>
                </w:tcPr>
                <w:p w14:paraId="0E6C3097">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12</w:t>
                  </w:r>
                </w:p>
              </w:tc>
              <w:tc>
                <w:tcPr>
                  <w:tcW w:w="1515" w:type="dxa"/>
                  <w:tcBorders>
                    <w:tl2br w:val="nil"/>
                    <w:tr2bl w:val="nil"/>
                  </w:tcBorders>
                  <w:shd w:val="clear" w:color="auto" w:fill="auto"/>
                  <w:vAlign w:val="center"/>
                </w:tcPr>
                <w:p w14:paraId="31CF2EBE">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畜热室</w:t>
                  </w:r>
                </w:p>
              </w:tc>
              <w:tc>
                <w:tcPr>
                  <w:tcW w:w="1110" w:type="dxa"/>
                  <w:tcBorders>
                    <w:tl2br w:val="nil"/>
                    <w:tr2bl w:val="nil"/>
                  </w:tcBorders>
                  <w:shd w:val="clear" w:color="auto" w:fill="auto"/>
                  <w:vAlign w:val="center"/>
                </w:tcPr>
                <w:p w14:paraId="7211BEEA">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CV</w:t>
                  </w:r>
                </w:p>
              </w:tc>
              <w:tc>
                <w:tcPr>
                  <w:tcW w:w="1115" w:type="dxa"/>
                  <w:tcBorders>
                    <w:tl2br w:val="nil"/>
                    <w:tr2bl w:val="nil"/>
                  </w:tcBorders>
                  <w:shd w:val="clear" w:color="auto" w:fill="auto"/>
                  <w:vAlign w:val="center"/>
                </w:tcPr>
                <w:p w14:paraId="3D8A73ED">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4</w:t>
                  </w:r>
                </w:p>
              </w:tc>
              <w:tc>
                <w:tcPr>
                  <w:tcW w:w="1115" w:type="dxa"/>
                  <w:tcBorders>
                    <w:tl2br w:val="nil"/>
                    <w:tr2bl w:val="nil"/>
                  </w:tcBorders>
                  <w:vAlign w:val="center"/>
                </w:tcPr>
                <w:p w14:paraId="001585FF">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shd w:val="clear" w:color="auto" w:fill="auto"/>
                  <w:vAlign w:val="center"/>
                </w:tcPr>
                <w:p w14:paraId="35BAFBCC">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4</w:t>
                  </w:r>
                </w:p>
              </w:tc>
              <w:tc>
                <w:tcPr>
                  <w:tcW w:w="690" w:type="dxa"/>
                  <w:tcBorders>
                    <w:tl2br w:val="nil"/>
                    <w:tr2bl w:val="nil"/>
                  </w:tcBorders>
                  <w:shd w:val="clear" w:color="auto" w:fill="auto"/>
                  <w:vAlign w:val="center"/>
                </w:tcPr>
                <w:p w14:paraId="626106E1">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0</w:t>
                  </w:r>
                </w:p>
              </w:tc>
              <w:tc>
                <w:tcPr>
                  <w:tcW w:w="681" w:type="dxa"/>
                  <w:tcBorders>
                    <w:tl2br w:val="nil"/>
                    <w:tr2bl w:val="nil"/>
                  </w:tcBorders>
                  <w:shd w:val="clear" w:color="auto" w:fill="auto"/>
                  <w:vAlign w:val="center"/>
                </w:tcPr>
                <w:p w14:paraId="77E2A5C1">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座</w:t>
                  </w:r>
                </w:p>
              </w:tc>
            </w:tr>
            <w:tr w14:paraId="3434B9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shd w:val="clear" w:color="auto" w:fill="auto"/>
                  <w:vAlign w:val="center"/>
                </w:tcPr>
                <w:p w14:paraId="7C1FBA84">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13</w:t>
                  </w:r>
                </w:p>
              </w:tc>
              <w:tc>
                <w:tcPr>
                  <w:tcW w:w="1515" w:type="dxa"/>
                  <w:tcBorders>
                    <w:tl2br w:val="nil"/>
                    <w:tr2bl w:val="nil"/>
                  </w:tcBorders>
                  <w:shd w:val="clear" w:color="auto" w:fill="auto"/>
                  <w:vAlign w:val="center"/>
                </w:tcPr>
                <w:p w14:paraId="06CED741">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供料道</w:t>
                  </w:r>
                </w:p>
              </w:tc>
              <w:tc>
                <w:tcPr>
                  <w:tcW w:w="1110" w:type="dxa"/>
                  <w:tcBorders>
                    <w:tl2br w:val="nil"/>
                    <w:tr2bl w:val="nil"/>
                  </w:tcBorders>
                  <w:shd w:val="clear" w:color="auto" w:fill="auto"/>
                  <w:vAlign w:val="center"/>
                </w:tcPr>
                <w:p w14:paraId="332C4A01">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CM</w:t>
                  </w:r>
                </w:p>
              </w:tc>
              <w:tc>
                <w:tcPr>
                  <w:tcW w:w="1115" w:type="dxa"/>
                  <w:tcBorders>
                    <w:tl2br w:val="nil"/>
                    <w:tr2bl w:val="nil"/>
                  </w:tcBorders>
                  <w:shd w:val="clear" w:color="auto" w:fill="auto"/>
                  <w:vAlign w:val="center"/>
                </w:tcPr>
                <w:p w14:paraId="5299471D">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12</w:t>
                  </w:r>
                </w:p>
              </w:tc>
              <w:tc>
                <w:tcPr>
                  <w:tcW w:w="1115" w:type="dxa"/>
                  <w:tcBorders>
                    <w:tl2br w:val="nil"/>
                    <w:tr2bl w:val="nil"/>
                  </w:tcBorders>
                  <w:vAlign w:val="center"/>
                </w:tcPr>
                <w:p w14:paraId="4E23C063">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shd w:val="clear" w:color="auto" w:fill="auto"/>
                  <w:vAlign w:val="center"/>
                </w:tcPr>
                <w:p w14:paraId="6D60CE96">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12</w:t>
                  </w:r>
                </w:p>
              </w:tc>
              <w:tc>
                <w:tcPr>
                  <w:tcW w:w="690" w:type="dxa"/>
                  <w:tcBorders>
                    <w:tl2br w:val="nil"/>
                    <w:tr2bl w:val="nil"/>
                  </w:tcBorders>
                  <w:shd w:val="clear" w:color="auto" w:fill="auto"/>
                  <w:vAlign w:val="center"/>
                </w:tcPr>
                <w:p w14:paraId="74AC7316">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0</w:t>
                  </w:r>
                </w:p>
              </w:tc>
              <w:tc>
                <w:tcPr>
                  <w:tcW w:w="681" w:type="dxa"/>
                  <w:tcBorders>
                    <w:tl2br w:val="nil"/>
                    <w:tr2bl w:val="nil"/>
                  </w:tcBorders>
                  <w:shd w:val="clear" w:color="auto" w:fill="auto"/>
                  <w:vAlign w:val="center"/>
                </w:tcPr>
                <w:p w14:paraId="0A5E592E">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条</w:t>
                  </w:r>
                </w:p>
              </w:tc>
            </w:tr>
            <w:tr w14:paraId="32F3F2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shd w:val="clear" w:color="auto" w:fill="auto"/>
                  <w:vAlign w:val="center"/>
                </w:tcPr>
                <w:p w14:paraId="177FD604">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14</w:t>
                  </w:r>
                </w:p>
              </w:tc>
              <w:tc>
                <w:tcPr>
                  <w:tcW w:w="1515" w:type="dxa"/>
                  <w:tcBorders>
                    <w:tl2br w:val="nil"/>
                    <w:tr2bl w:val="nil"/>
                  </w:tcBorders>
                  <w:shd w:val="clear" w:color="auto" w:fill="auto"/>
                  <w:vAlign w:val="center"/>
                </w:tcPr>
                <w:p w14:paraId="49968D7B">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冷却风机</w:t>
                  </w:r>
                </w:p>
              </w:tc>
              <w:tc>
                <w:tcPr>
                  <w:tcW w:w="1110" w:type="dxa"/>
                  <w:tcBorders>
                    <w:tl2br w:val="nil"/>
                    <w:tr2bl w:val="nil"/>
                  </w:tcBorders>
                  <w:shd w:val="clear" w:color="auto" w:fill="auto"/>
                  <w:vAlign w:val="center"/>
                </w:tcPr>
                <w:p w14:paraId="51193EBE">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ML</w:t>
                  </w:r>
                </w:p>
              </w:tc>
              <w:tc>
                <w:tcPr>
                  <w:tcW w:w="1115" w:type="dxa"/>
                  <w:tcBorders>
                    <w:tl2br w:val="nil"/>
                    <w:tr2bl w:val="nil"/>
                  </w:tcBorders>
                  <w:shd w:val="clear" w:color="auto" w:fill="auto"/>
                  <w:vAlign w:val="center"/>
                </w:tcPr>
                <w:p w14:paraId="74966E7E">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8</w:t>
                  </w:r>
                </w:p>
              </w:tc>
              <w:tc>
                <w:tcPr>
                  <w:tcW w:w="1115" w:type="dxa"/>
                  <w:tcBorders>
                    <w:tl2br w:val="nil"/>
                    <w:tr2bl w:val="nil"/>
                  </w:tcBorders>
                  <w:vAlign w:val="center"/>
                </w:tcPr>
                <w:p w14:paraId="58B1238C">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shd w:val="clear" w:color="auto" w:fill="auto"/>
                  <w:vAlign w:val="center"/>
                </w:tcPr>
                <w:p w14:paraId="48215589">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8</w:t>
                  </w:r>
                </w:p>
              </w:tc>
              <w:tc>
                <w:tcPr>
                  <w:tcW w:w="690" w:type="dxa"/>
                  <w:tcBorders>
                    <w:tl2br w:val="nil"/>
                    <w:tr2bl w:val="nil"/>
                  </w:tcBorders>
                  <w:shd w:val="clear" w:color="auto" w:fill="auto"/>
                  <w:vAlign w:val="center"/>
                </w:tcPr>
                <w:p w14:paraId="784D0863">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0</w:t>
                  </w:r>
                </w:p>
              </w:tc>
              <w:tc>
                <w:tcPr>
                  <w:tcW w:w="681" w:type="dxa"/>
                  <w:tcBorders>
                    <w:tl2br w:val="nil"/>
                    <w:tr2bl w:val="nil"/>
                  </w:tcBorders>
                  <w:shd w:val="clear" w:color="auto" w:fill="auto"/>
                  <w:vAlign w:val="center"/>
                </w:tcPr>
                <w:p w14:paraId="2C0A9FB8">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台</w:t>
                  </w:r>
                </w:p>
              </w:tc>
            </w:tr>
            <w:tr w14:paraId="3D065B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shd w:val="clear" w:color="auto" w:fill="auto"/>
                  <w:vAlign w:val="center"/>
                </w:tcPr>
                <w:p w14:paraId="232D6C10">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15</w:t>
                  </w:r>
                </w:p>
              </w:tc>
              <w:tc>
                <w:tcPr>
                  <w:tcW w:w="1515" w:type="dxa"/>
                  <w:tcBorders>
                    <w:tl2br w:val="nil"/>
                    <w:tr2bl w:val="nil"/>
                  </w:tcBorders>
                  <w:shd w:val="clear" w:color="auto" w:fill="auto"/>
                  <w:vAlign w:val="center"/>
                </w:tcPr>
                <w:p w14:paraId="1EE91BA4">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加料机</w:t>
                  </w:r>
                </w:p>
              </w:tc>
              <w:tc>
                <w:tcPr>
                  <w:tcW w:w="1110" w:type="dxa"/>
                  <w:tcBorders>
                    <w:tl2br w:val="nil"/>
                    <w:tr2bl w:val="nil"/>
                  </w:tcBorders>
                  <w:shd w:val="clear" w:color="auto" w:fill="auto"/>
                  <w:vAlign w:val="center"/>
                </w:tcPr>
                <w:p w14:paraId="53F3762C">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VRD</w:t>
                  </w:r>
                </w:p>
              </w:tc>
              <w:tc>
                <w:tcPr>
                  <w:tcW w:w="1115" w:type="dxa"/>
                  <w:tcBorders>
                    <w:tl2br w:val="nil"/>
                    <w:tr2bl w:val="nil"/>
                  </w:tcBorders>
                  <w:shd w:val="clear" w:color="auto" w:fill="auto"/>
                  <w:vAlign w:val="center"/>
                </w:tcPr>
                <w:p w14:paraId="1372B268">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4</w:t>
                  </w:r>
                </w:p>
              </w:tc>
              <w:tc>
                <w:tcPr>
                  <w:tcW w:w="1115" w:type="dxa"/>
                  <w:tcBorders>
                    <w:tl2br w:val="nil"/>
                    <w:tr2bl w:val="nil"/>
                  </w:tcBorders>
                  <w:vAlign w:val="center"/>
                </w:tcPr>
                <w:p w14:paraId="2C77D9BC">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shd w:val="clear" w:color="auto" w:fill="auto"/>
                  <w:vAlign w:val="center"/>
                </w:tcPr>
                <w:p w14:paraId="11C3E36C">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4</w:t>
                  </w:r>
                </w:p>
              </w:tc>
              <w:tc>
                <w:tcPr>
                  <w:tcW w:w="690" w:type="dxa"/>
                  <w:tcBorders>
                    <w:tl2br w:val="nil"/>
                    <w:tr2bl w:val="nil"/>
                  </w:tcBorders>
                  <w:shd w:val="clear" w:color="auto" w:fill="auto"/>
                  <w:vAlign w:val="center"/>
                </w:tcPr>
                <w:p w14:paraId="4A0D6991">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0</w:t>
                  </w:r>
                </w:p>
              </w:tc>
              <w:tc>
                <w:tcPr>
                  <w:tcW w:w="681" w:type="dxa"/>
                  <w:tcBorders>
                    <w:tl2br w:val="nil"/>
                    <w:tr2bl w:val="nil"/>
                  </w:tcBorders>
                  <w:shd w:val="clear" w:color="auto" w:fill="auto"/>
                  <w:vAlign w:val="center"/>
                </w:tcPr>
                <w:p w14:paraId="1C6ED38C">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台</w:t>
                  </w:r>
                </w:p>
              </w:tc>
            </w:tr>
            <w:tr w14:paraId="282CCA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shd w:val="clear" w:color="auto" w:fill="auto"/>
                  <w:vAlign w:val="center"/>
                </w:tcPr>
                <w:p w14:paraId="3AAD78D5">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16</w:t>
                  </w:r>
                </w:p>
              </w:tc>
              <w:tc>
                <w:tcPr>
                  <w:tcW w:w="1515" w:type="dxa"/>
                  <w:tcBorders>
                    <w:tl2br w:val="nil"/>
                    <w:tr2bl w:val="nil"/>
                  </w:tcBorders>
                  <w:shd w:val="clear" w:color="auto" w:fill="auto"/>
                  <w:vAlign w:val="center"/>
                </w:tcPr>
                <w:p w14:paraId="32E0B559">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供料机</w:t>
                  </w:r>
                </w:p>
              </w:tc>
              <w:tc>
                <w:tcPr>
                  <w:tcW w:w="1110" w:type="dxa"/>
                  <w:tcBorders>
                    <w:tl2br w:val="nil"/>
                    <w:tr2bl w:val="nil"/>
                  </w:tcBorders>
                  <w:shd w:val="clear" w:color="auto" w:fill="auto"/>
                  <w:vAlign w:val="center"/>
                </w:tcPr>
                <w:p w14:paraId="0C2C6F11">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LCML</w:t>
                  </w:r>
                </w:p>
              </w:tc>
              <w:tc>
                <w:tcPr>
                  <w:tcW w:w="1115" w:type="dxa"/>
                  <w:tcBorders>
                    <w:tl2br w:val="nil"/>
                    <w:tr2bl w:val="nil"/>
                  </w:tcBorders>
                  <w:shd w:val="clear" w:color="auto" w:fill="auto"/>
                  <w:vAlign w:val="center"/>
                </w:tcPr>
                <w:p w14:paraId="126A98E8">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12</w:t>
                  </w:r>
                </w:p>
              </w:tc>
              <w:tc>
                <w:tcPr>
                  <w:tcW w:w="1115" w:type="dxa"/>
                  <w:tcBorders>
                    <w:tl2br w:val="nil"/>
                    <w:tr2bl w:val="nil"/>
                  </w:tcBorders>
                  <w:vAlign w:val="center"/>
                </w:tcPr>
                <w:p w14:paraId="7A741E6A">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shd w:val="clear" w:color="auto" w:fill="auto"/>
                  <w:vAlign w:val="center"/>
                </w:tcPr>
                <w:p w14:paraId="7BAFDD37">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12</w:t>
                  </w:r>
                </w:p>
              </w:tc>
              <w:tc>
                <w:tcPr>
                  <w:tcW w:w="690" w:type="dxa"/>
                  <w:tcBorders>
                    <w:tl2br w:val="nil"/>
                    <w:tr2bl w:val="nil"/>
                  </w:tcBorders>
                  <w:shd w:val="clear" w:color="auto" w:fill="auto"/>
                  <w:vAlign w:val="center"/>
                </w:tcPr>
                <w:p w14:paraId="1BEFCB1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0</w:t>
                  </w:r>
                </w:p>
              </w:tc>
              <w:tc>
                <w:tcPr>
                  <w:tcW w:w="681" w:type="dxa"/>
                  <w:tcBorders>
                    <w:tl2br w:val="nil"/>
                    <w:tr2bl w:val="nil"/>
                  </w:tcBorders>
                  <w:shd w:val="clear" w:color="auto" w:fill="auto"/>
                  <w:vAlign w:val="center"/>
                </w:tcPr>
                <w:p w14:paraId="7176FCCE">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台</w:t>
                  </w:r>
                </w:p>
              </w:tc>
            </w:tr>
            <w:tr w14:paraId="68C538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shd w:val="clear" w:color="auto" w:fill="auto"/>
                  <w:vAlign w:val="center"/>
                </w:tcPr>
                <w:p w14:paraId="1B58BEF6">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17</w:t>
                  </w:r>
                </w:p>
              </w:tc>
              <w:tc>
                <w:tcPr>
                  <w:tcW w:w="1515" w:type="dxa"/>
                  <w:tcBorders>
                    <w:tl2br w:val="nil"/>
                    <w:tr2bl w:val="nil"/>
                  </w:tcBorders>
                  <w:shd w:val="clear" w:color="auto" w:fill="auto"/>
                  <w:vAlign w:val="center"/>
                </w:tcPr>
                <w:p w14:paraId="70B606AC">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仪表控制柜</w:t>
                  </w:r>
                </w:p>
              </w:tc>
              <w:tc>
                <w:tcPr>
                  <w:tcW w:w="1110" w:type="dxa"/>
                  <w:tcBorders>
                    <w:tl2br w:val="nil"/>
                    <w:tr2bl w:val="nil"/>
                  </w:tcBorders>
                  <w:shd w:val="clear" w:color="auto" w:fill="auto"/>
                  <w:vAlign w:val="center"/>
                </w:tcPr>
                <w:p w14:paraId="48BED77B">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1115" w:type="dxa"/>
                  <w:tcBorders>
                    <w:tl2br w:val="nil"/>
                    <w:tr2bl w:val="nil"/>
                  </w:tcBorders>
                  <w:shd w:val="clear" w:color="auto" w:fill="auto"/>
                  <w:vAlign w:val="center"/>
                </w:tcPr>
                <w:p w14:paraId="1D096762">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4</w:t>
                  </w:r>
                </w:p>
              </w:tc>
              <w:tc>
                <w:tcPr>
                  <w:tcW w:w="1115" w:type="dxa"/>
                  <w:tcBorders>
                    <w:tl2br w:val="nil"/>
                    <w:tr2bl w:val="nil"/>
                  </w:tcBorders>
                  <w:vAlign w:val="center"/>
                </w:tcPr>
                <w:p w14:paraId="22E07EF4">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shd w:val="clear" w:color="auto" w:fill="auto"/>
                  <w:vAlign w:val="center"/>
                </w:tcPr>
                <w:p w14:paraId="390F6F55">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4</w:t>
                  </w:r>
                </w:p>
              </w:tc>
              <w:tc>
                <w:tcPr>
                  <w:tcW w:w="690" w:type="dxa"/>
                  <w:tcBorders>
                    <w:tl2br w:val="nil"/>
                    <w:tr2bl w:val="nil"/>
                  </w:tcBorders>
                  <w:shd w:val="clear" w:color="auto" w:fill="auto"/>
                  <w:vAlign w:val="center"/>
                </w:tcPr>
                <w:p w14:paraId="3E5A472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0</w:t>
                  </w:r>
                </w:p>
              </w:tc>
              <w:tc>
                <w:tcPr>
                  <w:tcW w:w="681" w:type="dxa"/>
                  <w:tcBorders>
                    <w:tl2br w:val="nil"/>
                    <w:tr2bl w:val="nil"/>
                  </w:tcBorders>
                  <w:shd w:val="clear" w:color="auto" w:fill="auto"/>
                  <w:vAlign w:val="center"/>
                </w:tcPr>
                <w:p w14:paraId="764368D9">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个</w:t>
                  </w:r>
                </w:p>
              </w:tc>
            </w:tr>
            <w:tr w14:paraId="0E5FE2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shd w:val="clear" w:color="auto" w:fill="auto"/>
                  <w:vAlign w:val="center"/>
                </w:tcPr>
                <w:p w14:paraId="08AAD8DC">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18</w:t>
                  </w:r>
                </w:p>
              </w:tc>
              <w:tc>
                <w:tcPr>
                  <w:tcW w:w="1515" w:type="dxa"/>
                  <w:tcBorders>
                    <w:tl2br w:val="nil"/>
                    <w:tr2bl w:val="nil"/>
                  </w:tcBorders>
                  <w:shd w:val="clear" w:color="auto" w:fill="auto"/>
                  <w:vAlign w:val="center"/>
                </w:tcPr>
                <w:p w14:paraId="424BA6CD">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仪表控制柜</w:t>
                  </w:r>
                  <w:r>
                    <w:rPr>
                      <w:rFonts w:hint="eastAsia"/>
                      <w:color w:val="auto"/>
                      <w:lang w:val="en-US" w:eastAsia="zh-CN"/>
                    </w:rPr>
                    <w:t>（圆盘机）</w:t>
                  </w:r>
                </w:p>
              </w:tc>
              <w:tc>
                <w:tcPr>
                  <w:tcW w:w="1110" w:type="dxa"/>
                  <w:tcBorders>
                    <w:tl2br w:val="nil"/>
                    <w:tr2bl w:val="nil"/>
                  </w:tcBorders>
                  <w:shd w:val="clear" w:color="auto" w:fill="auto"/>
                  <w:vAlign w:val="center"/>
                </w:tcPr>
                <w:p w14:paraId="29687116">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1115" w:type="dxa"/>
                  <w:tcBorders>
                    <w:tl2br w:val="nil"/>
                    <w:tr2bl w:val="nil"/>
                  </w:tcBorders>
                  <w:shd w:val="clear" w:color="auto" w:fill="auto"/>
                  <w:vAlign w:val="center"/>
                </w:tcPr>
                <w:p w14:paraId="0FBC8ED2">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4</w:t>
                  </w:r>
                </w:p>
              </w:tc>
              <w:tc>
                <w:tcPr>
                  <w:tcW w:w="1115" w:type="dxa"/>
                  <w:tcBorders>
                    <w:tl2br w:val="nil"/>
                    <w:tr2bl w:val="nil"/>
                  </w:tcBorders>
                  <w:vAlign w:val="center"/>
                </w:tcPr>
                <w:p w14:paraId="5DAE05D3">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shd w:val="clear" w:color="auto" w:fill="auto"/>
                  <w:vAlign w:val="center"/>
                </w:tcPr>
                <w:p w14:paraId="105E3BEF">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4</w:t>
                  </w:r>
                </w:p>
              </w:tc>
              <w:tc>
                <w:tcPr>
                  <w:tcW w:w="690" w:type="dxa"/>
                  <w:tcBorders>
                    <w:tl2br w:val="nil"/>
                    <w:tr2bl w:val="nil"/>
                  </w:tcBorders>
                  <w:shd w:val="clear" w:color="auto" w:fill="auto"/>
                  <w:vAlign w:val="center"/>
                </w:tcPr>
                <w:p w14:paraId="2C552341">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0</w:t>
                  </w:r>
                </w:p>
              </w:tc>
              <w:tc>
                <w:tcPr>
                  <w:tcW w:w="681" w:type="dxa"/>
                  <w:tcBorders>
                    <w:tl2br w:val="nil"/>
                    <w:tr2bl w:val="nil"/>
                  </w:tcBorders>
                  <w:shd w:val="clear" w:color="auto" w:fill="auto"/>
                  <w:vAlign w:val="center"/>
                </w:tcPr>
                <w:p w14:paraId="25407B28">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个</w:t>
                  </w:r>
                </w:p>
              </w:tc>
            </w:tr>
            <w:tr w14:paraId="5EE331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shd w:val="clear" w:color="auto" w:fill="auto"/>
                  <w:vAlign w:val="center"/>
                </w:tcPr>
                <w:p w14:paraId="4B8B3666">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19</w:t>
                  </w:r>
                </w:p>
              </w:tc>
              <w:tc>
                <w:tcPr>
                  <w:tcW w:w="1515" w:type="dxa"/>
                  <w:tcBorders>
                    <w:tl2br w:val="nil"/>
                    <w:tr2bl w:val="nil"/>
                  </w:tcBorders>
                  <w:shd w:val="clear" w:color="auto" w:fill="auto"/>
                  <w:vAlign w:val="center"/>
                </w:tcPr>
                <w:p w14:paraId="0369FA06">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圆盘式成型机</w:t>
                  </w:r>
                </w:p>
              </w:tc>
              <w:tc>
                <w:tcPr>
                  <w:tcW w:w="1110" w:type="dxa"/>
                  <w:tcBorders>
                    <w:tl2br w:val="nil"/>
                    <w:tr2bl w:val="nil"/>
                  </w:tcBorders>
                  <w:shd w:val="clear" w:color="auto" w:fill="auto"/>
                  <w:vAlign w:val="center"/>
                </w:tcPr>
                <w:p w14:paraId="7085E8C8">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CML</w:t>
                  </w:r>
                </w:p>
              </w:tc>
              <w:tc>
                <w:tcPr>
                  <w:tcW w:w="1115" w:type="dxa"/>
                  <w:tcBorders>
                    <w:tl2br w:val="nil"/>
                    <w:tr2bl w:val="nil"/>
                  </w:tcBorders>
                  <w:shd w:val="clear" w:color="auto" w:fill="auto"/>
                  <w:vAlign w:val="center"/>
                </w:tcPr>
                <w:p w14:paraId="306173B4">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24</w:t>
                  </w:r>
                </w:p>
              </w:tc>
              <w:tc>
                <w:tcPr>
                  <w:tcW w:w="1115" w:type="dxa"/>
                  <w:tcBorders>
                    <w:tl2br w:val="nil"/>
                    <w:tr2bl w:val="nil"/>
                  </w:tcBorders>
                  <w:vAlign w:val="center"/>
                </w:tcPr>
                <w:p w14:paraId="62C6E522">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shd w:val="clear" w:color="auto" w:fill="auto"/>
                  <w:vAlign w:val="center"/>
                </w:tcPr>
                <w:p w14:paraId="2865FA57">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24</w:t>
                  </w:r>
                </w:p>
              </w:tc>
              <w:tc>
                <w:tcPr>
                  <w:tcW w:w="690" w:type="dxa"/>
                  <w:tcBorders>
                    <w:tl2br w:val="nil"/>
                    <w:tr2bl w:val="nil"/>
                  </w:tcBorders>
                  <w:shd w:val="clear" w:color="auto" w:fill="auto"/>
                  <w:vAlign w:val="center"/>
                </w:tcPr>
                <w:p w14:paraId="2AE5C9A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0</w:t>
                  </w:r>
                </w:p>
              </w:tc>
              <w:tc>
                <w:tcPr>
                  <w:tcW w:w="681" w:type="dxa"/>
                  <w:tcBorders>
                    <w:tl2br w:val="nil"/>
                    <w:tr2bl w:val="nil"/>
                  </w:tcBorders>
                  <w:shd w:val="clear" w:color="auto" w:fill="auto"/>
                  <w:vAlign w:val="center"/>
                </w:tcPr>
                <w:p w14:paraId="4577955B">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台</w:t>
                  </w:r>
                </w:p>
              </w:tc>
            </w:tr>
            <w:tr w14:paraId="0B42F1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shd w:val="clear" w:color="auto" w:fill="auto"/>
                  <w:vAlign w:val="center"/>
                </w:tcPr>
                <w:p w14:paraId="242EF5BA">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20</w:t>
                  </w:r>
                </w:p>
              </w:tc>
              <w:tc>
                <w:tcPr>
                  <w:tcW w:w="1515" w:type="dxa"/>
                  <w:tcBorders>
                    <w:tl2br w:val="nil"/>
                    <w:tr2bl w:val="nil"/>
                  </w:tcBorders>
                  <w:shd w:val="clear" w:color="auto" w:fill="auto"/>
                  <w:vAlign w:val="center"/>
                </w:tcPr>
                <w:p w14:paraId="515C7347">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行列式成型机</w:t>
                  </w:r>
                </w:p>
              </w:tc>
              <w:tc>
                <w:tcPr>
                  <w:tcW w:w="1110" w:type="dxa"/>
                  <w:tcBorders>
                    <w:tl2br w:val="nil"/>
                    <w:tr2bl w:val="nil"/>
                  </w:tcBorders>
                  <w:shd w:val="clear" w:color="auto" w:fill="auto"/>
                  <w:vAlign w:val="center"/>
                </w:tcPr>
                <w:p w14:paraId="38205CD5">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BN</w:t>
                  </w:r>
                </w:p>
              </w:tc>
              <w:tc>
                <w:tcPr>
                  <w:tcW w:w="1115" w:type="dxa"/>
                  <w:tcBorders>
                    <w:tl2br w:val="nil"/>
                    <w:tr2bl w:val="nil"/>
                  </w:tcBorders>
                  <w:shd w:val="clear" w:color="auto" w:fill="auto"/>
                  <w:vAlign w:val="center"/>
                </w:tcPr>
                <w:p w14:paraId="0B004E23">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4</w:t>
                  </w:r>
                </w:p>
              </w:tc>
              <w:tc>
                <w:tcPr>
                  <w:tcW w:w="1115" w:type="dxa"/>
                  <w:tcBorders>
                    <w:tl2br w:val="nil"/>
                    <w:tr2bl w:val="nil"/>
                  </w:tcBorders>
                  <w:vAlign w:val="center"/>
                </w:tcPr>
                <w:p w14:paraId="71BE4B35">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shd w:val="clear" w:color="auto" w:fill="auto"/>
                  <w:vAlign w:val="center"/>
                </w:tcPr>
                <w:p w14:paraId="05AFE3ED">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4</w:t>
                  </w:r>
                </w:p>
              </w:tc>
              <w:tc>
                <w:tcPr>
                  <w:tcW w:w="690" w:type="dxa"/>
                  <w:tcBorders>
                    <w:tl2br w:val="nil"/>
                    <w:tr2bl w:val="nil"/>
                  </w:tcBorders>
                  <w:shd w:val="clear" w:color="auto" w:fill="auto"/>
                  <w:vAlign w:val="center"/>
                </w:tcPr>
                <w:p w14:paraId="5EA9676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0</w:t>
                  </w:r>
                </w:p>
              </w:tc>
              <w:tc>
                <w:tcPr>
                  <w:tcW w:w="681" w:type="dxa"/>
                  <w:tcBorders>
                    <w:tl2br w:val="nil"/>
                    <w:tr2bl w:val="nil"/>
                  </w:tcBorders>
                  <w:shd w:val="clear" w:color="auto" w:fill="auto"/>
                  <w:vAlign w:val="center"/>
                </w:tcPr>
                <w:p w14:paraId="4AFF6DEE">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台</w:t>
                  </w:r>
                </w:p>
              </w:tc>
            </w:tr>
            <w:tr w14:paraId="303B89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shd w:val="clear" w:color="auto" w:fill="auto"/>
                  <w:vAlign w:val="center"/>
                </w:tcPr>
                <w:p w14:paraId="0963639F">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21</w:t>
                  </w:r>
                </w:p>
              </w:tc>
              <w:tc>
                <w:tcPr>
                  <w:tcW w:w="1515" w:type="dxa"/>
                  <w:tcBorders>
                    <w:tl2br w:val="nil"/>
                    <w:tr2bl w:val="nil"/>
                  </w:tcBorders>
                  <w:shd w:val="clear" w:color="auto" w:fill="auto"/>
                  <w:vAlign w:val="center"/>
                </w:tcPr>
                <w:p w14:paraId="6EE10132">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连续退火炉</w:t>
                  </w:r>
                </w:p>
              </w:tc>
              <w:tc>
                <w:tcPr>
                  <w:tcW w:w="1110" w:type="dxa"/>
                  <w:tcBorders>
                    <w:tl2br w:val="nil"/>
                    <w:tr2bl w:val="nil"/>
                  </w:tcBorders>
                  <w:shd w:val="clear" w:color="auto" w:fill="auto"/>
                  <w:vAlign w:val="center"/>
                </w:tcPr>
                <w:p w14:paraId="694AA293">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T-40</w:t>
                  </w:r>
                </w:p>
              </w:tc>
              <w:tc>
                <w:tcPr>
                  <w:tcW w:w="1115" w:type="dxa"/>
                  <w:tcBorders>
                    <w:tl2br w:val="nil"/>
                    <w:tr2bl w:val="nil"/>
                  </w:tcBorders>
                  <w:shd w:val="clear" w:color="auto" w:fill="auto"/>
                  <w:vAlign w:val="center"/>
                </w:tcPr>
                <w:p w14:paraId="71E7EF00">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10</w:t>
                  </w:r>
                </w:p>
              </w:tc>
              <w:tc>
                <w:tcPr>
                  <w:tcW w:w="1115" w:type="dxa"/>
                  <w:tcBorders>
                    <w:tl2br w:val="nil"/>
                    <w:tr2bl w:val="nil"/>
                  </w:tcBorders>
                  <w:vAlign w:val="center"/>
                </w:tcPr>
                <w:p w14:paraId="662E88AC">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shd w:val="clear" w:color="auto" w:fill="auto"/>
                  <w:vAlign w:val="center"/>
                </w:tcPr>
                <w:p w14:paraId="7B61EC29">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10</w:t>
                  </w:r>
                </w:p>
              </w:tc>
              <w:tc>
                <w:tcPr>
                  <w:tcW w:w="690" w:type="dxa"/>
                  <w:tcBorders>
                    <w:tl2br w:val="nil"/>
                    <w:tr2bl w:val="nil"/>
                  </w:tcBorders>
                  <w:shd w:val="clear" w:color="auto" w:fill="auto"/>
                  <w:vAlign w:val="center"/>
                </w:tcPr>
                <w:p w14:paraId="447B2C2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0</w:t>
                  </w:r>
                </w:p>
              </w:tc>
              <w:tc>
                <w:tcPr>
                  <w:tcW w:w="681" w:type="dxa"/>
                  <w:tcBorders>
                    <w:tl2br w:val="nil"/>
                    <w:tr2bl w:val="nil"/>
                  </w:tcBorders>
                  <w:shd w:val="clear" w:color="auto" w:fill="auto"/>
                  <w:vAlign w:val="center"/>
                </w:tcPr>
                <w:p w14:paraId="52B56808">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座</w:t>
                  </w:r>
                </w:p>
              </w:tc>
            </w:tr>
            <w:tr w14:paraId="10107C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shd w:val="clear" w:color="auto" w:fill="auto"/>
                  <w:vAlign w:val="center"/>
                </w:tcPr>
                <w:p w14:paraId="5992E41A">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22</w:t>
                  </w:r>
                </w:p>
              </w:tc>
              <w:tc>
                <w:tcPr>
                  <w:tcW w:w="1515" w:type="dxa"/>
                  <w:tcBorders>
                    <w:tl2br w:val="nil"/>
                    <w:tr2bl w:val="nil"/>
                  </w:tcBorders>
                  <w:shd w:val="clear" w:color="auto" w:fill="auto"/>
                  <w:vAlign w:val="center"/>
                </w:tcPr>
                <w:p w14:paraId="64F2E2DA">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输瓶机</w:t>
                  </w:r>
                </w:p>
              </w:tc>
              <w:tc>
                <w:tcPr>
                  <w:tcW w:w="1110" w:type="dxa"/>
                  <w:tcBorders>
                    <w:tl2br w:val="nil"/>
                    <w:tr2bl w:val="nil"/>
                  </w:tcBorders>
                  <w:shd w:val="clear" w:color="auto" w:fill="auto"/>
                  <w:vAlign w:val="center"/>
                </w:tcPr>
                <w:p w14:paraId="4BB39ED2">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TYUU</w:t>
                  </w:r>
                </w:p>
              </w:tc>
              <w:tc>
                <w:tcPr>
                  <w:tcW w:w="1115" w:type="dxa"/>
                  <w:tcBorders>
                    <w:tl2br w:val="nil"/>
                    <w:tr2bl w:val="nil"/>
                  </w:tcBorders>
                  <w:shd w:val="clear" w:color="auto" w:fill="auto"/>
                  <w:vAlign w:val="center"/>
                </w:tcPr>
                <w:p w14:paraId="02839ADB">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12</w:t>
                  </w:r>
                </w:p>
              </w:tc>
              <w:tc>
                <w:tcPr>
                  <w:tcW w:w="1115" w:type="dxa"/>
                  <w:tcBorders>
                    <w:tl2br w:val="nil"/>
                    <w:tr2bl w:val="nil"/>
                  </w:tcBorders>
                  <w:vAlign w:val="center"/>
                </w:tcPr>
                <w:p w14:paraId="6A7984A4">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shd w:val="clear" w:color="auto" w:fill="auto"/>
                  <w:vAlign w:val="center"/>
                </w:tcPr>
                <w:p w14:paraId="5D275EC9">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12</w:t>
                  </w:r>
                </w:p>
              </w:tc>
              <w:tc>
                <w:tcPr>
                  <w:tcW w:w="690" w:type="dxa"/>
                  <w:tcBorders>
                    <w:tl2br w:val="nil"/>
                    <w:tr2bl w:val="nil"/>
                  </w:tcBorders>
                  <w:shd w:val="clear" w:color="auto" w:fill="auto"/>
                  <w:vAlign w:val="center"/>
                </w:tcPr>
                <w:p w14:paraId="27E49D61">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0</w:t>
                  </w:r>
                </w:p>
              </w:tc>
              <w:tc>
                <w:tcPr>
                  <w:tcW w:w="681" w:type="dxa"/>
                  <w:tcBorders>
                    <w:tl2br w:val="nil"/>
                    <w:tr2bl w:val="nil"/>
                  </w:tcBorders>
                  <w:shd w:val="clear" w:color="auto" w:fill="auto"/>
                  <w:vAlign w:val="center"/>
                </w:tcPr>
                <w:p w14:paraId="26554DF8">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台</w:t>
                  </w:r>
                </w:p>
              </w:tc>
            </w:tr>
            <w:tr w14:paraId="7A19E7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shd w:val="clear" w:color="auto" w:fill="auto"/>
                  <w:vAlign w:val="center"/>
                </w:tcPr>
                <w:p w14:paraId="6A26BE7D">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23</w:t>
                  </w:r>
                </w:p>
              </w:tc>
              <w:tc>
                <w:tcPr>
                  <w:tcW w:w="1515" w:type="dxa"/>
                  <w:tcBorders>
                    <w:tl2br w:val="nil"/>
                    <w:tr2bl w:val="nil"/>
                  </w:tcBorders>
                  <w:shd w:val="clear" w:color="auto" w:fill="auto"/>
                  <w:vAlign w:val="center"/>
                </w:tcPr>
                <w:p w14:paraId="0D922CE7">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制瓶机</w:t>
                  </w:r>
                </w:p>
              </w:tc>
              <w:tc>
                <w:tcPr>
                  <w:tcW w:w="1110" w:type="dxa"/>
                  <w:tcBorders>
                    <w:tl2br w:val="nil"/>
                    <w:tr2bl w:val="nil"/>
                  </w:tcBorders>
                  <w:shd w:val="clear" w:color="auto" w:fill="auto"/>
                  <w:vAlign w:val="center"/>
                </w:tcPr>
                <w:p w14:paraId="55328D6D">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ERT</w:t>
                  </w:r>
                </w:p>
              </w:tc>
              <w:tc>
                <w:tcPr>
                  <w:tcW w:w="1115" w:type="dxa"/>
                  <w:tcBorders>
                    <w:tl2br w:val="nil"/>
                    <w:tr2bl w:val="nil"/>
                  </w:tcBorders>
                  <w:shd w:val="clear" w:color="auto" w:fill="auto"/>
                  <w:vAlign w:val="center"/>
                </w:tcPr>
                <w:p w14:paraId="30D499D2">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10</w:t>
                  </w:r>
                </w:p>
              </w:tc>
              <w:tc>
                <w:tcPr>
                  <w:tcW w:w="1115" w:type="dxa"/>
                  <w:tcBorders>
                    <w:tl2br w:val="nil"/>
                    <w:tr2bl w:val="nil"/>
                  </w:tcBorders>
                  <w:vAlign w:val="center"/>
                </w:tcPr>
                <w:p w14:paraId="46443AC6">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shd w:val="clear" w:color="auto" w:fill="auto"/>
                  <w:vAlign w:val="center"/>
                </w:tcPr>
                <w:p w14:paraId="303FB212">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10</w:t>
                  </w:r>
                </w:p>
              </w:tc>
              <w:tc>
                <w:tcPr>
                  <w:tcW w:w="690" w:type="dxa"/>
                  <w:tcBorders>
                    <w:tl2br w:val="nil"/>
                    <w:tr2bl w:val="nil"/>
                  </w:tcBorders>
                  <w:shd w:val="clear" w:color="auto" w:fill="auto"/>
                  <w:vAlign w:val="center"/>
                </w:tcPr>
                <w:p w14:paraId="29BD9D64">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0</w:t>
                  </w:r>
                </w:p>
              </w:tc>
              <w:tc>
                <w:tcPr>
                  <w:tcW w:w="681" w:type="dxa"/>
                  <w:tcBorders>
                    <w:tl2br w:val="nil"/>
                    <w:tr2bl w:val="nil"/>
                  </w:tcBorders>
                  <w:shd w:val="clear" w:color="auto" w:fill="auto"/>
                  <w:vAlign w:val="center"/>
                </w:tcPr>
                <w:p w14:paraId="27B68E06">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台</w:t>
                  </w:r>
                </w:p>
              </w:tc>
            </w:tr>
            <w:tr w14:paraId="23A045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shd w:val="clear" w:color="auto" w:fill="auto"/>
                  <w:vAlign w:val="center"/>
                </w:tcPr>
                <w:p w14:paraId="0A3A6EA3">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24</w:t>
                  </w:r>
                </w:p>
              </w:tc>
              <w:tc>
                <w:tcPr>
                  <w:tcW w:w="1515" w:type="dxa"/>
                  <w:tcBorders>
                    <w:tl2br w:val="nil"/>
                    <w:tr2bl w:val="nil"/>
                  </w:tcBorders>
                  <w:shd w:val="clear" w:color="auto" w:fill="auto"/>
                  <w:vAlign w:val="center"/>
                </w:tcPr>
                <w:p w14:paraId="19187828">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仪表控制柜（行列机）</w:t>
                  </w:r>
                </w:p>
              </w:tc>
              <w:tc>
                <w:tcPr>
                  <w:tcW w:w="1110" w:type="dxa"/>
                  <w:tcBorders>
                    <w:tl2br w:val="nil"/>
                    <w:tr2bl w:val="nil"/>
                  </w:tcBorders>
                  <w:shd w:val="clear" w:color="auto" w:fill="auto"/>
                  <w:vAlign w:val="center"/>
                </w:tcPr>
                <w:p w14:paraId="649C7EC3">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1115" w:type="dxa"/>
                  <w:tcBorders>
                    <w:tl2br w:val="nil"/>
                    <w:tr2bl w:val="nil"/>
                  </w:tcBorders>
                  <w:shd w:val="clear" w:color="auto" w:fill="auto"/>
                  <w:vAlign w:val="center"/>
                </w:tcPr>
                <w:p w14:paraId="3BC32C9A">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4</w:t>
                  </w:r>
                </w:p>
              </w:tc>
              <w:tc>
                <w:tcPr>
                  <w:tcW w:w="1115" w:type="dxa"/>
                  <w:tcBorders>
                    <w:tl2br w:val="nil"/>
                    <w:tr2bl w:val="nil"/>
                  </w:tcBorders>
                  <w:vAlign w:val="center"/>
                </w:tcPr>
                <w:p w14:paraId="52138AB8">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shd w:val="clear" w:color="auto" w:fill="auto"/>
                  <w:vAlign w:val="center"/>
                </w:tcPr>
                <w:p w14:paraId="5A01DFD5">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4</w:t>
                  </w:r>
                </w:p>
              </w:tc>
              <w:tc>
                <w:tcPr>
                  <w:tcW w:w="690" w:type="dxa"/>
                  <w:tcBorders>
                    <w:tl2br w:val="nil"/>
                    <w:tr2bl w:val="nil"/>
                  </w:tcBorders>
                  <w:shd w:val="clear" w:color="auto" w:fill="auto"/>
                  <w:vAlign w:val="center"/>
                </w:tcPr>
                <w:p w14:paraId="368CEC61">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0</w:t>
                  </w:r>
                </w:p>
              </w:tc>
              <w:tc>
                <w:tcPr>
                  <w:tcW w:w="681" w:type="dxa"/>
                  <w:tcBorders>
                    <w:tl2br w:val="nil"/>
                    <w:tr2bl w:val="nil"/>
                  </w:tcBorders>
                  <w:shd w:val="clear" w:color="auto" w:fill="auto"/>
                  <w:vAlign w:val="center"/>
                </w:tcPr>
                <w:p w14:paraId="285D64DA">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个</w:t>
                  </w:r>
                </w:p>
              </w:tc>
            </w:tr>
            <w:tr w14:paraId="1C90A4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shd w:val="clear" w:color="auto" w:fill="auto"/>
                  <w:vAlign w:val="center"/>
                </w:tcPr>
                <w:p w14:paraId="1AC3D4C1">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25</w:t>
                  </w:r>
                </w:p>
              </w:tc>
              <w:tc>
                <w:tcPr>
                  <w:tcW w:w="1515" w:type="dxa"/>
                  <w:tcBorders>
                    <w:tl2br w:val="nil"/>
                    <w:tr2bl w:val="nil"/>
                  </w:tcBorders>
                  <w:shd w:val="clear" w:color="auto" w:fill="auto"/>
                  <w:vAlign w:val="center"/>
                </w:tcPr>
                <w:p w14:paraId="29ED1EB8">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自动调配料生产线</w:t>
                  </w:r>
                </w:p>
              </w:tc>
              <w:tc>
                <w:tcPr>
                  <w:tcW w:w="1110" w:type="dxa"/>
                  <w:tcBorders>
                    <w:tl2br w:val="nil"/>
                    <w:tr2bl w:val="nil"/>
                  </w:tcBorders>
                  <w:shd w:val="clear" w:color="auto" w:fill="auto"/>
                  <w:vAlign w:val="center"/>
                </w:tcPr>
                <w:p w14:paraId="39295A81">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PL42</w:t>
                  </w:r>
                </w:p>
              </w:tc>
              <w:tc>
                <w:tcPr>
                  <w:tcW w:w="1115" w:type="dxa"/>
                  <w:tcBorders>
                    <w:tl2br w:val="nil"/>
                    <w:tr2bl w:val="nil"/>
                  </w:tcBorders>
                  <w:shd w:val="clear" w:color="auto" w:fill="auto"/>
                  <w:vAlign w:val="center"/>
                </w:tcPr>
                <w:p w14:paraId="0B6EA29F">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2</w:t>
                  </w:r>
                </w:p>
              </w:tc>
              <w:tc>
                <w:tcPr>
                  <w:tcW w:w="1115" w:type="dxa"/>
                  <w:tcBorders>
                    <w:tl2br w:val="nil"/>
                    <w:tr2bl w:val="nil"/>
                  </w:tcBorders>
                  <w:vAlign w:val="center"/>
                </w:tcPr>
                <w:p w14:paraId="4A621FCA">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shd w:val="clear" w:color="auto" w:fill="auto"/>
                  <w:vAlign w:val="center"/>
                </w:tcPr>
                <w:p w14:paraId="5018198A">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2</w:t>
                  </w:r>
                </w:p>
              </w:tc>
              <w:tc>
                <w:tcPr>
                  <w:tcW w:w="690" w:type="dxa"/>
                  <w:tcBorders>
                    <w:tl2br w:val="nil"/>
                    <w:tr2bl w:val="nil"/>
                  </w:tcBorders>
                  <w:shd w:val="clear" w:color="auto" w:fill="auto"/>
                  <w:vAlign w:val="center"/>
                </w:tcPr>
                <w:p w14:paraId="7D5257E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0</w:t>
                  </w:r>
                </w:p>
              </w:tc>
              <w:tc>
                <w:tcPr>
                  <w:tcW w:w="681" w:type="dxa"/>
                  <w:tcBorders>
                    <w:tl2br w:val="nil"/>
                    <w:tr2bl w:val="nil"/>
                  </w:tcBorders>
                  <w:shd w:val="clear" w:color="auto" w:fill="auto"/>
                  <w:vAlign w:val="center"/>
                </w:tcPr>
                <w:p w14:paraId="02B22633">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套</w:t>
                  </w:r>
                </w:p>
              </w:tc>
            </w:tr>
            <w:tr w14:paraId="3C659E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shd w:val="clear" w:color="auto" w:fill="auto"/>
                  <w:vAlign w:val="center"/>
                </w:tcPr>
                <w:p w14:paraId="0DCF9605">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26</w:t>
                  </w:r>
                </w:p>
              </w:tc>
              <w:tc>
                <w:tcPr>
                  <w:tcW w:w="1515" w:type="dxa"/>
                  <w:tcBorders>
                    <w:tl2br w:val="nil"/>
                    <w:tr2bl w:val="nil"/>
                  </w:tcBorders>
                  <w:shd w:val="clear" w:color="auto" w:fill="auto"/>
                  <w:vAlign w:val="center"/>
                </w:tcPr>
                <w:p w14:paraId="1E5CD75D">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贴花流水生产线</w:t>
                  </w:r>
                </w:p>
              </w:tc>
              <w:tc>
                <w:tcPr>
                  <w:tcW w:w="1110" w:type="dxa"/>
                  <w:tcBorders>
                    <w:tl2br w:val="nil"/>
                    <w:tr2bl w:val="nil"/>
                  </w:tcBorders>
                  <w:shd w:val="clear" w:color="auto" w:fill="auto"/>
                  <w:vAlign w:val="center"/>
                </w:tcPr>
                <w:p w14:paraId="54F354D0">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UV-1</w:t>
                  </w:r>
                </w:p>
              </w:tc>
              <w:tc>
                <w:tcPr>
                  <w:tcW w:w="1115" w:type="dxa"/>
                  <w:tcBorders>
                    <w:tl2br w:val="nil"/>
                    <w:tr2bl w:val="nil"/>
                  </w:tcBorders>
                  <w:shd w:val="clear" w:color="auto" w:fill="auto"/>
                  <w:vAlign w:val="center"/>
                </w:tcPr>
                <w:p w14:paraId="45543B46">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5</w:t>
                  </w:r>
                </w:p>
              </w:tc>
              <w:tc>
                <w:tcPr>
                  <w:tcW w:w="1115" w:type="dxa"/>
                  <w:tcBorders>
                    <w:tl2br w:val="nil"/>
                    <w:tr2bl w:val="nil"/>
                  </w:tcBorders>
                  <w:vAlign w:val="center"/>
                </w:tcPr>
                <w:p w14:paraId="17876EAD">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shd w:val="clear" w:color="auto" w:fill="auto"/>
                  <w:vAlign w:val="center"/>
                </w:tcPr>
                <w:p w14:paraId="3A0457C4">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5</w:t>
                  </w:r>
                </w:p>
              </w:tc>
              <w:tc>
                <w:tcPr>
                  <w:tcW w:w="690" w:type="dxa"/>
                  <w:tcBorders>
                    <w:tl2br w:val="nil"/>
                    <w:tr2bl w:val="nil"/>
                  </w:tcBorders>
                  <w:shd w:val="clear" w:color="auto" w:fill="auto"/>
                  <w:vAlign w:val="center"/>
                </w:tcPr>
                <w:p w14:paraId="14583A5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0</w:t>
                  </w:r>
                </w:p>
              </w:tc>
              <w:tc>
                <w:tcPr>
                  <w:tcW w:w="681" w:type="dxa"/>
                  <w:tcBorders>
                    <w:tl2br w:val="nil"/>
                    <w:tr2bl w:val="nil"/>
                  </w:tcBorders>
                  <w:shd w:val="clear" w:color="auto" w:fill="auto"/>
                  <w:vAlign w:val="center"/>
                </w:tcPr>
                <w:p w14:paraId="7998E876">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套</w:t>
                  </w:r>
                </w:p>
              </w:tc>
            </w:tr>
            <w:tr w14:paraId="189611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shd w:val="clear" w:color="auto" w:fill="auto"/>
                  <w:vAlign w:val="center"/>
                </w:tcPr>
                <w:p w14:paraId="6287F24E">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27</w:t>
                  </w:r>
                </w:p>
              </w:tc>
              <w:tc>
                <w:tcPr>
                  <w:tcW w:w="1515" w:type="dxa"/>
                  <w:tcBorders>
                    <w:tl2br w:val="nil"/>
                    <w:tr2bl w:val="nil"/>
                  </w:tcBorders>
                  <w:shd w:val="clear" w:color="auto" w:fill="auto"/>
                  <w:vAlign w:val="center"/>
                </w:tcPr>
                <w:p w14:paraId="67281988">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电烤花炉</w:t>
                  </w:r>
                </w:p>
              </w:tc>
              <w:tc>
                <w:tcPr>
                  <w:tcW w:w="1110" w:type="dxa"/>
                  <w:tcBorders>
                    <w:tl2br w:val="nil"/>
                    <w:tr2bl w:val="nil"/>
                  </w:tcBorders>
                  <w:shd w:val="clear" w:color="auto" w:fill="auto"/>
                  <w:vAlign w:val="center"/>
                </w:tcPr>
                <w:p w14:paraId="4FE958A6">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UV-2</w:t>
                  </w:r>
                </w:p>
              </w:tc>
              <w:tc>
                <w:tcPr>
                  <w:tcW w:w="1115" w:type="dxa"/>
                  <w:tcBorders>
                    <w:tl2br w:val="nil"/>
                    <w:tr2bl w:val="nil"/>
                  </w:tcBorders>
                  <w:shd w:val="clear" w:color="auto" w:fill="auto"/>
                  <w:vAlign w:val="center"/>
                </w:tcPr>
                <w:p w14:paraId="76CC54FC">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6</w:t>
                  </w:r>
                </w:p>
              </w:tc>
              <w:tc>
                <w:tcPr>
                  <w:tcW w:w="1115" w:type="dxa"/>
                  <w:tcBorders>
                    <w:tl2br w:val="nil"/>
                    <w:tr2bl w:val="nil"/>
                  </w:tcBorders>
                  <w:vAlign w:val="center"/>
                </w:tcPr>
                <w:p w14:paraId="69832F9F">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shd w:val="clear" w:color="auto" w:fill="auto"/>
                  <w:vAlign w:val="center"/>
                </w:tcPr>
                <w:p w14:paraId="6E02E147">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6</w:t>
                  </w:r>
                </w:p>
              </w:tc>
              <w:tc>
                <w:tcPr>
                  <w:tcW w:w="690" w:type="dxa"/>
                  <w:tcBorders>
                    <w:tl2br w:val="nil"/>
                    <w:tr2bl w:val="nil"/>
                  </w:tcBorders>
                  <w:shd w:val="clear" w:color="auto" w:fill="auto"/>
                  <w:vAlign w:val="center"/>
                </w:tcPr>
                <w:p w14:paraId="495EE7D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0</w:t>
                  </w:r>
                </w:p>
              </w:tc>
              <w:tc>
                <w:tcPr>
                  <w:tcW w:w="681" w:type="dxa"/>
                  <w:tcBorders>
                    <w:tl2br w:val="nil"/>
                    <w:tr2bl w:val="nil"/>
                  </w:tcBorders>
                  <w:shd w:val="clear" w:color="auto" w:fill="auto"/>
                  <w:vAlign w:val="center"/>
                </w:tcPr>
                <w:p w14:paraId="0489A051">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座</w:t>
                  </w:r>
                </w:p>
              </w:tc>
            </w:tr>
            <w:tr w14:paraId="19E71D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tcBorders>
                    <w:tl2br w:val="nil"/>
                    <w:tr2bl w:val="nil"/>
                  </w:tcBorders>
                  <w:vAlign w:val="center"/>
                </w:tcPr>
                <w:p w14:paraId="58A7F203">
                  <w:pPr>
                    <w:keepNext w:val="0"/>
                    <w:keepLines w:val="0"/>
                    <w:pageBreakBefore w:val="0"/>
                    <w:widowControl w:val="0"/>
                    <w:kinsoku/>
                    <w:wordWrap/>
                    <w:overflowPunct/>
                    <w:topLinePunct w:val="0"/>
                    <w:autoSpaceDE/>
                    <w:autoSpaceDN/>
                    <w:bidi w:val="0"/>
                    <w:adjustRightInd/>
                    <w:snapToGrid w:val="0"/>
                    <w:jc w:val="center"/>
                    <w:textAlignment w:val="auto"/>
                    <w:rPr>
                      <w:rFonts w:hint="default" w:eastAsia="宋体"/>
                      <w:b w:val="0"/>
                      <w:bCs w:val="0"/>
                      <w:color w:val="auto"/>
                      <w:vertAlign w:val="baseline"/>
                      <w:lang w:val="en-US" w:eastAsia="zh-CN"/>
                    </w:rPr>
                  </w:pPr>
                  <w:r>
                    <w:rPr>
                      <w:rFonts w:hint="eastAsia"/>
                      <w:b w:val="0"/>
                      <w:bCs w:val="0"/>
                      <w:color w:val="auto"/>
                      <w:vertAlign w:val="baseline"/>
                      <w:lang w:val="en-US" w:eastAsia="zh-CN"/>
                    </w:rPr>
                    <w:t>28</w:t>
                  </w:r>
                </w:p>
              </w:tc>
              <w:tc>
                <w:tcPr>
                  <w:tcW w:w="1515" w:type="dxa"/>
                  <w:tcBorders>
                    <w:tl2br w:val="nil"/>
                    <w:tr2bl w:val="nil"/>
                  </w:tcBorders>
                  <w:shd w:val="clear" w:color="auto" w:fill="auto"/>
                  <w:vAlign w:val="center"/>
                </w:tcPr>
                <w:p w14:paraId="535F0C22">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eastAsia="zh-CN"/>
                    </w:rPr>
                    <w:t>自动贴花机</w:t>
                  </w:r>
                </w:p>
              </w:tc>
              <w:tc>
                <w:tcPr>
                  <w:tcW w:w="1110" w:type="dxa"/>
                  <w:tcBorders>
                    <w:tl2br w:val="nil"/>
                    <w:tr2bl w:val="nil"/>
                  </w:tcBorders>
                  <w:shd w:val="clear" w:color="auto" w:fill="auto"/>
                  <w:vAlign w:val="center"/>
                </w:tcPr>
                <w:p w14:paraId="577F8672">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1115" w:type="dxa"/>
                  <w:tcBorders>
                    <w:tl2br w:val="nil"/>
                    <w:tr2bl w:val="nil"/>
                  </w:tcBorders>
                  <w:shd w:val="clear" w:color="auto" w:fill="auto"/>
                  <w:vAlign w:val="center"/>
                </w:tcPr>
                <w:p w14:paraId="7C30E58A">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8</w:t>
                  </w:r>
                </w:p>
              </w:tc>
              <w:tc>
                <w:tcPr>
                  <w:tcW w:w="1115" w:type="dxa"/>
                  <w:tcBorders>
                    <w:tl2br w:val="nil"/>
                    <w:tr2bl w:val="nil"/>
                  </w:tcBorders>
                  <w:vAlign w:val="center"/>
                </w:tcPr>
                <w:p w14:paraId="376B7D5C">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b w:val="0"/>
                      <w:bCs w:val="0"/>
                      <w:color w:val="auto"/>
                      <w:vertAlign w:val="baseline"/>
                      <w:lang w:val="en-US" w:eastAsia="zh-CN"/>
                    </w:rPr>
                  </w:pPr>
                  <w:r>
                    <w:rPr>
                      <w:rFonts w:hint="eastAsia"/>
                      <w:b w:val="0"/>
                      <w:bCs w:val="0"/>
                      <w:color w:val="auto"/>
                      <w:vertAlign w:val="baseline"/>
                      <w:lang w:val="en-US" w:eastAsia="zh-CN"/>
                    </w:rPr>
                    <w:t>0</w:t>
                  </w:r>
                </w:p>
              </w:tc>
              <w:tc>
                <w:tcPr>
                  <w:tcW w:w="1115" w:type="dxa"/>
                  <w:tcBorders>
                    <w:tl2br w:val="nil"/>
                    <w:tr2bl w:val="nil"/>
                  </w:tcBorders>
                  <w:shd w:val="clear" w:color="auto" w:fill="auto"/>
                  <w:vAlign w:val="center"/>
                </w:tcPr>
                <w:p w14:paraId="0B621A3B">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8</w:t>
                  </w:r>
                </w:p>
              </w:tc>
              <w:tc>
                <w:tcPr>
                  <w:tcW w:w="690" w:type="dxa"/>
                  <w:tcBorders>
                    <w:tl2br w:val="nil"/>
                    <w:tr2bl w:val="nil"/>
                  </w:tcBorders>
                  <w:shd w:val="clear" w:color="auto" w:fill="auto"/>
                  <w:vAlign w:val="center"/>
                </w:tcPr>
                <w:p w14:paraId="70B9B8F2">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auto"/>
                      <w:kern w:val="2"/>
                      <w:sz w:val="21"/>
                      <w:szCs w:val="24"/>
                      <w:vertAlign w:val="baseline"/>
                      <w:lang w:val="en-US" w:eastAsia="zh-CN" w:bidi="ar-SA"/>
                    </w:rPr>
                  </w:pPr>
                  <w:r>
                    <w:rPr>
                      <w:rFonts w:hint="eastAsia"/>
                      <w:b w:val="0"/>
                      <w:bCs w:val="0"/>
                      <w:color w:val="auto"/>
                      <w:vertAlign w:val="baseline"/>
                      <w:lang w:val="en-US" w:eastAsia="zh-CN"/>
                    </w:rPr>
                    <w:t>0</w:t>
                  </w:r>
                </w:p>
              </w:tc>
              <w:tc>
                <w:tcPr>
                  <w:tcW w:w="681" w:type="dxa"/>
                  <w:tcBorders>
                    <w:tl2br w:val="nil"/>
                    <w:tr2bl w:val="nil"/>
                  </w:tcBorders>
                  <w:shd w:val="clear" w:color="auto" w:fill="auto"/>
                  <w:vAlign w:val="center"/>
                </w:tcPr>
                <w:p w14:paraId="69C544D7">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台</w:t>
                  </w:r>
                </w:p>
              </w:tc>
            </w:tr>
          </w:tbl>
          <w:p w14:paraId="3BF8E5C4">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textAlignment w:val="auto"/>
              <w:rPr>
                <w:rFonts w:hint="default" w:eastAsia="宋体"/>
                <w:b/>
                <w:bCs/>
                <w:color w:val="auto"/>
                <w:lang w:val="en-US" w:eastAsia="zh-CN"/>
              </w:rPr>
            </w:pPr>
            <w:r>
              <w:rPr>
                <w:rFonts w:hint="default" w:ascii="Times New Roman" w:hAnsi="Times New Roman" w:eastAsia="宋体" w:cs="Times New Roman"/>
                <w:b/>
                <w:bCs/>
                <w:color w:val="auto"/>
                <w:kern w:val="2"/>
                <w:sz w:val="21"/>
                <w:szCs w:val="21"/>
                <w:lang w:val="en-US" w:eastAsia="zh-CN" w:bidi="ar-SA"/>
              </w:rPr>
              <w:t>4、</w:t>
            </w:r>
            <w:r>
              <w:rPr>
                <w:rFonts w:hint="eastAsia"/>
                <w:b/>
                <w:bCs/>
                <w:color w:val="auto"/>
              </w:rPr>
              <w:t>主要原辅材料的种类</w:t>
            </w:r>
            <w:r>
              <w:rPr>
                <w:rFonts w:hint="eastAsia"/>
                <w:b/>
                <w:bCs/>
                <w:color w:val="auto"/>
                <w:lang w:val="en-US" w:eastAsia="zh-CN"/>
              </w:rPr>
              <w:t>及用量</w:t>
            </w:r>
          </w:p>
          <w:p w14:paraId="56936C5D">
            <w:pPr>
              <w:adjustRightInd w:val="0"/>
              <w:snapToGrid w:val="0"/>
              <w:spacing w:before="120" w:beforeLines="50"/>
              <w:jc w:val="center"/>
              <w:rPr>
                <w:rFonts w:hint="eastAsia" w:ascii="宋体" w:hAnsi="宋体" w:cs="宋体"/>
                <w:b/>
                <w:color w:val="auto"/>
                <w:szCs w:val="21"/>
              </w:rPr>
            </w:pPr>
            <w:r>
              <w:rPr>
                <w:rFonts w:hint="eastAsia" w:ascii="宋体" w:hAnsi="宋体" w:cs="宋体"/>
                <w:b/>
                <w:color w:val="auto"/>
                <w:szCs w:val="21"/>
              </w:rPr>
              <w:t>表</w:t>
            </w:r>
            <w:r>
              <w:rPr>
                <w:b/>
                <w:color w:val="auto"/>
                <w:szCs w:val="21"/>
              </w:rPr>
              <w:t>2</w:t>
            </w:r>
            <w:r>
              <w:rPr>
                <w:rFonts w:hint="eastAsia" w:ascii="宋体" w:hAnsi="宋体" w:cs="宋体"/>
                <w:b/>
                <w:color w:val="auto"/>
                <w:szCs w:val="21"/>
              </w:rPr>
              <w:t>-</w:t>
            </w:r>
            <w:r>
              <w:rPr>
                <w:rFonts w:hint="eastAsia"/>
                <w:b/>
                <w:color w:val="auto"/>
                <w:szCs w:val="21"/>
                <w:lang w:val="en-US" w:eastAsia="zh-CN"/>
              </w:rPr>
              <w:t>6</w:t>
            </w:r>
            <w:r>
              <w:rPr>
                <w:rFonts w:hint="eastAsia" w:ascii="宋体" w:hAnsi="宋体" w:cs="宋体"/>
                <w:b/>
                <w:color w:val="auto"/>
                <w:szCs w:val="21"/>
              </w:rPr>
              <w:t xml:space="preserve"> 主要原辅材料及能源消耗量一览表</w:t>
            </w:r>
          </w:p>
          <w:tbl>
            <w:tblPr>
              <w:tblStyle w:val="30"/>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78"/>
              <w:gridCol w:w="1168"/>
              <w:gridCol w:w="1980"/>
              <w:gridCol w:w="1005"/>
              <w:gridCol w:w="945"/>
              <w:gridCol w:w="1063"/>
              <w:gridCol w:w="599"/>
              <w:gridCol w:w="705"/>
            </w:tblGrid>
            <w:tr w14:paraId="50EA95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8" w:type="dxa"/>
                  <w:vAlign w:val="center"/>
                </w:tcPr>
                <w:p w14:paraId="70B115A8">
                  <w:pPr>
                    <w:spacing w:line="280" w:lineRule="exact"/>
                    <w:jc w:val="center"/>
                    <w:rPr>
                      <w:b/>
                      <w:bCs/>
                      <w:color w:val="auto"/>
                    </w:rPr>
                  </w:pPr>
                  <w:r>
                    <w:rPr>
                      <w:b/>
                      <w:bCs/>
                      <w:color w:val="auto"/>
                    </w:rPr>
                    <w:t>序号</w:t>
                  </w:r>
                </w:p>
              </w:tc>
              <w:tc>
                <w:tcPr>
                  <w:tcW w:w="1168" w:type="dxa"/>
                  <w:vAlign w:val="center"/>
                </w:tcPr>
                <w:p w14:paraId="5498C11F">
                  <w:pPr>
                    <w:spacing w:line="280" w:lineRule="exact"/>
                    <w:jc w:val="center"/>
                    <w:rPr>
                      <w:b/>
                      <w:bCs/>
                      <w:color w:val="auto"/>
                    </w:rPr>
                  </w:pPr>
                  <w:r>
                    <w:rPr>
                      <w:b/>
                      <w:bCs/>
                      <w:color w:val="auto"/>
                    </w:rPr>
                    <w:t>原料名称</w:t>
                  </w:r>
                </w:p>
              </w:tc>
              <w:tc>
                <w:tcPr>
                  <w:tcW w:w="1980" w:type="dxa"/>
                  <w:vAlign w:val="center"/>
                </w:tcPr>
                <w:p w14:paraId="03359C1B">
                  <w:pPr>
                    <w:spacing w:line="280" w:lineRule="exact"/>
                    <w:jc w:val="center"/>
                    <w:rPr>
                      <w:b/>
                      <w:bCs/>
                      <w:color w:val="auto"/>
                    </w:rPr>
                  </w:pPr>
                  <w:r>
                    <w:rPr>
                      <w:b/>
                      <w:bCs/>
                      <w:color w:val="auto"/>
                    </w:rPr>
                    <w:t>规格/组分</w:t>
                  </w:r>
                </w:p>
              </w:tc>
              <w:tc>
                <w:tcPr>
                  <w:tcW w:w="1005" w:type="dxa"/>
                  <w:vAlign w:val="center"/>
                </w:tcPr>
                <w:p w14:paraId="3AB2631E">
                  <w:pPr>
                    <w:spacing w:line="280" w:lineRule="exact"/>
                    <w:jc w:val="center"/>
                    <w:rPr>
                      <w:b/>
                      <w:bCs/>
                      <w:color w:val="auto"/>
                    </w:rPr>
                  </w:pPr>
                  <w:r>
                    <w:rPr>
                      <w:b/>
                      <w:bCs/>
                      <w:color w:val="auto"/>
                    </w:rPr>
                    <w:t>现有项目用量t/a</w:t>
                  </w:r>
                </w:p>
              </w:tc>
              <w:tc>
                <w:tcPr>
                  <w:tcW w:w="945" w:type="dxa"/>
                  <w:vAlign w:val="center"/>
                </w:tcPr>
                <w:p w14:paraId="68914F4A">
                  <w:pPr>
                    <w:spacing w:line="280" w:lineRule="exact"/>
                    <w:jc w:val="center"/>
                    <w:rPr>
                      <w:b/>
                      <w:bCs/>
                      <w:color w:val="auto"/>
                    </w:rPr>
                  </w:pPr>
                  <w:r>
                    <w:rPr>
                      <w:rFonts w:hint="eastAsia"/>
                      <w:b/>
                      <w:bCs/>
                      <w:color w:val="auto"/>
                      <w:lang w:val="en-US" w:eastAsia="zh-CN"/>
                    </w:rPr>
                    <w:t>扩建</w:t>
                  </w:r>
                  <w:r>
                    <w:rPr>
                      <w:b/>
                      <w:bCs/>
                      <w:color w:val="auto"/>
                    </w:rPr>
                    <w:t>项目</w:t>
                  </w:r>
                  <w:r>
                    <w:rPr>
                      <w:rFonts w:hint="eastAsia"/>
                      <w:b/>
                      <w:bCs/>
                      <w:color w:val="auto"/>
                      <w:lang w:val="en-US" w:eastAsia="zh-CN"/>
                    </w:rPr>
                    <w:t>用</w:t>
                  </w:r>
                  <w:r>
                    <w:rPr>
                      <w:b/>
                      <w:bCs/>
                      <w:color w:val="auto"/>
                    </w:rPr>
                    <w:t>量t/a</w:t>
                  </w:r>
                </w:p>
              </w:tc>
              <w:tc>
                <w:tcPr>
                  <w:tcW w:w="1063" w:type="dxa"/>
                  <w:vAlign w:val="center"/>
                </w:tcPr>
                <w:p w14:paraId="299BAF1D">
                  <w:pPr>
                    <w:spacing w:line="280" w:lineRule="exact"/>
                    <w:jc w:val="center"/>
                    <w:rPr>
                      <w:b/>
                      <w:bCs/>
                      <w:color w:val="auto"/>
                    </w:rPr>
                  </w:pPr>
                  <w:r>
                    <w:rPr>
                      <w:rFonts w:hint="eastAsia"/>
                      <w:b/>
                      <w:bCs/>
                      <w:color w:val="auto"/>
                      <w:lang w:val="en-US" w:eastAsia="zh-CN"/>
                    </w:rPr>
                    <w:t>扩建</w:t>
                  </w:r>
                  <w:r>
                    <w:rPr>
                      <w:b/>
                      <w:bCs/>
                      <w:color w:val="auto"/>
                    </w:rPr>
                    <w:t>后全厂</w:t>
                  </w:r>
                  <w:r>
                    <w:rPr>
                      <w:rFonts w:hint="eastAsia"/>
                      <w:b/>
                      <w:bCs/>
                      <w:color w:val="auto"/>
                      <w:lang w:val="en-US" w:eastAsia="zh-CN"/>
                    </w:rPr>
                    <w:t>用</w:t>
                  </w:r>
                  <w:r>
                    <w:rPr>
                      <w:b/>
                      <w:bCs/>
                      <w:color w:val="auto"/>
                    </w:rPr>
                    <w:t>量t/a</w:t>
                  </w:r>
                </w:p>
              </w:tc>
              <w:tc>
                <w:tcPr>
                  <w:tcW w:w="599" w:type="dxa"/>
                  <w:vAlign w:val="center"/>
                </w:tcPr>
                <w:p w14:paraId="5499AE38">
                  <w:pPr>
                    <w:spacing w:line="280" w:lineRule="exact"/>
                    <w:jc w:val="center"/>
                    <w:rPr>
                      <w:b/>
                      <w:bCs/>
                      <w:color w:val="auto"/>
                    </w:rPr>
                  </w:pPr>
                  <w:r>
                    <w:rPr>
                      <w:b/>
                      <w:bCs/>
                      <w:color w:val="auto"/>
                    </w:rPr>
                    <w:t>变化量t/a</w:t>
                  </w:r>
                </w:p>
              </w:tc>
              <w:tc>
                <w:tcPr>
                  <w:tcW w:w="705" w:type="dxa"/>
                  <w:vAlign w:val="center"/>
                </w:tcPr>
                <w:p w14:paraId="26BD8D83">
                  <w:pPr>
                    <w:spacing w:line="280" w:lineRule="exact"/>
                    <w:jc w:val="center"/>
                    <w:rPr>
                      <w:b/>
                      <w:bCs/>
                      <w:color w:val="auto"/>
                    </w:rPr>
                  </w:pPr>
                  <w:r>
                    <w:rPr>
                      <w:rFonts w:hint="eastAsia"/>
                      <w:b/>
                      <w:bCs/>
                      <w:color w:val="auto"/>
                    </w:rPr>
                    <w:t>最大暂存量</w:t>
                  </w:r>
                  <w:r>
                    <w:rPr>
                      <w:b/>
                      <w:bCs/>
                      <w:color w:val="auto"/>
                    </w:rPr>
                    <w:t>t</w:t>
                  </w:r>
                </w:p>
              </w:tc>
            </w:tr>
            <w:tr w14:paraId="34BA56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8" w:type="dxa"/>
                  <w:vAlign w:val="center"/>
                </w:tcPr>
                <w:p w14:paraId="526447D2">
                  <w:pPr>
                    <w:spacing w:line="280" w:lineRule="exact"/>
                    <w:jc w:val="center"/>
                    <w:rPr>
                      <w:color w:val="auto"/>
                    </w:rPr>
                  </w:pPr>
                  <w:r>
                    <w:rPr>
                      <w:color w:val="auto"/>
                    </w:rPr>
                    <w:t>1</w:t>
                  </w:r>
                </w:p>
              </w:tc>
              <w:tc>
                <w:tcPr>
                  <w:tcW w:w="1168" w:type="dxa"/>
                  <w:vAlign w:val="center"/>
                </w:tcPr>
                <w:p w14:paraId="6C241D0D">
                  <w:pPr>
                    <w:jc w:val="center"/>
                    <w:rPr>
                      <w:color w:val="auto"/>
                    </w:rPr>
                  </w:pPr>
                  <w:r>
                    <w:rPr>
                      <w:color w:val="auto"/>
                      <w:lang w:val="zh-CN"/>
                    </w:rPr>
                    <w:t>石英砂</w:t>
                  </w:r>
                </w:p>
              </w:tc>
              <w:tc>
                <w:tcPr>
                  <w:tcW w:w="1980" w:type="dxa"/>
                  <w:vAlign w:val="center"/>
                </w:tcPr>
                <w:p w14:paraId="407B6CCA">
                  <w:pPr>
                    <w:widowControl/>
                    <w:adjustRightInd w:val="0"/>
                    <w:snapToGrid w:val="0"/>
                    <w:jc w:val="center"/>
                    <w:rPr>
                      <w:color w:val="auto"/>
                    </w:rPr>
                  </w:pPr>
                  <w:r>
                    <w:rPr>
                      <w:color w:val="auto"/>
                    </w:rPr>
                    <w:t>二氧化硅</w:t>
                  </w:r>
                </w:p>
              </w:tc>
              <w:tc>
                <w:tcPr>
                  <w:tcW w:w="1005" w:type="dxa"/>
                  <w:vAlign w:val="center"/>
                </w:tcPr>
                <w:p w14:paraId="5A095EF8">
                  <w:pPr>
                    <w:jc w:val="center"/>
                    <w:rPr>
                      <w:color w:val="auto"/>
                    </w:rPr>
                  </w:pPr>
                  <w:r>
                    <w:rPr>
                      <w:color w:val="auto"/>
                    </w:rPr>
                    <w:t>43500</w:t>
                  </w:r>
                </w:p>
              </w:tc>
              <w:tc>
                <w:tcPr>
                  <w:tcW w:w="945" w:type="dxa"/>
                  <w:vAlign w:val="center"/>
                </w:tcPr>
                <w:p w14:paraId="348D24EA">
                  <w:pPr>
                    <w:widowControl/>
                    <w:jc w:val="center"/>
                    <w:textAlignment w:val="center"/>
                    <w:rPr>
                      <w:color w:val="auto"/>
                    </w:rPr>
                  </w:pPr>
                  <w:r>
                    <w:rPr>
                      <w:color w:val="auto"/>
                    </w:rPr>
                    <w:t>0</w:t>
                  </w:r>
                </w:p>
              </w:tc>
              <w:tc>
                <w:tcPr>
                  <w:tcW w:w="1063" w:type="dxa"/>
                  <w:vAlign w:val="center"/>
                </w:tcPr>
                <w:p w14:paraId="25CDF02A">
                  <w:pPr>
                    <w:jc w:val="center"/>
                    <w:rPr>
                      <w:color w:val="auto"/>
                    </w:rPr>
                  </w:pPr>
                  <w:r>
                    <w:rPr>
                      <w:color w:val="auto"/>
                    </w:rPr>
                    <w:t>43500</w:t>
                  </w:r>
                </w:p>
              </w:tc>
              <w:tc>
                <w:tcPr>
                  <w:tcW w:w="599" w:type="dxa"/>
                  <w:vAlign w:val="center"/>
                </w:tcPr>
                <w:p w14:paraId="688335D9">
                  <w:pPr>
                    <w:jc w:val="center"/>
                    <w:rPr>
                      <w:color w:val="auto"/>
                    </w:rPr>
                  </w:pPr>
                  <w:r>
                    <w:rPr>
                      <w:rFonts w:hint="eastAsia"/>
                      <w:color w:val="auto"/>
                    </w:rPr>
                    <w:t>0</w:t>
                  </w:r>
                </w:p>
              </w:tc>
              <w:tc>
                <w:tcPr>
                  <w:tcW w:w="705" w:type="dxa"/>
                  <w:vAlign w:val="center"/>
                </w:tcPr>
                <w:p w14:paraId="0CB5C7B0">
                  <w:pPr>
                    <w:jc w:val="center"/>
                    <w:rPr>
                      <w:color w:val="auto"/>
                    </w:rPr>
                  </w:pPr>
                  <w:r>
                    <w:rPr>
                      <w:rFonts w:hint="eastAsia"/>
                      <w:color w:val="auto"/>
                    </w:rPr>
                    <w:t>3000</w:t>
                  </w:r>
                </w:p>
              </w:tc>
            </w:tr>
            <w:tr w14:paraId="771A15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8" w:type="dxa"/>
                  <w:vAlign w:val="center"/>
                </w:tcPr>
                <w:p w14:paraId="6B85C888">
                  <w:pPr>
                    <w:spacing w:line="280" w:lineRule="exact"/>
                    <w:jc w:val="center"/>
                    <w:rPr>
                      <w:color w:val="auto"/>
                    </w:rPr>
                  </w:pPr>
                  <w:r>
                    <w:rPr>
                      <w:color w:val="auto"/>
                    </w:rPr>
                    <w:t>2</w:t>
                  </w:r>
                </w:p>
              </w:tc>
              <w:tc>
                <w:tcPr>
                  <w:tcW w:w="1168" w:type="dxa"/>
                  <w:vAlign w:val="center"/>
                </w:tcPr>
                <w:p w14:paraId="066B063E">
                  <w:pPr>
                    <w:jc w:val="center"/>
                    <w:rPr>
                      <w:color w:val="auto"/>
                    </w:rPr>
                  </w:pPr>
                  <w:r>
                    <w:rPr>
                      <w:color w:val="auto"/>
                      <w:lang w:val="zh-CN"/>
                    </w:rPr>
                    <w:t>纯碱</w:t>
                  </w:r>
                </w:p>
              </w:tc>
              <w:tc>
                <w:tcPr>
                  <w:tcW w:w="1980" w:type="dxa"/>
                  <w:vAlign w:val="center"/>
                </w:tcPr>
                <w:p w14:paraId="52DB1D50">
                  <w:pPr>
                    <w:widowControl/>
                    <w:adjustRightInd w:val="0"/>
                    <w:snapToGrid w:val="0"/>
                    <w:jc w:val="center"/>
                    <w:rPr>
                      <w:color w:val="auto"/>
                    </w:rPr>
                  </w:pPr>
                  <w:r>
                    <w:rPr>
                      <w:color w:val="auto"/>
                    </w:rPr>
                    <w:t>碳酸钠</w:t>
                  </w:r>
                </w:p>
              </w:tc>
              <w:tc>
                <w:tcPr>
                  <w:tcW w:w="1005" w:type="dxa"/>
                  <w:vAlign w:val="center"/>
                </w:tcPr>
                <w:p w14:paraId="3B006705">
                  <w:pPr>
                    <w:jc w:val="center"/>
                    <w:rPr>
                      <w:color w:val="auto"/>
                    </w:rPr>
                  </w:pPr>
                  <w:r>
                    <w:rPr>
                      <w:color w:val="auto"/>
                    </w:rPr>
                    <w:t>13800</w:t>
                  </w:r>
                </w:p>
              </w:tc>
              <w:tc>
                <w:tcPr>
                  <w:tcW w:w="945" w:type="dxa"/>
                  <w:vAlign w:val="center"/>
                </w:tcPr>
                <w:p w14:paraId="197D064E">
                  <w:pPr>
                    <w:widowControl/>
                    <w:jc w:val="center"/>
                    <w:textAlignment w:val="center"/>
                    <w:rPr>
                      <w:color w:val="auto"/>
                    </w:rPr>
                  </w:pPr>
                  <w:r>
                    <w:rPr>
                      <w:color w:val="auto"/>
                    </w:rPr>
                    <w:t>0</w:t>
                  </w:r>
                </w:p>
              </w:tc>
              <w:tc>
                <w:tcPr>
                  <w:tcW w:w="1063" w:type="dxa"/>
                  <w:vAlign w:val="center"/>
                </w:tcPr>
                <w:p w14:paraId="6C67AFDB">
                  <w:pPr>
                    <w:jc w:val="center"/>
                    <w:rPr>
                      <w:color w:val="auto"/>
                    </w:rPr>
                  </w:pPr>
                  <w:r>
                    <w:rPr>
                      <w:color w:val="auto"/>
                    </w:rPr>
                    <w:t>13800</w:t>
                  </w:r>
                </w:p>
              </w:tc>
              <w:tc>
                <w:tcPr>
                  <w:tcW w:w="599" w:type="dxa"/>
                  <w:vAlign w:val="center"/>
                </w:tcPr>
                <w:p w14:paraId="60D2565F">
                  <w:pPr>
                    <w:jc w:val="center"/>
                    <w:rPr>
                      <w:color w:val="auto"/>
                    </w:rPr>
                  </w:pPr>
                  <w:r>
                    <w:rPr>
                      <w:rFonts w:hint="eastAsia"/>
                      <w:color w:val="auto"/>
                    </w:rPr>
                    <w:t>0</w:t>
                  </w:r>
                </w:p>
              </w:tc>
              <w:tc>
                <w:tcPr>
                  <w:tcW w:w="705" w:type="dxa"/>
                  <w:vAlign w:val="center"/>
                </w:tcPr>
                <w:p w14:paraId="0048776C">
                  <w:pPr>
                    <w:jc w:val="center"/>
                    <w:rPr>
                      <w:color w:val="auto"/>
                    </w:rPr>
                  </w:pPr>
                  <w:r>
                    <w:rPr>
                      <w:rFonts w:hint="eastAsia"/>
                      <w:color w:val="auto"/>
                    </w:rPr>
                    <w:t>1000</w:t>
                  </w:r>
                </w:p>
              </w:tc>
            </w:tr>
            <w:tr w14:paraId="56D12C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8" w:type="dxa"/>
                  <w:vAlign w:val="center"/>
                </w:tcPr>
                <w:p w14:paraId="3EC4CE5F">
                  <w:pPr>
                    <w:spacing w:line="280" w:lineRule="exact"/>
                    <w:jc w:val="center"/>
                    <w:rPr>
                      <w:color w:val="auto"/>
                    </w:rPr>
                  </w:pPr>
                  <w:r>
                    <w:rPr>
                      <w:color w:val="auto"/>
                    </w:rPr>
                    <w:t>3</w:t>
                  </w:r>
                </w:p>
              </w:tc>
              <w:tc>
                <w:tcPr>
                  <w:tcW w:w="1168" w:type="dxa"/>
                  <w:vAlign w:val="center"/>
                </w:tcPr>
                <w:p w14:paraId="1F2DDEB7">
                  <w:pPr>
                    <w:jc w:val="center"/>
                    <w:rPr>
                      <w:color w:val="auto"/>
                    </w:rPr>
                  </w:pPr>
                  <w:r>
                    <w:rPr>
                      <w:color w:val="auto"/>
                    </w:rPr>
                    <w:t>方解石</w:t>
                  </w:r>
                </w:p>
              </w:tc>
              <w:tc>
                <w:tcPr>
                  <w:tcW w:w="1980" w:type="dxa"/>
                  <w:vAlign w:val="center"/>
                </w:tcPr>
                <w:p w14:paraId="3DC5E1E8">
                  <w:pPr>
                    <w:widowControl/>
                    <w:adjustRightInd w:val="0"/>
                    <w:snapToGrid w:val="0"/>
                    <w:jc w:val="center"/>
                    <w:rPr>
                      <w:color w:val="auto"/>
                    </w:rPr>
                  </w:pPr>
                  <w:r>
                    <w:rPr>
                      <w:color w:val="auto"/>
                    </w:rPr>
                    <w:t>碳酸钙</w:t>
                  </w:r>
                </w:p>
              </w:tc>
              <w:tc>
                <w:tcPr>
                  <w:tcW w:w="1005" w:type="dxa"/>
                  <w:vAlign w:val="center"/>
                </w:tcPr>
                <w:p w14:paraId="6B78496F">
                  <w:pPr>
                    <w:jc w:val="center"/>
                    <w:rPr>
                      <w:color w:val="auto"/>
                    </w:rPr>
                  </w:pPr>
                  <w:r>
                    <w:rPr>
                      <w:color w:val="auto"/>
                    </w:rPr>
                    <w:t>4620</w:t>
                  </w:r>
                </w:p>
              </w:tc>
              <w:tc>
                <w:tcPr>
                  <w:tcW w:w="945" w:type="dxa"/>
                  <w:vAlign w:val="center"/>
                </w:tcPr>
                <w:p w14:paraId="00A62475">
                  <w:pPr>
                    <w:widowControl/>
                    <w:jc w:val="center"/>
                    <w:textAlignment w:val="center"/>
                    <w:rPr>
                      <w:color w:val="auto"/>
                    </w:rPr>
                  </w:pPr>
                  <w:r>
                    <w:rPr>
                      <w:color w:val="auto"/>
                    </w:rPr>
                    <w:t>0</w:t>
                  </w:r>
                </w:p>
              </w:tc>
              <w:tc>
                <w:tcPr>
                  <w:tcW w:w="1063" w:type="dxa"/>
                  <w:vAlign w:val="center"/>
                </w:tcPr>
                <w:p w14:paraId="00D15D2C">
                  <w:pPr>
                    <w:jc w:val="center"/>
                    <w:rPr>
                      <w:color w:val="auto"/>
                    </w:rPr>
                  </w:pPr>
                  <w:r>
                    <w:rPr>
                      <w:color w:val="auto"/>
                    </w:rPr>
                    <w:t>4620</w:t>
                  </w:r>
                </w:p>
              </w:tc>
              <w:tc>
                <w:tcPr>
                  <w:tcW w:w="599" w:type="dxa"/>
                  <w:vAlign w:val="center"/>
                </w:tcPr>
                <w:p w14:paraId="7AF00B18">
                  <w:pPr>
                    <w:jc w:val="center"/>
                    <w:rPr>
                      <w:color w:val="auto"/>
                    </w:rPr>
                  </w:pPr>
                  <w:r>
                    <w:rPr>
                      <w:rFonts w:hint="eastAsia"/>
                      <w:color w:val="auto"/>
                    </w:rPr>
                    <w:t>0</w:t>
                  </w:r>
                </w:p>
              </w:tc>
              <w:tc>
                <w:tcPr>
                  <w:tcW w:w="705" w:type="dxa"/>
                  <w:vAlign w:val="center"/>
                </w:tcPr>
                <w:p w14:paraId="65E68034">
                  <w:pPr>
                    <w:jc w:val="center"/>
                    <w:rPr>
                      <w:color w:val="auto"/>
                    </w:rPr>
                  </w:pPr>
                  <w:r>
                    <w:rPr>
                      <w:rFonts w:hint="eastAsia"/>
                      <w:color w:val="auto"/>
                    </w:rPr>
                    <w:t>400</w:t>
                  </w:r>
                </w:p>
              </w:tc>
            </w:tr>
            <w:tr w14:paraId="4CE8C4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8" w:type="dxa"/>
                  <w:vAlign w:val="center"/>
                </w:tcPr>
                <w:p w14:paraId="31A01E6A">
                  <w:pPr>
                    <w:spacing w:line="280" w:lineRule="exact"/>
                    <w:jc w:val="center"/>
                    <w:rPr>
                      <w:color w:val="auto"/>
                    </w:rPr>
                  </w:pPr>
                  <w:r>
                    <w:rPr>
                      <w:color w:val="auto"/>
                    </w:rPr>
                    <w:t>4</w:t>
                  </w:r>
                </w:p>
              </w:tc>
              <w:tc>
                <w:tcPr>
                  <w:tcW w:w="1168" w:type="dxa"/>
                  <w:vAlign w:val="center"/>
                </w:tcPr>
                <w:p w14:paraId="66BBA38B">
                  <w:pPr>
                    <w:jc w:val="center"/>
                    <w:rPr>
                      <w:color w:val="auto"/>
                    </w:rPr>
                  </w:pPr>
                  <w:r>
                    <w:rPr>
                      <w:color w:val="auto"/>
                      <w:lang w:val="zh-CN"/>
                    </w:rPr>
                    <w:t>白云石</w:t>
                  </w:r>
                </w:p>
              </w:tc>
              <w:tc>
                <w:tcPr>
                  <w:tcW w:w="1980" w:type="dxa"/>
                  <w:vAlign w:val="center"/>
                </w:tcPr>
                <w:p w14:paraId="477DFFEF">
                  <w:pPr>
                    <w:widowControl/>
                    <w:adjustRightInd w:val="0"/>
                    <w:snapToGrid w:val="0"/>
                    <w:jc w:val="center"/>
                    <w:rPr>
                      <w:color w:val="auto"/>
                    </w:rPr>
                  </w:pPr>
                  <w:r>
                    <w:rPr>
                      <w:color w:val="auto"/>
                      <w:lang w:val="zh-CN"/>
                    </w:rPr>
                    <w:t>CaMg(CO</w:t>
                  </w:r>
                  <w:r>
                    <w:rPr>
                      <w:color w:val="auto"/>
                      <w:vertAlign w:val="subscript"/>
                      <w:lang w:val="zh-CN"/>
                    </w:rPr>
                    <w:t>3</w:t>
                  </w:r>
                  <w:r>
                    <w:rPr>
                      <w:color w:val="auto"/>
                      <w:lang w:val="zh-CN"/>
                    </w:rPr>
                    <w:t>)</w:t>
                  </w:r>
                  <w:r>
                    <w:rPr>
                      <w:color w:val="auto"/>
                      <w:vertAlign w:val="subscript"/>
                      <w:lang w:val="zh-CN"/>
                    </w:rPr>
                    <w:t>2</w:t>
                  </w:r>
                </w:p>
              </w:tc>
              <w:tc>
                <w:tcPr>
                  <w:tcW w:w="1005" w:type="dxa"/>
                  <w:vAlign w:val="center"/>
                </w:tcPr>
                <w:p w14:paraId="47D05801">
                  <w:pPr>
                    <w:jc w:val="center"/>
                    <w:rPr>
                      <w:color w:val="auto"/>
                    </w:rPr>
                  </w:pPr>
                  <w:r>
                    <w:rPr>
                      <w:color w:val="auto"/>
                      <w:lang w:val="zh-CN"/>
                    </w:rPr>
                    <w:t>4800</w:t>
                  </w:r>
                </w:p>
              </w:tc>
              <w:tc>
                <w:tcPr>
                  <w:tcW w:w="945" w:type="dxa"/>
                  <w:vAlign w:val="center"/>
                </w:tcPr>
                <w:p w14:paraId="1ECCF296">
                  <w:pPr>
                    <w:widowControl/>
                    <w:jc w:val="center"/>
                    <w:textAlignment w:val="center"/>
                    <w:rPr>
                      <w:color w:val="auto"/>
                    </w:rPr>
                  </w:pPr>
                  <w:r>
                    <w:rPr>
                      <w:color w:val="auto"/>
                    </w:rPr>
                    <w:t>0</w:t>
                  </w:r>
                </w:p>
              </w:tc>
              <w:tc>
                <w:tcPr>
                  <w:tcW w:w="1063" w:type="dxa"/>
                  <w:vAlign w:val="center"/>
                </w:tcPr>
                <w:p w14:paraId="37831E43">
                  <w:pPr>
                    <w:jc w:val="center"/>
                    <w:rPr>
                      <w:color w:val="auto"/>
                    </w:rPr>
                  </w:pPr>
                  <w:r>
                    <w:rPr>
                      <w:color w:val="auto"/>
                      <w:lang w:val="zh-CN"/>
                    </w:rPr>
                    <w:t>4800</w:t>
                  </w:r>
                </w:p>
              </w:tc>
              <w:tc>
                <w:tcPr>
                  <w:tcW w:w="599" w:type="dxa"/>
                  <w:vAlign w:val="center"/>
                </w:tcPr>
                <w:p w14:paraId="3C2CCBE7">
                  <w:pPr>
                    <w:jc w:val="center"/>
                    <w:rPr>
                      <w:color w:val="auto"/>
                    </w:rPr>
                  </w:pPr>
                  <w:r>
                    <w:rPr>
                      <w:rFonts w:hint="eastAsia"/>
                      <w:color w:val="auto"/>
                    </w:rPr>
                    <w:t>0</w:t>
                  </w:r>
                </w:p>
              </w:tc>
              <w:tc>
                <w:tcPr>
                  <w:tcW w:w="705" w:type="dxa"/>
                  <w:vAlign w:val="center"/>
                </w:tcPr>
                <w:p w14:paraId="1D973569">
                  <w:pPr>
                    <w:jc w:val="center"/>
                    <w:rPr>
                      <w:color w:val="auto"/>
                    </w:rPr>
                  </w:pPr>
                  <w:r>
                    <w:rPr>
                      <w:rFonts w:hint="eastAsia"/>
                      <w:color w:val="auto"/>
                    </w:rPr>
                    <w:t>400</w:t>
                  </w:r>
                </w:p>
              </w:tc>
            </w:tr>
            <w:tr w14:paraId="7836A4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8" w:type="dxa"/>
                  <w:vAlign w:val="center"/>
                </w:tcPr>
                <w:p w14:paraId="18C6532A">
                  <w:pPr>
                    <w:spacing w:line="280" w:lineRule="exact"/>
                    <w:jc w:val="center"/>
                    <w:rPr>
                      <w:color w:val="auto"/>
                    </w:rPr>
                  </w:pPr>
                  <w:r>
                    <w:rPr>
                      <w:color w:val="auto"/>
                    </w:rPr>
                    <w:t>5</w:t>
                  </w:r>
                </w:p>
              </w:tc>
              <w:tc>
                <w:tcPr>
                  <w:tcW w:w="1168" w:type="dxa"/>
                  <w:vAlign w:val="center"/>
                </w:tcPr>
                <w:p w14:paraId="0B7139BE">
                  <w:pPr>
                    <w:jc w:val="center"/>
                    <w:rPr>
                      <w:color w:val="auto"/>
                    </w:rPr>
                  </w:pPr>
                  <w:r>
                    <w:rPr>
                      <w:color w:val="auto"/>
                    </w:rPr>
                    <w:t>其它辅料</w:t>
                  </w:r>
                </w:p>
              </w:tc>
              <w:tc>
                <w:tcPr>
                  <w:tcW w:w="1980" w:type="dxa"/>
                  <w:vAlign w:val="center"/>
                </w:tcPr>
                <w:p w14:paraId="11C0EC71">
                  <w:pPr>
                    <w:widowControl/>
                    <w:adjustRightInd w:val="0"/>
                    <w:snapToGrid w:val="0"/>
                    <w:jc w:val="center"/>
                    <w:rPr>
                      <w:color w:val="auto"/>
                    </w:rPr>
                  </w:pPr>
                  <w:r>
                    <w:rPr>
                      <w:color w:val="auto"/>
                    </w:rPr>
                    <w:t>碳酸钙、碳酸镁</w:t>
                  </w:r>
                </w:p>
              </w:tc>
              <w:tc>
                <w:tcPr>
                  <w:tcW w:w="1005" w:type="dxa"/>
                  <w:vAlign w:val="center"/>
                </w:tcPr>
                <w:p w14:paraId="313B6A4B">
                  <w:pPr>
                    <w:jc w:val="center"/>
                    <w:rPr>
                      <w:color w:val="auto"/>
                    </w:rPr>
                  </w:pPr>
                  <w:r>
                    <w:rPr>
                      <w:color w:val="auto"/>
                    </w:rPr>
                    <w:t>6600</w:t>
                  </w:r>
                </w:p>
              </w:tc>
              <w:tc>
                <w:tcPr>
                  <w:tcW w:w="945" w:type="dxa"/>
                  <w:vAlign w:val="center"/>
                </w:tcPr>
                <w:p w14:paraId="4F697E69">
                  <w:pPr>
                    <w:widowControl/>
                    <w:jc w:val="center"/>
                    <w:textAlignment w:val="center"/>
                    <w:rPr>
                      <w:color w:val="auto"/>
                    </w:rPr>
                  </w:pPr>
                  <w:r>
                    <w:rPr>
                      <w:color w:val="auto"/>
                    </w:rPr>
                    <w:t>0</w:t>
                  </w:r>
                </w:p>
              </w:tc>
              <w:tc>
                <w:tcPr>
                  <w:tcW w:w="1063" w:type="dxa"/>
                  <w:vAlign w:val="center"/>
                </w:tcPr>
                <w:p w14:paraId="1D2360B5">
                  <w:pPr>
                    <w:jc w:val="center"/>
                    <w:rPr>
                      <w:color w:val="auto"/>
                    </w:rPr>
                  </w:pPr>
                  <w:r>
                    <w:rPr>
                      <w:color w:val="auto"/>
                    </w:rPr>
                    <w:t>6600</w:t>
                  </w:r>
                </w:p>
              </w:tc>
              <w:tc>
                <w:tcPr>
                  <w:tcW w:w="599" w:type="dxa"/>
                  <w:vAlign w:val="center"/>
                </w:tcPr>
                <w:p w14:paraId="7141BC12">
                  <w:pPr>
                    <w:jc w:val="center"/>
                    <w:rPr>
                      <w:color w:val="auto"/>
                    </w:rPr>
                  </w:pPr>
                  <w:r>
                    <w:rPr>
                      <w:rFonts w:hint="eastAsia"/>
                      <w:color w:val="auto"/>
                    </w:rPr>
                    <w:t>0</w:t>
                  </w:r>
                </w:p>
              </w:tc>
              <w:tc>
                <w:tcPr>
                  <w:tcW w:w="705" w:type="dxa"/>
                  <w:vAlign w:val="center"/>
                </w:tcPr>
                <w:p w14:paraId="01D8E0D9">
                  <w:pPr>
                    <w:jc w:val="center"/>
                    <w:rPr>
                      <w:color w:val="auto"/>
                    </w:rPr>
                  </w:pPr>
                  <w:r>
                    <w:rPr>
                      <w:rFonts w:hint="eastAsia"/>
                      <w:color w:val="auto"/>
                    </w:rPr>
                    <w:t>600</w:t>
                  </w:r>
                </w:p>
              </w:tc>
            </w:tr>
            <w:tr w14:paraId="611673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8" w:type="dxa"/>
                  <w:vAlign w:val="center"/>
                </w:tcPr>
                <w:p w14:paraId="6349CBAE">
                  <w:pPr>
                    <w:spacing w:line="280" w:lineRule="exact"/>
                    <w:jc w:val="center"/>
                    <w:rPr>
                      <w:color w:val="auto"/>
                    </w:rPr>
                  </w:pPr>
                  <w:r>
                    <w:rPr>
                      <w:rFonts w:hint="eastAsia"/>
                      <w:color w:val="auto"/>
                    </w:rPr>
                    <w:t>6</w:t>
                  </w:r>
                </w:p>
              </w:tc>
              <w:tc>
                <w:tcPr>
                  <w:tcW w:w="1168" w:type="dxa"/>
                  <w:vAlign w:val="center"/>
                </w:tcPr>
                <w:p w14:paraId="2117BB7D">
                  <w:pPr>
                    <w:jc w:val="center"/>
                    <w:rPr>
                      <w:color w:val="auto"/>
                    </w:rPr>
                  </w:pPr>
                  <w:r>
                    <w:rPr>
                      <w:rFonts w:hint="eastAsia"/>
                      <w:color w:val="auto"/>
                    </w:rPr>
                    <w:t>氨水</w:t>
                  </w:r>
                </w:p>
              </w:tc>
              <w:tc>
                <w:tcPr>
                  <w:tcW w:w="1980" w:type="dxa"/>
                  <w:vAlign w:val="center"/>
                </w:tcPr>
                <w:p w14:paraId="268065C1">
                  <w:pPr>
                    <w:widowControl/>
                    <w:adjustRightInd w:val="0"/>
                    <w:snapToGrid w:val="0"/>
                    <w:jc w:val="center"/>
                    <w:rPr>
                      <w:color w:val="auto"/>
                    </w:rPr>
                  </w:pPr>
                  <w:r>
                    <w:rPr>
                      <w:rFonts w:hint="eastAsia"/>
                      <w:color w:val="auto"/>
                    </w:rPr>
                    <w:t>氨20%、水80%</w:t>
                  </w:r>
                </w:p>
              </w:tc>
              <w:tc>
                <w:tcPr>
                  <w:tcW w:w="1005" w:type="dxa"/>
                  <w:vAlign w:val="center"/>
                </w:tcPr>
                <w:p w14:paraId="26CC718F">
                  <w:pPr>
                    <w:jc w:val="center"/>
                    <w:rPr>
                      <w:color w:val="auto"/>
                    </w:rPr>
                  </w:pPr>
                  <w:r>
                    <w:rPr>
                      <w:rFonts w:hint="eastAsia"/>
                      <w:color w:val="auto"/>
                    </w:rPr>
                    <w:t>2500</w:t>
                  </w:r>
                </w:p>
              </w:tc>
              <w:tc>
                <w:tcPr>
                  <w:tcW w:w="945" w:type="dxa"/>
                  <w:vAlign w:val="center"/>
                </w:tcPr>
                <w:p w14:paraId="0C2D49A1">
                  <w:pPr>
                    <w:widowControl/>
                    <w:jc w:val="center"/>
                    <w:textAlignment w:val="center"/>
                    <w:rPr>
                      <w:color w:val="auto"/>
                    </w:rPr>
                  </w:pPr>
                  <w:r>
                    <w:rPr>
                      <w:rFonts w:hint="eastAsia"/>
                      <w:color w:val="auto"/>
                    </w:rPr>
                    <w:t>0</w:t>
                  </w:r>
                </w:p>
              </w:tc>
              <w:tc>
                <w:tcPr>
                  <w:tcW w:w="1063" w:type="dxa"/>
                  <w:vAlign w:val="center"/>
                </w:tcPr>
                <w:p w14:paraId="406E4E53">
                  <w:pPr>
                    <w:jc w:val="center"/>
                    <w:rPr>
                      <w:color w:val="auto"/>
                    </w:rPr>
                  </w:pPr>
                  <w:r>
                    <w:rPr>
                      <w:rFonts w:hint="eastAsia"/>
                      <w:color w:val="auto"/>
                    </w:rPr>
                    <w:t>2300</w:t>
                  </w:r>
                </w:p>
              </w:tc>
              <w:tc>
                <w:tcPr>
                  <w:tcW w:w="599" w:type="dxa"/>
                  <w:vAlign w:val="center"/>
                </w:tcPr>
                <w:p w14:paraId="62BF9FC4">
                  <w:pPr>
                    <w:jc w:val="center"/>
                    <w:rPr>
                      <w:color w:val="auto"/>
                    </w:rPr>
                  </w:pPr>
                  <w:r>
                    <w:rPr>
                      <w:rFonts w:hint="eastAsia"/>
                      <w:color w:val="auto"/>
                    </w:rPr>
                    <w:t>0</w:t>
                  </w:r>
                </w:p>
              </w:tc>
              <w:tc>
                <w:tcPr>
                  <w:tcW w:w="705" w:type="dxa"/>
                  <w:vAlign w:val="center"/>
                </w:tcPr>
                <w:p w14:paraId="6C610555">
                  <w:pPr>
                    <w:jc w:val="center"/>
                    <w:rPr>
                      <w:rFonts w:hint="default" w:eastAsia="宋体"/>
                      <w:color w:val="auto"/>
                      <w:lang w:val="en-US" w:eastAsia="zh-CN"/>
                    </w:rPr>
                  </w:pPr>
                  <w:r>
                    <w:rPr>
                      <w:rFonts w:hint="eastAsia"/>
                      <w:color w:val="auto"/>
                      <w:lang w:val="en-US" w:eastAsia="zh-CN"/>
                    </w:rPr>
                    <w:t>4.5</w:t>
                  </w:r>
                </w:p>
              </w:tc>
            </w:tr>
            <w:tr w14:paraId="6D56D8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8" w:type="dxa"/>
                  <w:vAlign w:val="center"/>
                </w:tcPr>
                <w:p w14:paraId="355EDB1B">
                  <w:pPr>
                    <w:spacing w:line="280" w:lineRule="exact"/>
                    <w:jc w:val="center"/>
                    <w:rPr>
                      <w:color w:val="auto"/>
                    </w:rPr>
                  </w:pPr>
                  <w:r>
                    <w:rPr>
                      <w:rFonts w:hint="eastAsia"/>
                      <w:color w:val="auto"/>
                    </w:rPr>
                    <w:t>7</w:t>
                  </w:r>
                </w:p>
              </w:tc>
              <w:tc>
                <w:tcPr>
                  <w:tcW w:w="1168" w:type="dxa"/>
                  <w:vAlign w:val="center"/>
                </w:tcPr>
                <w:p w14:paraId="130858B4">
                  <w:pPr>
                    <w:widowControl/>
                    <w:adjustRightInd w:val="0"/>
                    <w:snapToGrid w:val="0"/>
                    <w:jc w:val="center"/>
                    <w:rPr>
                      <w:color w:val="auto"/>
                    </w:rPr>
                  </w:pPr>
                  <w:r>
                    <w:rPr>
                      <w:color w:val="auto"/>
                    </w:rPr>
                    <w:t>花纸</w:t>
                  </w:r>
                </w:p>
              </w:tc>
              <w:tc>
                <w:tcPr>
                  <w:tcW w:w="1980" w:type="dxa"/>
                  <w:vAlign w:val="center"/>
                </w:tcPr>
                <w:p w14:paraId="423FA637">
                  <w:pPr>
                    <w:widowControl/>
                    <w:adjustRightInd w:val="0"/>
                    <w:snapToGrid w:val="0"/>
                    <w:jc w:val="center"/>
                    <w:rPr>
                      <w:color w:val="auto"/>
                    </w:rPr>
                  </w:pPr>
                  <w:r>
                    <w:rPr>
                      <w:color w:val="auto"/>
                    </w:rPr>
                    <w:t>/</w:t>
                  </w:r>
                </w:p>
              </w:tc>
              <w:tc>
                <w:tcPr>
                  <w:tcW w:w="1005" w:type="dxa"/>
                  <w:vAlign w:val="center"/>
                </w:tcPr>
                <w:p w14:paraId="1ED867FF">
                  <w:pPr>
                    <w:jc w:val="center"/>
                    <w:rPr>
                      <w:color w:val="auto"/>
                    </w:rPr>
                  </w:pPr>
                  <w:r>
                    <w:rPr>
                      <w:color w:val="auto"/>
                    </w:rPr>
                    <w:t>20</w:t>
                  </w:r>
                </w:p>
              </w:tc>
              <w:tc>
                <w:tcPr>
                  <w:tcW w:w="945" w:type="dxa"/>
                  <w:vAlign w:val="center"/>
                </w:tcPr>
                <w:p w14:paraId="6F1A5735">
                  <w:pPr>
                    <w:widowControl/>
                    <w:jc w:val="center"/>
                    <w:textAlignment w:val="center"/>
                    <w:rPr>
                      <w:color w:val="auto"/>
                    </w:rPr>
                  </w:pPr>
                  <w:r>
                    <w:rPr>
                      <w:color w:val="auto"/>
                    </w:rPr>
                    <w:t>0</w:t>
                  </w:r>
                </w:p>
              </w:tc>
              <w:tc>
                <w:tcPr>
                  <w:tcW w:w="1063" w:type="dxa"/>
                  <w:vAlign w:val="center"/>
                </w:tcPr>
                <w:p w14:paraId="60908796">
                  <w:pPr>
                    <w:jc w:val="center"/>
                    <w:rPr>
                      <w:color w:val="auto"/>
                    </w:rPr>
                  </w:pPr>
                  <w:r>
                    <w:rPr>
                      <w:color w:val="auto"/>
                    </w:rPr>
                    <w:t>20</w:t>
                  </w:r>
                </w:p>
              </w:tc>
              <w:tc>
                <w:tcPr>
                  <w:tcW w:w="599" w:type="dxa"/>
                  <w:vAlign w:val="center"/>
                </w:tcPr>
                <w:p w14:paraId="23AE5EBC">
                  <w:pPr>
                    <w:jc w:val="center"/>
                    <w:rPr>
                      <w:color w:val="auto"/>
                    </w:rPr>
                  </w:pPr>
                  <w:r>
                    <w:rPr>
                      <w:rFonts w:hint="eastAsia"/>
                      <w:color w:val="auto"/>
                    </w:rPr>
                    <w:t>0</w:t>
                  </w:r>
                </w:p>
              </w:tc>
              <w:tc>
                <w:tcPr>
                  <w:tcW w:w="705" w:type="dxa"/>
                  <w:vAlign w:val="center"/>
                </w:tcPr>
                <w:p w14:paraId="73751295">
                  <w:pPr>
                    <w:jc w:val="center"/>
                    <w:rPr>
                      <w:color w:val="auto"/>
                    </w:rPr>
                  </w:pPr>
                  <w:r>
                    <w:rPr>
                      <w:rFonts w:hint="eastAsia"/>
                      <w:color w:val="auto"/>
                    </w:rPr>
                    <w:t>2</w:t>
                  </w:r>
                </w:p>
              </w:tc>
            </w:tr>
            <w:tr w14:paraId="5D0A59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8" w:type="dxa"/>
                  <w:vAlign w:val="center"/>
                </w:tcPr>
                <w:p w14:paraId="37BBFEB7">
                  <w:pPr>
                    <w:spacing w:line="280" w:lineRule="exact"/>
                    <w:jc w:val="center"/>
                    <w:rPr>
                      <w:color w:val="auto"/>
                    </w:rPr>
                  </w:pPr>
                  <w:r>
                    <w:rPr>
                      <w:rFonts w:hint="eastAsia"/>
                      <w:color w:val="auto"/>
                    </w:rPr>
                    <w:t>8</w:t>
                  </w:r>
                </w:p>
              </w:tc>
              <w:tc>
                <w:tcPr>
                  <w:tcW w:w="1168" w:type="dxa"/>
                  <w:vAlign w:val="center"/>
                </w:tcPr>
                <w:p w14:paraId="42277B16">
                  <w:pPr>
                    <w:widowControl/>
                    <w:jc w:val="center"/>
                    <w:textAlignment w:val="bottom"/>
                    <w:rPr>
                      <w:rFonts w:hint="default" w:eastAsia="宋体"/>
                      <w:color w:val="auto"/>
                      <w:lang w:val="en-US" w:eastAsia="zh-CN"/>
                    </w:rPr>
                  </w:pPr>
                  <w:r>
                    <w:rPr>
                      <w:color w:val="auto"/>
                      <w:lang w:val="zh-CN"/>
                    </w:rPr>
                    <w:t>水性</w:t>
                  </w:r>
                  <w:r>
                    <w:rPr>
                      <w:color w:val="auto"/>
                    </w:rPr>
                    <w:t>玻璃</w:t>
                  </w:r>
                  <w:r>
                    <w:rPr>
                      <w:rFonts w:hint="eastAsia"/>
                      <w:color w:val="auto"/>
                    </w:rPr>
                    <w:t>漆料</w:t>
                  </w:r>
                  <w:r>
                    <w:rPr>
                      <w:rFonts w:hint="eastAsia"/>
                      <w:color w:val="auto"/>
                      <w:lang w:eastAsia="zh-CN"/>
                    </w:rPr>
                    <w:t>（</w:t>
                  </w:r>
                  <w:r>
                    <w:rPr>
                      <w:rFonts w:hint="eastAsia"/>
                      <w:color w:val="auto"/>
                      <w:lang w:val="en-US" w:eastAsia="zh-CN"/>
                    </w:rPr>
                    <w:t>VOCs含量41g/L）</w:t>
                  </w:r>
                </w:p>
              </w:tc>
              <w:tc>
                <w:tcPr>
                  <w:tcW w:w="1980" w:type="dxa"/>
                  <w:vAlign w:val="center"/>
                </w:tcPr>
                <w:p w14:paraId="7FA9D534">
                  <w:pPr>
                    <w:spacing w:line="280" w:lineRule="exact"/>
                    <w:jc w:val="center"/>
                    <w:rPr>
                      <w:color w:val="auto"/>
                    </w:rPr>
                  </w:pPr>
                  <w:r>
                    <w:rPr>
                      <w:color w:val="auto"/>
                    </w:rPr>
                    <w:t>水性丙烯酸树脂4</w:t>
                  </w:r>
                  <w:r>
                    <w:rPr>
                      <w:rFonts w:hint="eastAsia"/>
                      <w:color w:val="auto"/>
                    </w:rPr>
                    <w:t>5</w:t>
                  </w:r>
                  <w:r>
                    <w:rPr>
                      <w:color w:val="auto"/>
                    </w:rPr>
                    <w:t>%、水性氨基树脂1</w:t>
                  </w:r>
                  <w:r>
                    <w:rPr>
                      <w:rFonts w:hint="eastAsia"/>
                      <w:color w:val="auto"/>
                    </w:rPr>
                    <w:t>5</w:t>
                  </w:r>
                  <w:r>
                    <w:rPr>
                      <w:color w:val="auto"/>
                    </w:rPr>
                    <w:t>%</w:t>
                  </w:r>
                  <w:r>
                    <w:rPr>
                      <w:rFonts w:hint="eastAsia"/>
                      <w:color w:val="auto"/>
                    </w:rPr>
                    <w:t>、</w:t>
                  </w:r>
                  <w:r>
                    <w:rPr>
                      <w:color w:val="auto"/>
                    </w:rPr>
                    <w:t>水</w:t>
                  </w:r>
                  <w:r>
                    <w:rPr>
                      <w:rFonts w:hint="eastAsia"/>
                      <w:color w:val="auto"/>
                    </w:rPr>
                    <w:t>20</w:t>
                  </w:r>
                  <w:r>
                    <w:rPr>
                      <w:color w:val="auto"/>
                    </w:rPr>
                    <w:t>%、颜料</w:t>
                  </w:r>
                  <w:r>
                    <w:rPr>
                      <w:rFonts w:hint="eastAsia"/>
                      <w:color w:val="auto"/>
                    </w:rPr>
                    <w:t>20</w:t>
                  </w:r>
                  <w:r>
                    <w:rPr>
                      <w:color w:val="auto"/>
                    </w:rPr>
                    <w:t>%</w:t>
                  </w:r>
                  <w:r>
                    <w:rPr>
                      <w:rFonts w:hint="eastAsia"/>
                      <w:color w:val="auto"/>
                    </w:rPr>
                    <w:t>，主要挥发分为涂料中少量游离的丙烯酸单体</w:t>
                  </w:r>
                </w:p>
              </w:tc>
              <w:tc>
                <w:tcPr>
                  <w:tcW w:w="1005" w:type="dxa"/>
                  <w:vAlign w:val="center"/>
                </w:tcPr>
                <w:p w14:paraId="31652068">
                  <w:pPr>
                    <w:jc w:val="center"/>
                    <w:rPr>
                      <w:color w:val="auto"/>
                    </w:rPr>
                  </w:pPr>
                  <w:r>
                    <w:rPr>
                      <w:color w:val="auto"/>
                    </w:rPr>
                    <w:t>400</w:t>
                  </w:r>
                </w:p>
              </w:tc>
              <w:tc>
                <w:tcPr>
                  <w:tcW w:w="945" w:type="dxa"/>
                  <w:vAlign w:val="center"/>
                </w:tcPr>
                <w:p w14:paraId="0F98FAA5">
                  <w:pPr>
                    <w:widowControl/>
                    <w:jc w:val="center"/>
                    <w:textAlignment w:val="center"/>
                    <w:rPr>
                      <w:color w:val="auto"/>
                    </w:rPr>
                  </w:pPr>
                  <w:r>
                    <w:rPr>
                      <w:color w:val="auto"/>
                    </w:rPr>
                    <w:t>0</w:t>
                  </w:r>
                </w:p>
              </w:tc>
              <w:tc>
                <w:tcPr>
                  <w:tcW w:w="1063" w:type="dxa"/>
                  <w:vAlign w:val="center"/>
                </w:tcPr>
                <w:p w14:paraId="7AD43CA4">
                  <w:pPr>
                    <w:jc w:val="center"/>
                    <w:rPr>
                      <w:color w:val="auto"/>
                    </w:rPr>
                  </w:pPr>
                  <w:r>
                    <w:rPr>
                      <w:color w:val="auto"/>
                    </w:rPr>
                    <w:t>400</w:t>
                  </w:r>
                </w:p>
              </w:tc>
              <w:tc>
                <w:tcPr>
                  <w:tcW w:w="599" w:type="dxa"/>
                  <w:vAlign w:val="center"/>
                </w:tcPr>
                <w:p w14:paraId="3B276254">
                  <w:pPr>
                    <w:jc w:val="center"/>
                    <w:rPr>
                      <w:color w:val="auto"/>
                    </w:rPr>
                  </w:pPr>
                  <w:r>
                    <w:rPr>
                      <w:rFonts w:hint="eastAsia"/>
                      <w:color w:val="auto"/>
                    </w:rPr>
                    <w:t>0</w:t>
                  </w:r>
                </w:p>
              </w:tc>
              <w:tc>
                <w:tcPr>
                  <w:tcW w:w="705" w:type="dxa"/>
                  <w:vAlign w:val="center"/>
                </w:tcPr>
                <w:p w14:paraId="70F40901">
                  <w:pPr>
                    <w:jc w:val="center"/>
                    <w:rPr>
                      <w:color w:val="auto"/>
                    </w:rPr>
                  </w:pPr>
                  <w:r>
                    <w:rPr>
                      <w:rFonts w:hint="eastAsia"/>
                      <w:color w:val="auto"/>
                    </w:rPr>
                    <w:t>30</w:t>
                  </w:r>
                </w:p>
              </w:tc>
            </w:tr>
            <w:tr w14:paraId="3E2809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8" w:type="dxa"/>
                  <w:vAlign w:val="center"/>
                </w:tcPr>
                <w:p w14:paraId="71076B4A">
                  <w:pPr>
                    <w:spacing w:line="280" w:lineRule="exact"/>
                    <w:jc w:val="center"/>
                    <w:rPr>
                      <w:color w:val="auto"/>
                    </w:rPr>
                  </w:pPr>
                  <w:r>
                    <w:rPr>
                      <w:rFonts w:hint="eastAsia"/>
                      <w:color w:val="auto"/>
                    </w:rPr>
                    <w:t>9</w:t>
                  </w:r>
                </w:p>
              </w:tc>
              <w:tc>
                <w:tcPr>
                  <w:tcW w:w="1168" w:type="dxa"/>
                  <w:vAlign w:val="center"/>
                </w:tcPr>
                <w:p w14:paraId="44ABE3BA">
                  <w:pPr>
                    <w:widowControl/>
                    <w:jc w:val="center"/>
                    <w:textAlignment w:val="bottom"/>
                    <w:rPr>
                      <w:color w:val="auto"/>
                    </w:rPr>
                  </w:pPr>
                  <w:r>
                    <w:rPr>
                      <w:color w:val="auto"/>
                    </w:rPr>
                    <w:t>金属钛</w:t>
                  </w:r>
                </w:p>
              </w:tc>
              <w:tc>
                <w:tcPr>
                  <w:tcW w:w="1980" w:type="dxa"/>
                  <w:vAlign w:val="center"/>
                </w:tcPr>
                <w:p w14:paraId="114C3B80">
                  <w:pPr>
                    <w:spacing w:line="280" w:lineRule="exact"/>
                    <w:jc w:val="center"/>
                    <w:rPr>
                      <w:color w:val="auto"/>
                    </w:rPr>
                  </w:pPr>
                  <w:r>
                    <w:rPr>
                      <w:color w:val="auto"/>
                    </w:rPr>
                    <w:t>钛</w:t>
                  </w:r>
                </w:p>
              </w:tc>
              <w:tc>
                <w:tcPr>
                  <w:tcW w:w="1005" w:type="dxa"/>
                  <w:vAlign w:val="center"/>
                </w:tcPr>
                <w:p w14:paraId="34936AAD">
                  <w:pPr>
                    <w:jc w:val="center"/>
                    <w:rPr>
                      <w:color w:val="auto"/>
                    </w:rPr>
                  </w:pPr>
                  <w:r>
                    <w:rPr>
                      <w:color w:val="auto"/>
                    </w:rPr>
                    <w:t>0.6</w:t>
                  </w:r>
                </w:p>
              </w:tc>
              <w:tc>
                <w:tcPr>
                  <w:tcW w:w="945" w:type="dxa"/>
                  <w:vAlign w:val="center"/>
                </w:tcPr>
                <w:p w14:paraId="16704C23">
                  <w:pPr>
                    <w:widowControl/>
                    <w:jc w:val="center"/>
                    <w:textAlignment w:val="center"/>
                    <w:rPr>
                      <w:color w:val="auto"/>
                    </w:rPr>
                  </w:pPr>
                  <w:r>
                    <w:rPr>
                      <w:color w:val="auto"/>
                    </w:rPr>
                    <w:t>0</w:t>
                  </w:r>
                </w:p>
              </w:tc>
              <w:tc>
                <w:tcPr>
                  <w:tcW w:w="1063" w:type="dxa"/>
                  <w:vAlign w:val="center"/>
                </w:tcPr>
                <w:p w14:paraId="6D2593A8">
                  <w:pPr>
                    <w:jc w:val="center"/>
                    <w:rPr>
                      <w:color w:val="auto"/>
                    </w:rPr>
                  </w:pPr>
                  <w:r>
                    <w:rPr>
                      <w:color w:val="auto"/>
                    </w:rPr>
                    <w:t>0.6</w:t>
                  </w:r>
                </w:p>
              </w:tc>
              <w:tc>
                <w:tcPr>
                  <w:tcW w:w="599" w:type="dxa"/>
                  <w:vAlign w:val="center"/>
                </w:tcPr>
                <w:p w14:paraId="559E9608">
                  <w:pPr>
                    <w:jc w:val="center"/>
                    <w:rPr>
                      <w:color w:val="auto"/>
                    </w:rPr>
                  </w:pPr>
                  <w:r>
                    <w:rPr>
                      <w:rFonts w:hint="eastAsia"/>
                      <w:color w:val="auto"/>
                    </w:rPr>
                    <w:t>0</w:t>
                  </w:r>
                </w:p>
              </w:tc>
              <w:tc>
                <w:tcPr>
                  <w:tcW w:w="705" w:type="dxa"/>
                  <w:vAlign w:val="center"/>
                </w:tcPr>
                <w:p w14:paraId="3FEE9071">
                  <w:pPr>
                    <w:jc w:val="center"/>
                    <w:rPr>
                      <w:color w:val="auto"/>
                    </w:rPr>
                  </w:pPr>
                  <w:r>
                    <w:rPr>
                      <w:rFonts w:hint="eastAsia"/>
                      <w:color w:val="auto"/>
                    </w:rPr>
                    <w:t>0.1</w:t>
                  </w:r>
                </w:p>
              </w:tc>
            </w:tr>
            <w:tr w14:paraId="10D6CC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8" w:type="dxa"/>
                  <w:vAlign w:val="center"/>
                </w:tcPr>
                <w:p w14:paraId="20F6EF88">
                  <w:pPr>
                    <w:spacing w:line="280" w:lineRule="exact"/>
                    <w:jc w:val="center"/>
                    <w:rPr>
                      <w:color w:val="auto"/>
                    </w:rPr>
                  </w:pPr>
                  <w:r>
                    <w:rPr>
                      <w:rFonts w:hint="eastAsia"/>
                      <w:color w:val="auto"/>
                    </w:rPr>
                    <w:t>10</w:t>
                  </w:r>
                </w:p>
              </w:tc>
              <w:tc>
                <w:tcPr>
                  <w:tcW w:w="1168" w:type="dxa"/>
                  <w:vAlign w:val="center"/>
                </w:tcPr>
                <w:p w14:paraId="3C4FF8BE">
                  <w:pPr>
                    <w:widowControl/>
                    <w:jc w:val="center"/>
                    <w:textAlignment w:val="bottom"/>
                    <w:rPr>
                      <w:color w:val="auto"/>
                    </w:rPr>
                  </w:pPr>
                  <w:r>
                    <w:rPr>
                      <w:rFonts w:hint="eastAsia"/>
                      <w:color w:val="auto"/>
                    </w:rPr>
                    <w:t>盐酸</w:t>
                  </w:r>
                </w:p>
              </w:tc>
              <w:tc>
                <w:tcPr>
                  <w:tcW w:w="1980" w:type="dxa"/>
                  <w:vAlign w:val="center"/>
                </w:tcPr>
                <w:p w14:paraId="63065DAC">
                  <w:pPr>
                    <w:spacing w:line="280" w:lineRule="exact"/>
                    <w:jc w:val="center"/>
                    <w:rPr>
                      <w:color w:val="auto"/>
                    </w:rPr>
                  </w:pPr>
                  <w:r>
                    <w:rPr>
                      <w:rFonts w:hint="eastAsia"/>
                      <w:color w:val="auto"/>
                    </w:rPr>
                    <w:t>HCI31</w:t>
                  </w:r>
                  <w:r>
                    <w:rPr>
                      <w:color w:val="auto"/>
                    </w:rPr>
                    <w:t>%</w:t>
                  </w:r>
                  <w:r>
                    <w:rPr>
                      <w:rFonts w:hint="eastAsia"/>
                      <w:color w:val="auto"/>
                    </w:rPr>
                    <w:t>，水69%</w:t>
                  </w:r>
                </w:p>
              </w:tc>
              <w:tc>
                <w:tcPr>
                  <w:tcW w:w="1005" w:type="dxa"/>
                  <w:vAlign w:val="center"/>
                </w:tcPr>
                <w:p w14:paraId="064488B9">
                  <w:pPr>
                    <w:widowControl/>
                    <w:jc w:val="center"/>
                    <w:textAlignment w:val="center"/>
                    <w:rPr>
                      <w:color w:val="auto"/>
                    </w:rPr>
                  </w:pPr>
                  <w:r>
                    <w:rPr>
                      <w:rFonts w:hint="eastAsia"/>
                      <w:color w:val="auto"/>
                    </w:rPr>
                    <w:t>3</w:t>
                  </w:r>
                </w:p>
              </w:tc>
              <w:tc>
                <w:tcPr>
                  <w:tcW w:w="945" w:type="dxa"/>
                  <w:vAlign w:val="center"/>
                </w:tcPr>
                <w:p w14:paraId="0E3DD0A4">
                  <w:pPr>
                    <w:widowControl/>
                    <w:jc w:val="center"/>
                    <w:textAlignment w:val="center"/>
                    <w:rPr>
                      <w:color w:val="auto"/>
                    </w:rPr>
                  </w:pPr>
                  <w:r>
                    <w:rPr>
                      <w:color w:val="auto"/>
                    </w:rPr>
                    <w:t>0</w:t>
                  </w:r>
                </w:p>
              </w:tc>
              <w:tc>
                <w:tcPr>
                  <w:tcW w:w="1063" w:type="dxa"/>
                  <w:vAlign w:val="center"/>
                </w:tcPr>
                <w:p w14:paraId="7479D63A">
                  <w:pPr>
                    <w:widowControl/>
                    <w:jc w:val="center"/>
                    <w:textAlignment w:val="center"/>
                    <w:rPr>
                      <w:color w:val="auto"/>
                    </w:rPr>
                  </w:pPr>
                  <w:r>
                    <w:rPr>
                      <w:rFonts w:hint="eastAsia"/>
                      <w:color w:val="auto"/>
                    </w:rPr>
                    <w:t>3</w:t>
                  </w:r>
                </w:p>
              </w:tc>
              <w:tc>
                <w:tcPr>
                  <w:tcW w:w="599" w:type="dxa"/>
                  <w:vAlign w:val="center"/>
                </w:tcPr>
                <w:p w14:paraId="011C672F">
                  <w:pPr>
                    <w:widowControl/>
                    <w:jc w:val="center"/>
                    <w:textAlignment w:val="center"/>
                    <w:rPr>
                      <w:color w:val="auto"/>
                    </w:rPr>
                  </w:pPr>
                  <w:r>
                    <w:rPr>
                      <w:rFonts w:hint="eastAsia"/>
                      <w:color w:val="auto"/>
                    </w:rPr>
                    <w:t>0</w:t>
                  </w:r>
                </w:p>
              </w:tc>
              <w:tc>
                <w:tcPr>
                  <w:tcW w:w="705" w:type="dxa"/>
                  <w:vAlign w:val="center"/>
                </w:tcPr>
                <w:p w14:paraId="39AF3025">
                  <w:pPr>
                    <w:widowControl/>
                    <w:jc w:val="center"/>
                    <w:textAlignment w:val="center"/>
                    <w:rPr>
                      <w:color w:val="auto"/>
                    </w:rPr>
                  </w:pPr>
                  <w:r>
                    <w:rPr>
                      <w:rFonts w:hint="eastAsia"/>
                      <w:color w:val="auto"/>
                    </w:rPr>
                    <w:t>1</w:t>
                  </w:r>
                </w:p>
              </w:tc>
            </w:tr>
            <w:tr w14:paraId="49D01C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8" w:type="dxa"/>
                  <w:vAlign w:val="center"/>
                </w:tcPr>
                <w:p w14:paraId="1B70B76D">
                  <w:pPr>
                    <w:spacing w:line="280" w:lineRule="exact"/>
                    <w:jc w:val="center"/>
                    <w:rPr>
                      <w:color w:val="auto"/>
                    </w:rPr>
                  </w:pPr>
                  <w:r>
                    <w:rPr>
                      <w:rFonts w:hint="eastAsia"/>
                      <w:color w:val="auto"/>
                    </w:rPr>
                    <w:t>11</w:t>
                  </w:r>
                </w:p>
              </w:tc>
              <w:tc>
                <w:tcPr>
                  <w:tcW w:w="1168" w:type="dxa"/>
                  <w:vAlign w:val="center"/>
                </w:tcPr>
                <w:p w14:paraId="4E399169">
                  <w:pPr>
                    <w:widowControl/>
                    <w:jc w:val="center"/>
                    <w:textAlignment w:val="bottom"/>
                    <w:rPr>
                      <w:color w:val="auto"/>
                    </w:rPr>
                  </w:pPr>
                  <w:r>
                    <w:rPr>
                      <w:rFonts w:hint="eastAsia"/>
                      <w:color w:val="auto"/>
                    </w:rPr>
                    <w:t>硫酸</w:t>
                  </w:r>
                </w:p>
              </w:tc>
              <w:tc>
                <w:tcPr>
                  <w:tcW w:w="1980" w:type="dxa"/>
                  <w:vAlign w:val="center"/>
                </w:tcPr>
                <w:p w14:paraId="118C478F">
                  <w:pPr>
                    <w:spacing w:line="280" w:lineRule="exact"/>
                    <w:jc w:val="center"/>
                    <w:rPr>
                      <w:color w:val="auto"/>
                    </w:rPr>
                  </w:pPr>
                  <w:r>
                    <w:rPr>
                      <w:rFonts w:hint="eastAsia"/>
                      <w:color w:val="auto"/>
                    </w:rPr>
                    <w:t>98%</w:t>
                  </w:r>
                </w:p>
              </w:tc>
              <w:tc>
                <w:tcPr>
                  <w:tcW w:w="1005" w:type="dxa"/>
                  <w:vAlign w:val="center"/>
                </w:tcPr>
                <w:p w14:paraId="4DA1E754">
                  <w:pPr>
                    <w:widowControl/>
                    <w:jc w:val="center"/>
                    <w:textAlignment w:val="center"/>
                    <w:rPr>
                      <w:color w:val="auto"/>
                    </w:rPr>
                  </w:pPr>
                  <w:r>
                    <w:rPr>
                      <w:rFonts w:hint="eastAsia"/>
                      <w:color w:val="auto"/>
                    </w:rPr>
                    <w:t>3</w:t>
                  </w:r>
                </w:p>
              </w:tc>
              <w:tc>
                <w:tcPr>
                  <w:tcW w:w="945" w:type="dxa"/>
                  <w:vAlign w:val="center"/>
                </w:tcPr>
                <w:p w14:paraId="57346C10">
                  <w:pPr>
                    <w:widowControl/>
                    <w:jc w:val="center"/>
                    <w:textAlignment w:val="center"/>
                    <w:rPr>
                      <w:color w:val="auto"/>
                    </w:rPr>
                  </w:pPr>
                  <w:r>
                    <w:rPr>
                      <w:color w:val="auto"/>
                    </w:rPr>
                    <w:t>0</w:t>
                  </w:r>
                </w:p>
              </w:tc>
              <w:tc>
                <w:tcPr>
                  <w:tcW w:w="1063" w:type="dxa"/>
                  <w:vAlign w:val="center"/>
                </w:tcPr>
                <w:p w14:paraId="112286E5">
                  <w:pPr>
                    <w:widowControl/>
                    <w:jc w:val="center"/>
                    <w:textAlignment w:val="center"/>
                    <w:rPr>
                      <w:color w:val="auto"/>
                    </w:rPr>
                  </w:pPr>
                  <w:r>
                    <w:rPr>
                      <w:rFonts w:hint="eastAsia"/>
                      <w:color w:val="auto"/>
                    </w:rPr>
                    <w:t>3</w:t>
                  </w:r>
                </w:p>
              </w:tc>
              <w:tc>
                <w:tcPr>
                  <w:tcW w:w="599" w:type="dxa"/>
                  <w:vAlign w:val="center"/>
                </w:tcPr>
                <w:p w14:paraId="749DB3F0">
                  <w:pPr>
                    <w:widowControl/>
                    <w:jc w:val="center"/>
                    <w:textAlignment w:val="center"/>
                    <w:rPr>
                      <w:color w:val="auto"/>
                    </w:rPr>
                  </w:pPr>
                  <w:r>
                    <w:rPr>
                      <w:rFonts w:hint="eastAsia"/>
                      <w:color w:val="auto"/>
                    </w:rPr>
                    <w:t>0</w:t>
                  </w:r>
                </w:p>
              </w:tc>
              <w:tc>
                <w:tcPr>
                  <w:tcW w:w="705" w:type="dxa"/>
                  <w:vAlign w:val="center"/>
                </w:tcPr>
                <w:p w14:paraId="610CF998">
                  <w:pPr>
                    <w:widowControl/>
                    <w:jc w:val="center"/>
                    <w:textAlignment w:val="center"/>
                    <w:rPr>
                      <w:color w:val="auto"/>
                    </w:rPr>
                  </w:pPr>
                  <w:r>
                    <w:rPr>
                      <w:rFonts w:hint="eastAsia"/>
                      <w:color w:val="auto"/>
                    </w:rPr>
                    <w:t>1</w:t>
                  </w:r>
                </w:p>
              </w:tc>
            </w:tr>
            <w:tr w14:paraId="656EBA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8" w:type="dxa"/>
                  <w:vAlign w:val="center"/>
                </w:tcPr>
                <w:p w14:paraId="4FDC8442">
                  <w:pPr>
                    <w:spacing w:line="280" w:lineRule="exact"/>
                    <w:jc w:val="center"/>
                    <w:rPr>
                      <w:color w:val="auto"/>
                    </w:rPr>
                  </w:pPr>
                  <w:r>
                    <w:rPr>
                      <w:rFonts w:hint="eastAsia"/>
                      <w:color w:val="auto"/>
                    </w:rPr>
                    <w:t>12</w:t>
                  </w:r>
                </w:p>
              </w:tc>
              <w:tc>
                <w:tcPr>
                  <w:tcW w:w="1168" w:type="dxa"/>
                  <w:vAlign w:val="center"/>
                </w:tcPr>
                <w:p w14:paraId="59CAB077">
                  <w:pPr>
                    <w:widowControl/>
                    <w:jc w:val="center"/>
                    <w:textAlignment w:val="bottom"/>
                    <w:rPr>
                      <w:color w:val="auto"/>
                    </w:rPr>
                  </w:pPr>
                  <w:r>
                    <w:rPr>
                      <w:rFonts w:hint="eastAsia"/>
                      <w:color w:val="auto"/>
                    </w:rPr>
                    <w:t>烧碱</w:t>
                  </w:r>
                </w:p>
              </w:tc>
              <w:tc>
                <w:tcPr>
                  <w:tcW w:w="1980" w:type="dxa"/>
                  <w:vAlign w:val="center"/>
                </w:tcPr>
                <w:p w14:paraId="4FE0B2ED">
                  <w:pPr>
                    <w:spacing w:line="280" w:lineRule="exact"/>
                    <w:jc w:val="center"/>
                    <w:rPr>
                      <w:color w:val="auto"/>
                    </w:rPr>
                  </w:pPr>
                  <w:r>
                    <w:rPr>
                      <w:rFonts w:hint="eastAsia"/>
                      <w:color w:val="auto"/>
                    </w:rPr>
                    <w:t>氢氧化钠</w:t>
                  </w:r>
                </w:p>
              </w:tc>
              <w:tc>
                <w:tcPr>
                  <w:tcW w:w="1005" w:type="dxa"/>
                  <w:vAlign w:val="center"/>
                </w:tcPr>
                <w:p w14:paraId="7A3D04F0">
                  <w:pPr>
                    <w:widowControl/>
                    <w:jc w:val="center"/>
                    <w:textAlignment w:val="center"/>
                    <w:rPr>
                      <w:color w:val="auto"/>
                    </w:rPr>
                  </w:pPr>
                  <w:r>
                    <w:rPr>
                      <w:rFonts w:hint="eastAsia"/>
                      <w:color w:val="auto"/>
                    </w:rPr>
                    <w:t>0.025</w:t>
                  </w:r>
                </w:p>
              </w:tc>
              <w:tc>
                <w:tcPr>
                  <w:tcW w:w="945" w:type="dxa"/>
                  <w:vAlign w:val="center"/>
                </w:tcPr>
                <w:p w14:paraId="11F35909">
                  <w:pPr>
                    <w:widowControl/>
                    <w:jc w:val="center"/>
                    <w:textAlignment w:val="center"/>
                    <w:rPr>
                      <w:rFonts w:hint="default" w:eastAsia="宋体"/>
                      <w:color w:val="auto"/>
                      <w:lang w:val="en-US" w:eastAsia="zh-CN"/>
                    </w:rPr>
                  </w:pPr>
                  <w:r>
                    <w:rPr>
                      <w:rFonts w:hint="eastAsia"/>
                      <w:color w:val="auto"/>
                      <w:lang w:val="en-US" w:eastAsia="zh-CN"/>
                    </w:rPr>
                    <w:t>0</w:t>
                  </w:r>
                </w:p>
              </w:tc>
              <w:tc>
                <w:tcPr>
                  <w:tcW w:w="1063" w:type="dxa"/>
                  <w:vAlign w:val="center"/>
                </w:tcPr>
                <w:p w14:paraId="3FAB6CD6">
                  <w:pPr>
                    <w:widowControl/>
                    <w:jc w:val="center"/>
                    <w:textAlignment w:val="center"/>
                    <w:rPr>
                      <w:color w:val="auto"/>
                    </w:rPr>
                  </w:pPr>
                  <w:r>
                    <w:rPr>
                      <w:rFonts w:hint="eastAsia"/>
                      <w:color w:val="auto"/>
                      <w:lang w:val="en-US" w:eastAsia="zh-CN"/>
                    </w:rPr>
                    <w:t>0.</w:t>
                  </w:r>
                  <w:r>
                    <w:rPr>
                      <w:rFonts w:hint="eastAsia"/>
                      <w:color w:val="auto"/>
                    </w:rPr>
                    <w:t>025</w:t>
                  </w:r>
                </w:p>
              </w:tc>
              <w:tc>
                <w:tcPr>
                  <w:tcW w:w="599" w:type="dxa"/>
                  <w:vAlign w:val="center"/>
                </w:tcPr>
                <w:p w14:paraId="2E7B1AEB">
                  <w:pPr>
                    <w:widowControl/>
                    <w:jc w:val="center"/>
                    <w:textAlignment w:val="center"/>
                    <w:rPr>
                      <w:rFonts w:hint="default" w:eastAsia="宋体"/>
                      <w:color w:val="auto"/>
                      <w:lang w:val="en-US" w:eastAsia="zh-CN"/>
                    </w:rPr>
                  </w:pPr>
                  <w:r>
                    <w:rPr>
                      <w:rFonts w:hint="eastAsia"/>
                      <w:color w:val="auto"/>
                      <w:lang w:val="en-US" w:eastAsia="zh-CN"/>
                    </w:rPr>
                    <w:t>0</w:t>
                  </w:r>
                </w:p>
              </w:tc>
              <w:tc>
                <w:tcPr>
                  <w:tcW w:w="705" w:type="dxa"/>
                  <w:vAlign w:val="center"/>
                </w:tcPr>
                <w:p w14:paraId="43C486A8">
                  <w:pPr>
                    <w:widowControl/>
                    <w:jc w:val="center"/>
                    <w:textAlignment w:val="center"/>
                    <w:rPr>
                      <w:color w:val="auto"/>
                    </w:rPr>
                  </w:pPr>
                  <w:r>
                    <w:rPr>
                      <w:rFonts w:hint="eastAsia"/>
                      <w:color w:val="auto"/>
                    </w:rPr>
                    <w:t>0.025</w:t>
                  </w:r>
                </w:p>
              </w:tc>
            </w:tr>
            <w:tr w14:paraId="292581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8" w:type="dxa"/>
                  <w:vAlign w:val="center"/>
                </w:tcPr>
                <w:p w14:paraId="2F2F405C">
                  <w:pPr>
                    <w:spacing w:line="280" w:lineRule="exact"/>
                    <w:jc w:val="center"/>
                    <w:rPr>
                      <w:rFonts w:hint="default" w:eastAsia="宋体"/>
                      <w:color w:val="auto"/>
                      <w:lang w:val="en-US" w:eastAsia="zh-CN"/>
                    </w:rPr>
                  </w:pPr>
                  <w:r>
                    <w:rPr>
                      <w:rFonts w:hint="eastAsia"/>
                      <w:color w:val="auto"/>
                      <w:lang w:val="en-US" w:eastAsia="zh-CN"/>
                    </w:rPr>
                    <w:t>13</w:t>
                  </w:r>
                </w:p>
              </w:tc>
              <w:tc>
                <w:tcPr>
                  <w:tcW w:w="1168" w:type="dxa"/>
                  <w:vAlign w:val="center"/>
                </w:tcPr>
                <w:p w14:paraId="69E6EBD0">
                  <w:pPr>
                    <w:widowControl/>
                    <w:jc w:val="center"/>
                    <w:textAlignment w:val="bottom"/>
                    <w:rPr>
                      <w:rFonts w:hint="eastAsia" w:eastAsia="宋体"/>
                      <w:color w:val="auto"/>
                      <w:lang w:val="en-US" w:eastAsia="zh-CN"/>
                    </w:rPr>
                  </w:pPr>
                  <w:r>
                    <w:rPr>
                      <w:rFonts w:hint="eastAsia"/>
                      <w:color w:val="auto"/>
                      <w:lang w:val="en-US" w:eastAsia="zh-CN"/>
                    </w:rPr>
                    <w:t>氢氟酸</w:t>
                  </w:r>
                </w:p>
              </w:tc>
              <w:tc>
                <w:tcPr>
                  <w:tcW w:w="1980" w:type="dxa"/>
                  <w:vAlign w:val="center"/>
                </w:tcPr>
                <w:p w14:paraId="1A6D0C23">
                  <w:pPr>
                    <w:spacing w:line="280" w:lineRule="exact"/>
                    <w:jc w:val="center"/>
                    <w:rPr>
                      <w:rFonts w:hint="default" w:eastAsia="宋体"/>
                      <w:color w:val="auto"/>
                      <w:lang w:val="en-US" w:eastAsia="zh-CN"/>
                    </w:rPr>
                  </w:pPr>
                  <w:r>
                    <w:rPr>
                      <w:rFonts w:hint="eastAsia"/>
                      <w:color w:val="auto"/>
                      <w:lang w:val="en-US" w:eastAsia="zh-CN"/>
                    </w:rPr>
                    <w:t>40%</w:t>
                  </w:r>
                </w:p>
              </w:tc>
              <w:tc>
                <w:tcPr>
                  <w:tcW w:w="1005" w:type="dxa"/>
                  <w:vAlign w:val="center"/>
                </w:tcPr>
                <w:p w14:paraId="4C2C693D">
                  <w:pPr>
                    <w:widowControl/>
                    <w:jc w:val="center"/>
                    <w:textAlignment w:val="center"/>
                    <w:rPr>
                      <w:rFonts w:hint="eastAsia" w:eastAsia="宋体"/>
                      <w:color w:val="auto"/>
                      <w:lang w:val="en-US" w:eastAsia="zh-CN"/>
                    </w:rPr>
                  </w:pPr>
                  <w:r>
                    <w:rPr>
                      <w:rFonts w:hint="eastAsia"/>
                      <w:color w:val="auto"/>
                      <w:lang w:val="en-US" w:eastAsia="zh-CN"/>
                    </w:rPr>
                    <w:t>0</w:t>
                  </w:r>
                </w:p>
              </w:tc>
              <w:tc>
                <w:tcPr>
                  <w:tcW w:w="945" w:type="dxa"/>
                  <w:vAlign w:val="center"/>
                </w:tcPr>
                <w:p w14:paraId="014DDB91">
                  <w:pPr>
                    <w:widowControl/>
                    <w:jc w:val="center"/>
                    <w:textAlignment w:val="center"/>
                    <w:rPr>
                      <w:rFonts w:hint="default" w:eastAsia="宋体"/>
                      <w:color w:val="auto"/>
                      <w:lang w:val="en-US" w:eastAsia="zh-CN"/>
                    </w:rPr>
                  </w:pPr>
                  <w:r>
                    <w:rPr>
                      <w:rFonts w:hint="eastAsia"/>
                      <w:color w:val="auto"/>
                      <w:lang w:val="en-US" w:eastAsia="zh-CN"/>
                    </w:rPr>
                    <w:t>1</w:t>
                  </w:r>
                </w:p>
              </w:tc>
              <w:tc>
                <w:tcPr>
                  <w:tcW w:w="1063" w:type="dxa"/>
                  <w:vAlign w:val="center"/>
                </w:tcPr>
                <w:p w14:paraId="53DD3122">
                  <w:pPr>
                    <w:widowControl/>
                    <w:jc w:val="center"/>
                    <w:textAlignment w:val="center"/>
                    <w:rPr>
                      <w:rFonts w:hint="eastAsia" w:eastAsia="宋体"/>
                      <w:color w:val="auto"/>
                      <w:lang w:val="en-US" w:eastAsia="zh-CN"/>
                    </w:rPr>
                  </w:pPr>
                  <w:r>
                    <w:rPr>
                      <w:rFonts w:hint="eastAsia"/>
                      <w:color w:val="auto"/>
                      <w:lang w:val="en-US" w:eastAsia="zh-CN"/>
                    </w:rPr>
                    <w:t>1</w:t>
                  </w:r>
                </w:p>
              </w:tc>
              <w:tc>
                <w:tcPr>
                  <w:tcW w:w="599" w:type="dxa"/>
                  <w:vAlign w:val="center"/>
                </w:tcPr>
                <w:p w14:paraId="53FDFFFD">
                  <w:pPr>
                    <w:widowControl/>
                    <w:jc w:val="center"/>
                    <w:textAlignment w:val="center"/>
                    <w:rPr>
                      <w:rFonts w:hint="default" w:eastAsia="宋体"/>
                      <w:color w:val="auto"/>
                      <w:lang w:val="en-US" w:eastAsia="zh-CN"/>
                    </w:rPr>
                  </w:pPr>
                  <w:r>
                    <w:rPr>
                      <w:rFonts w:hint="eastAsia"/>
                      <w:color w:val="auto"/>
                      <w:lang w:val="en-US" w:eastAsia="zh-CN"/>
                    </w:rPr>
                    <w:t>+1</w:t>
                  </w:r>
                </w:p>
              </w:tc>
              <w:tc>
                <w:tcPr>
                  <w:tcW w:w="705" w:type="dxa"/>
                  <w:vAlign w:val="center"/>
                </w:tcPr>
                <w:p w14:paraId="026D30BA">
                  <w:pPr>
                    <w:widowControl/>
                    <w:jc w:val="center"/>
                    <w:textAlignment w:val="center"/>
                    <w:rPr>
                      <w:rFonts w:hint="default" w:eastAsia="宋体"/>
                      <w:color w:val="auto"/>
                      <w:lang w:val="en-US" w:eastAsia="zh-CN"/>
                    </w:rPr>
                  </w:pPr>
                  <w:r>
                    <w:rPr>
                      <w:rFonts w:hint="eastAsia"/>
                      <w:color w:val="auto"/>
                      <w:lang w:val="en-US" w:eastAsia="zh-CN"/>
                    </w:rPr>
                    <w:t>0.2</w:t>
                  </w:r>
                </w:p>
              </w:tc>
            </w:tr>
            <w:tr w14:paraId="5A503C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8" w:type="dxa"/>
                  <w:vAlign w:val="center"/>
                </w:tcPr>
                <w:p w14:paraId="085D0C77">
                  <w:pPr>
                    <w:spacing w:line="280" w:lineRule="exact"/>
                    <w:jc w:val="center"/>
                    <w:rPr>
                      <w:rFonts w:hint="default" w:eastAsia="宋体"/>
                      <w:color w:val="auto"/>
                      <w:lang w:val="en-US" w:eastAsia="zh-CN"/>
                    </w:rPr>
                  </w:pPr>
                  <w:r>
                    <w:rPr>
                      <w:rFonts w:hint="eastAsia"/>
                      <w:color w:val="auto"/>
                      <w:lang w:val="en-US" w:eastAsia="zh-CN"/>
                    </w:rPr>
                    <w:t>14</w:t>
                  </w:r>
                </w:p>
              </w:tc>
              <w:tc>
                <w:tcPr>
                  <w:tcW w:w="1168" w:type="dxa"/>
                  <w:vAlign w:val="center"/>
                </w:tcPr>
                <w:p w14:paraId="7301F874">
                  <w:pPr>
                    <w:widowControl/>
                    <w:jc w:val="center"/>
                    <w:textAlignment w:val="bottom"/>
                    <w:rPr>
                      <w:rFonts w:hint="eastAsia" w:eastAsia="宋体"/>
                      <w:color w:val="auto"/>
                      <w:lang w:val="en-US" w:eastAsia="zh-CN"/>
                    </w:rPr>
                  </w:pPr>
                  <w:r>
                    <w:rPr>
                      <w:rFonts w:hint="eastAsia"/>
                      <w:color w:val="auto"/>
                      <w:lang w:val="en-US" w:eastAsia="zh-CN"/>
                    </w:rPr>
                    <w:t>洗洁精</w:t>
                  </w:r>
                </w:p>
              </w:tc>
              <w:tc>
                <w:tcPr>
                  <w:tcW w:w="1980" w:type="dxa"/>
                  <w:vAlign w:val="center"/>
                </w:tcPr>
                <w:p w14:paraId="6F25A15E">
                  <w:pPr>
                    <w:spacing w:line="280" w:lineRule="exact"/>
                    <w:jc w:val="center"/>
                    <w:rPr>
                      <w:rFonts w:hint="eastAsia" w:eastAsia="宋体"/>
                      <w:color w:val="auto"/>
                      <w:lang w:val="en-US" w:eastAsia="zh-CN"/>
                    </w:rPr>
                  </w:pPr>
                  <w:r>
                    <w:rPr>
                      <w:rFonts w:hint="eastAsia"/>
                      <w:color w:val="auto"/>
                      <w:lang w:val="en-US" w:eastAsia="zh-CN"/>
                    </w:rPr>
                    <w:t>/</w:t>
                  </w:r>
                </w:p>
              </w:tc>
              <w:tc>
                <w:tcPr>
                  <w:tcW w:w="1005" w:type="dxa"/>
                  <w:vAlign w:val="center"/>
                </w:tcPr>
                <w:p w14:paraId="4B92DEA2">
                  <w:pPr>
                    <w:widowControl/>
                    <w:jc w:val="center"/>
                    <w:textAlignment w:val="center"/>
                    <w:rPr>
                      <w:rFonts w:hint="eastAsia" w:eastAsia="宋体"/>
                      <w:color w:val="auto"/>
                      <w:lang w:val="en-US" w:eastAsia="zh-CN"/>
                    </w:rPr>
                  </w:pPr>
                  <w:r>
                    <w:rPr>
                      <w:rFonts w:hint="eastAsia"/>
                      <w:color w:val="auto"/>
                      <w:lang w:val="en-US" w:eastAsia="zh-CN"/>
                    </w:rPr>
                    <w:t>0</w:t>
                  </w:r>
                </w:p>
              </w:tc>
              <w:tc>
                <w:tcPr>
                  <w:tcW w:w="945" w:type="dxa"/>
                  <w:vAlign w:val="center"/>
                </w:tcPr>
                <w:p w14:paraId="0B12718E">
                  <w:pPr>
                    <w:widowControl/>
                    <w:jc w:val="center"/>
                    <w:textAlignment w:val="center"/>
                    <w:rPr>
                      <w:rFonts w:hint="default" w:eastAsia="宋体"/>
                      <w:color w:val="auto"/>
                      <w:lang w:val="en-US" w:eastAsia="zh-CN"/>
                    </w:rPr>
                  </w:pPr>
                  <w:r>
                    <w:rPr>
                      <w:rFonts w:hint="eastAsia"/>
                      <w:color w:val="auto"/>
                      <w:lang w:val="en-US" w:eastAsia="zh-CN"/>
                    </w:rPr>
                    <w:t>0.05</w:t>
                  </w:r>
                </w:p>
              </w:tc>
              <w:tc>
                <w:tcPr>
                  <w:tcW w:w="1063" w:type="dxa"/>
                  <w:vAlign w:val="center"/>
                </w:tcPr>
                <w:p w14:paraId="63557D81">
                  <w:pPr>
                    <w:widowControl/>
                    <w:jc w:val="center"/>
                    <w:textAlignment w:val="center"/>
                    <w:rPr>
                      <w:rFonts w:hint="default" w:eastAsia="宋体"/>
                      <w:color w:val="auto"/>
                      <w:lang w:val="en-US" w:eastAsia="zh-CN"/>
                    </w:rPr>
                  </w:pPr>
                  <w:r>
                    <w:rPr>
                      <w:rFonts w:hint="eastAsia"/>
                      <w:color w:val="auto"/>
                      <w:lang w:val="en-US" w:eastAsia="zh-CN"/>
                    </w:rPr>
                    <w:t>0.05</w:t>
                  </w:r>
                </w:p>
              </w:tc>
              <w:tc>
                <w:tcPr>
                  <w:tcW w:w="599" w:type="dxa"/>
                  <w:vAlign w:val="center"/>
                </w:tcPr>
                <w:p w14:paraId="75C93FE7">
                  <w:pPr>
                    <w:widowControl/>
                    <w:jc w:val="center"/>
                    <w:textAlignment w:val="center"/>
                    <w:rPr>
                      <w:rFonts w:hint="default" w:eastAsia="宋体"/>
                      <w:color w:val="auto"/>
                      <w:lang w:val="en-US" w:eastAsia="zh-CN"/>
                    </w:rPr>
                  </w:pPr>
                  <w:r>
                    <w:rPr>
                      <w:rFonts w:hint="eastAsia"/>
                      <w:color w:val="auto"/>
                      <w:lang w:val="en-US" w:eastAsia="zh-CN"/>
                    </w:rPr>
                    <w:t>+0.05</w:t>
                  </w:r>
                </w:p>
              </w:tc>
              <w:tc>
                <w:tcPr>
                  <w:tcW w:w="705" w:type="dxa"/>
                  <w:vAlign w:val="center"/>
                </w:tcPr>
                <w:p w14:paraId="58E77841">
                  <w:pPr>
                    <w:widowControl/>
                    <w:jc w:val="center"/>
                    <w:textAlignment w:val="center"/>
                    <w:rPr>
                      <w:rFonts w:hint="default" w:eastAsia="宋体"/>
                      <w:color w:val="auto"/>
                      <w:lang w:val="en-US" w:eastAsia="zh-CN"/>
                    </w:rPr>
                  </w:pPr>
                  <w:r>
                    <w:rPr>
                      <w:rFonts w:hint="eastAsia"/>
                      <w:color w:val="auto"/>
                      <w:lang w:val="en-US" w:eastAsia="zh-CN"/>
                    </w:rPr>
                    <w:t>0.05</w:t>
                  </w:r>
                </w:p>
              </w:tc>
            </w:tr>
            <w:tr w14:paraId="4E5FDB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8" w:type="dxa"/>
                  <w:vAlign w:val="center"/>
                </w:tcPr>
                <w:p w14:paraId="53A7594C">
                  <w:pPr>
                    <w:spacing w:line="280" w:lineRule="exact"/>
                    <w:jc w:val="center"/>
                    <w:rPr>
                      <w:rFonts w:hint="default" w:eastAsia="宋体"/>
                      <w:color w:val="auto"/>
                      <w:lang w:val="en-US" w:eastAsia="zh-CN"/>
                    </w:rPr>
                  </w:pPr>
                  <w:r>
                    <w:rPr>
                      <w:rFonts w:hint="eastAsia"/>
                      <w:color w:val="auto"/>
                      <w:lang w:val="en-US" w:eastAsia="zh-CN"/>
                    </w:rPr>
                    <w:t>15</w:t>
                  </w:r>
                </w:p>
              </w:tc>
              <w:tc>
                <w:tcPr>
                  <w:tcW w:w="1168" w:type="dxa"/>
                  <w:vAlign w:val="center"/>
                </w:tcPr>
                <w:p w14:paraId="3FE1EB25">
                  <w:pPr>
                    <w:widowControl/>
                    <w:jc w:val="center"/>
                    <w:textAlignment w:val="bottom"/>
                    <w:rPr>
                      <w:rFonts w:hint="eastAsia" w:eastAsia="宋体"/>
                      <w:color w:val="auto"/>
                      <w:lang w:val="en-US" w:eastAsia="zh-CN"/>
                    </w:rPr>
                  </w:pPr>
                  <w:r>
                    <w:rPr>
                      <w:rFonts w:hint="eastAsia"/>
                      <w:color w:val="auto"/>
                      <w:lang w:val="en-US" w:eastAsia="zh-CN"/>
                    </w:rPr>
                    <w:t>切削液</w:t>
                  </w:r>
                </w:p>
              </w:tc>
              <w:tc>
                <w:tcPr>
                  <w:tcW w:w="1980" w:type="dxa"/>
                  <w:vAlign w:val="center"/>
                </w:tcPr>
                <w:p w14:paraId="333F6F09">
                  <w:pPr>
                    <w:spacing w:line="280" w:lineRule="exact"/>
                    <w:jc w:val="center"/>
                    <w:rPr>
                      <w:rFonts w:hint="default" w:eastAsia="宋体"/>
                      <w:color w:val="auto"/>
                      <w:lang w:val="en-US" w:eastAsia="zh-CN"/>
                    </w:rPr>
                  </w:pPr>
                  <w:r>
                    <w:rPr>
                      <w:rFonts w:hint="eastAsia"/>
                      <w:color w:val="auto"/>
                      <w:lang w:val="en-US" w:eastAsia="zh-CN"/>
                    </w:rPr>
                    <w:t>精制基础油40~60%、脂肪酸酯10~20%、极压剂15~25%、脂肪醇聚醚12~20%、斯潘-80＜7%、特殊缓蚀剂KTH-505~7%</w:t>
                  </w:r>
                </w:p>
              </w:tc>
              <w:tc>
                <w:tcPr>
                  <w:tcW w:w="1005" w:type="dxa"/>
                  <w:vAlign w:val="center"/>
                </w:tcPr>
                <w:p w14:paraId="76CC2E48">
                  <w:pPr>
                    <w:widowControl/>
                    <w:jc w:val="center"/>
                    <w:textAlignment w:val="center"/>
                    <w:rPr>
                      <w:rFonts w:hint="default" w:eastAsia="宋体"/>
                      <w:color w:val="auto"/>
                      <w:lang w:val="en-US" w:eastAsia="zh-CN"/>
                    </w:rPr>
                  </w:pPr>
                  <w:r>
                    <w:rPr>
                      <w:rFonts w:hint="eastAsia"/>
                      <w:color w:val="auto"/>
                      <w:lang w:val="en-US" w:eastAsia="zh-CN"/>
                    </w:rPr>
                    <w:t>0</w:t>
                  </w:r>
                </w:p>
              </w:tc>
              <w:tc>
                <w:tcPr>
                  <w:tcW w:w="945" w:type="dxa"/>
                  <w:vAlign w:val="center"/>
                </w:tcPr>
                <w:p w14:paraId="021F7BC2">
                  <w:pPr>
                    <w:widowControl/>
                    <w:jc w:val="center"/>
                    <w:textAlignment w:val="center"/>
                    <w:rPr>
                      <w:rFonts w:hint="eastAsia" w:eastAsia="宋体"/>
                      <w:color w:val="auto"/>
                      <w:lang w:val="en-US" w:eastAsia="zh-CN"/>
                    </w:rPr>
                  </w:pPr>
                  <w:r>
                    <w:rPr>
                      <w:rFonts w:hint="eastAsia"/>
                      <w:color w:val="auto"/>
                      <w:lang w:val="en-US" w:eastAsia="zh-CN"/>
                    </w:rPr>
                    <w:t>1</w:t>
                  </w:r>
                </w:p>
              </w:tc>
              <w:tc>
                <w:tcPr>
                  <w:tcW w:w="1063" w:type="dxa"/>
                  <w:vAlign w:val="center"/>
                </w:tcPr>
                <w:p w14:paraId="58ADA354">
                  <w:pPr>
                    <w:widowControl/>
                    <w:jc w:val="center"/>
                    <w:textAlignment w:val="center"/>
                    <w:rPr>
                      <w:rFonts w:hint="eastAsia" w:eastAsia="宋体"/>
                      <w:color w:val="auto"/>
                      <w:lang w:val="en-US" w:eastAsia="zh-CN"/>
                    </w:rPr>
                  </w:pPr>
                  <w:r>
                    <w:rPr>
                      <w:rFonts w:hint="eastAsia"/>
                      <w:color w:val="auto"/>
                      <w:lang w:val="en-US" w:eastAsia="zh-CN"/>
                    </w:rPr>
                    <w:t>1</w:t>
                  </w:r>
                </w:p>
              </w:tc>
              <w:tc>
                <w:tcPr>
                  <w:tcW w:w="599" w:type="dxa"/>
                  <w:vAlign w:val="center"/>
                </w:tcPr>
                <w:p w14:paraId="634A93FB">
                  <w:pPr>
                    <w:widowControl/>
                    <w:jc w:val="center"/>
                    <w:textAlignment w:val="center"/>
                    <w:rPr>
                      <w:rFonts w:hint="default" w:eastAsia="宋体"/>
                      <w:color w:val="auto"/>
                      <w:lang w:val="en-US" w:eastAsia="zh-CN"/>
                    </w:rPr>
                  </w:pPr>
                  <w:r>
                    <w:rPr>
                      <w:rFonts w:hint="eastAsia"/>
                      <w:color w:val="auto"/>
                      <w:lang w:val="en-US" w:eastAsia="zh-CN"/>
                    </w:rPr>
                    <w:t>+1</w:t>
                  </w:r>
                </w:p>
              </w:tc>
              <w:tc>
                <w:tcPr>
                  <w:tcW w:w="705" w:type="dxa"/>
                  <w:vAlign w:val="center"/>
                </w:tcPr>
                <w:p w14:paraId="66113AAE">
                  <w:pPr>
                    <w:widowControl/>
                    <w:jc w:val="center"/>
                    <w:textAlignment w:val="center"/>
                    <w:rPr>
                      <w:rFonts w:hint="eastAsia" w:eastAsia="宋体"/>
                      <w:color w:val="auto"/>
                      <w:lang w:val="en-US" w:eastAsia="zh-CN"/>
                    </w:rPr>
                  </w:pPr>
                  <w:r>
                    <w:rPr>
                      <w:rFonts w:hint="eastAsia"/>
                      <w:color w:val="auto"/>
                      <w:lang w:val="en-US" w:eastAsia="zh-CN"/>
                    </w:rPr>
                    <w:t>1</w:t>
                  </w:r>
                </w:p>
              </w:tc>
            </w:tr>
            <w:tr w14:paraId="45E759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8" w:type="dxa"/>
                  <w:vAlign w:val="center"/>
                </w:tcPr>
                <w:p w14:paraId="022EE85B">
                  <w:pPr>
                    <w:spacing w:line="280" w:lineRule="exact"/>
                    <w:jc w:val="center"/>
                    <w:rPr>
                      <w:rFonts w:hint="default"/>
                      <w:color w:val="auto"/>
                      <w:lang w:val="en-US" w:eastAsia="zh-CN"/>
                    </w:rPr>
                  </w:pPr>
                  <w:r>
                    <w:rPr>
                      <w:rFonts w:hint="eastAsia"/>
                      <w:color w:val="auto"/>
                      <w:lang w:val="en-US" w:eastAsia="zh-CN"/>
                    </w:rPr>
                    <w:t>16</w:t>
                  </w:r>
                </w:p>
              </w:tc>
              <w:tc>
                <w:tcPr>
                  <w:tcW w:w="1168" w:type="dxa"/>
                  <w:vAlign w:val="center"/>
                </w:tcPr>
                <w:p w14:paraId="4CE593D0">
                  <w:pPr>
                    <w:widowControl/>
                    <w:jc w:val="center"/>
                    <w:textAlignment w:val="bottom"/>
                    <w:rPr>
                      <w:rFonts w:hint="default"/>
                      <w:color w:val="auto"/>
                      <w:lang w:val="en-US" w:eastAsia="zh-CN"/>
                    </w:rPr>
                  </w:pPr>
                  <w:r>
                    <w:rPr>
                      <w:rFonts w:hint="eastAsia"/>
                      <w:color w:val="auto"/>
                      <w:lang w:val="en-US" w:eastAsia="zh-CN"/>
                    </w:rPr>
                    <w:t>热转印膜</w:t>
                  </w:r>
                </w:p>
              </w:tc>
              <w:tc>
                <w:tcPr>
                  <w:tcW w:w="1980" w:type="dxa"/>
                  <w:vAlign w:val="center"/>
                </w:tcPr>
                <w:p w14:paraId="233D6452">
                  <w:pPr>
                    <w:spacing w:line="280" w:lineRule="exact"/>
                    <w:jc w:val="center"/>
                    <w:rPr>
                      <w:rFonts w:hint="default"/>
                      <w:color w:val="auto"/>
                      <w:lang w:val="en-US" w:eastAsia="zh-CN"/>
                    </w:rPr>
                  </w:pPr>
                  <w:r>
                    <w:rPr>
                      <w:rFonts w:hint="eastAsia"/>
                      <w:color w:val="auto"/>
                      <w:lang w:val="en-US" w:eastAsia="zh-CN"/>
                    </w:rPr>
                    <w:t>/</w:t>
                  </w:r>
                </w:p>
              </w:tc>
              <w:tc>
                <w:tcPr>
                  <w:tcW w:w="1005" w:type="dxa"/>
                  <w:vAlign w:val="center"/>
                </w:tcPr>
                <w:p w14:paraId="6373CD3F">
                  <w:pPr>
                    <w:widowControl/>
                    <w:jc w:val="center"/>
                    <w:textAlignment w:val="center"/>
                    <w:rPr>
                      <w:rFonts w:hint="default"/>
                      <w:color w:val="auto"/>
                      <w:lang w:val="en-US" w:eastAsia="zh-CN"/>
                    </w:rPr>
                  </w:pPr>
                  <w:r>
                    <w:rPr>
                      <w:rFonts w:hint="eastAsia"/>
                      <w:color w:val="auto"/>
                      <w:lang w:val="en-US" w:eastAsia="zh-CN"/>
                    </w:rPr>
                    <w:t>0</w:t>
                  </w:r>
                </w:p>
              </w:tc>
              <w:tc>
                <w:tcPr>
                  <w:tcW w:w="945" w:type="dxa"/>
                  <w:vAlign w:val="center"/>
                </w:tcPr>
                <w:p w14:paraId="4F8539AA">
                  <w:pPr>
                    <w:widowControl/>
                    <w:jc w:val="center"/>
                    <w:textAlignment w:val="center"/>
                    <w:rPr>
                      <w:rFonts w:hint="default"/>
                      <w:color w:val="auto"/>
                      <w:lang w:val="en-US" w:eastAsia="zh-CN"/>
                    </w:rPr>
                  </w:pPr>
                  <w:r>
                    <w:rPr>
                      <w:rFonts w:hint="eastAsia"/>
                      <w:color w:val="auto"/>
                      <w:lang w:val="en-US" w:eastAsia="zh-CN"/>
                    </w:rPr>
                    <w:t>800万张</w:t>
                  </w:r>
                </w:p>
              </w:tc>
              <w:tc>
                <w:tcPr>
                  <w:tcW w:w="1063" w:type="dxa"/>
                  <w:vAlign w:val="center"/>
                </w:tcPr>
                <w:p w14:paraId="079B8878">
                  <w:pPr>
                    <w:widowControl/>
                    <w:jc w:val="center"/>
                    <w:textAlignment w:val="center"/>
                    <w:rPr>
                      <w:rFonts w:hint="eastAsia"/>
                      <w:color w:val="auto"/>
                      <w:lang w:val="en-US" w:eastAsia="zh-CN"/>
                    </w:rPr>
                  </w:pPr>
                  <w:r>
                    <w:rPr>
                      <w:rFonts w:hint="eastAsia"/>
                      <w:color w:val="auto"/>
                      <w:lang w:val="en-US" w:eastAsia="zh-CN"/>
                    </w:rPr>
                    <w:t>800万张</w:t>
                  </w:r>
                </w:p>
              </w:tc>
              <w:tc>
                <w:tcPr>
                  <w:tcW w:w="599" w:type="dxa"/>
                  <w:vAlign w:val="center"/>
                </w:tcPr>
                <w:p w14:paraId="00C7BA5F">
                  <w:pPr>
                    <w:widowControl/>
                    <w:jc w:val="center"/>
                    <w:textAlignment w:val="center"/>
                    <w:rPr>
                      <w:rFonts w:hint="default"/>
                      <w:color w:val="auto"/>
                      <w:lang w:val="en-US" w:eastAsia="zh-CN"/>
                    </w:rPr>
                  </w:pPr>
                  <w:r>
                    <w:rPr>
                      <w:rFonts w:hint="eastAsia"/>
                      <w:color w:val="auto"/>
                      <w:lang w:val="en-US" w:eastAsia="zh-CN"/>
                    </w:rPr>
                    <w:t>+800万张</w:t>
                  </w:r>
                </w:p>
              </w:tc>
              <w:tc>
                <w:tcPr>
                  <w:tcW w:w="705" w:type="dxa"/>
                  <w:vAlign w:val="center"/>
                </w:tcPr>
                <w:p w14:paraId="2E1023CE">
                  <w:pPr>
                    <w:widowControl/>
                    <w:jc w:val="center"/>
                    <w:textAlignment w:val="center"/>
                    <w:rPr>
                      <w:rFonts w:hint="default"/>
                      <w:color w:val="auto"/>
                      <w:lang w:val="en-US" w:eastAsia="zh-CN"/>
                    </w:rPr>
                  </w:pPr>
                  <w:r>
                    <w:rPr>
                      <w:rFonts w:hint="eastAsia"/>
                      <w:color w:val="auto"/>
                      <w:lang w:val="en-US" w:eastAsia="zh-CN"/>
                    </w:rPr>
                    <w:t>100万张</w:t>
                  </w:r>
                </w:p>
              </w:tc>
            </w:tr>
            <w:tr w14:paraId="4E6C16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8" w:type="dxa"/>
                  <w:vAlign w:val="center"/>
                </w:tcPr>
                <w:p w14:paraId="6BF53556">
                  <w:pPr>
                    <w:spacing w:line="280" w:lineRule="exact"/>
                    <w:jc w:val="center"/>
                    <w:rPr>
                      <w:rFonts w:hint="default" w:eastAsia="宋体"/>
                      <w:color w:val="auto"/>
                      <w:lang w:val="en-US" w:eastAsia="zh-CN"/>
                    </w:rPr>
                  </w:pPr>
                  <w:r>
                    <w:rPr>
                      <w:rFonts w:hint="eastAsia"/>
                      <w:color w:val="auto"/>
                      <w:lang w:val="en-US" w:eastAsia="zh-CN"/>
                    </w:rPr>
                    <w:t>17</w:t>
                  </w:r>
                </w:p>
              </w:tc>
              <w:tc>
                <w:tcPr>
                  <w:tcW w:w="1168" w:type="dxa"/>
                  <w:vAlign w:val="center"/>
                </w:tcPr>
                <w:p w14:paraId="00026E08">
                  <w:pPr>
                    <w:widowControl/>
                    <w:jc w:val="center"/>
                    <w:textAlignment w:val="bottom"/>
                    <w:rPr>
                      <w:rFonts w:hint="eastAsia" w:eastAsia="宋体"/>
                      <w:color w:val="auto"/>
                      <w:lang w:val="en-US" w:eastAsia="zh-CN"/>
                    </w:rPr>
                  </w:pPr>
                  <w:r>
                    <w:rPr>
                      <w:rFonts w:hint="eastAsia"/>
                      <w:color w:val="auto"/>
                      <w:lang w:val="en-US" w:eastAsia="zh-CN"/>
                    </w:rPr>
                    <w:t>油墨（VOCs含量57%）</w:t>
                  </w:r>
                </w:p>
              </w:tc>
              <w:tc>
                <w:tcPr>
                  <w:tcW w:w="1980" w:type="dxa"/>
                  <w:vAlign w:val="center"/>
                </w:tcPr>
                <w:p w14:paraId="64E21B06">
                  <w:pPr>
                    <w:spacing w:line="280" w:lineRule="exact"/>
                    <w:jc w:val="center"/>
                    <w:rPr>
                      <w:rFonts w:hint="default" w:eastAsia="宋体"/>
                      <w:color w:val="auto"/>
                      <w:lang w:val="en-US" w:eastAsia="zh-CN"/>
                    </w:rPr>
                  </w:pPr>
                  <w:r>
                    <w:rPr>
                      <w:rFonts w:hint="eastAsia"/>
                      <w:color w:val="auto"/>
                    </w:rPr>
                    <w:t>乙</w:t>
                  </w:r>
                  <w:r>
                    <w:rPr>
                      <w:rFonts w:hint="eastAsia"/>
                      <w:color w:val="auto"/>
                      <w:lang w:val="en-US" w:eastAsia="zh-CN"/>
                    </w:rPr>
                    <w:t>二</w:t>
                  </w:r>
                  <w:r>
                    <w:rPr>
                      <w:rFonts w:hint="eastAsia"/>
                      <w:color w:val="auto"/>
                    </w:rPr>
                    <w:t>醇丁醚醋酸酯</w:t>
                  </w:r>
                  <w:r>
                    <w:rPr>
                      <w:rFonts w:hint="eastAsia"/>
                      <w:color w:val="auto"/>
                      <w:lang w:val="en-US" w:eastAsia="zh-CN"/>
                    </w:rPr>
                    <w:t>50-100%</w:t>
                  </w:r>
                </w:p>
              </w:tc>
              <w:tc>
                <w:tcPr>
                  <w:tcW w:w="1005" w:type="dxa"/>
                  <w:shd w:val="clear" w:color="auto" w:fill="auto"/>
                  <w:vAlign w:val="center"/>
                </w:tcPr>
                <w:p w14:paraId="0139C7F4">
                  <w:pPr>
                    <w:widowControl/>
                    <w:jc w:val="center"/>
                    <w:textAlignment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0</w:t>
                  </w:r>
                </w:p>
              </w:tc>
              <w:tc>
                <w:tcPr>
                  <w:tcW w:w="945" w:type="dxa"/>
                  <w:shd w:val="clear" w:color="auto" w:fill="auto"/>
                  <w:vAlign w:val="center"/>
                </w:tcPr>
                <w:p w14:paraId="3A96C802">
                  <w:pPr>
                    <w:widowControl/>
                    <w:jc w:val="center"/>
                    <w:textAlignment w:val="center"/>
                    <w:rPr>
                      <w:rFonts w:hint="default" w:ascii="Times New Roman" w:hAnsi="Times New Roman" w:eastAsia="宋体" w:cs="Times New Roman"/>
                      <w:color w:val="auto"/>
                      <w:kern w:val="2"/>
                      <w:sz w:val="21"/>
                      <w:szCs w:val="24"/>
                      <w:lang w:val="en-US" w:eastAsia="zh-CN" w:bidi="ar-SA"/>
                    </w:rPr>
                  </w:pPr>
                  <w:r>
                    <w:rPr>
                      <w:rFonts w:hint="eastAsia"/>
                      <w:color w:val="auto"/>
                      <w:lang w:val="en-US" w:eastAsia="zh-CN"/>
                    </w:rPr>
                    <w:t>0.2</w:t>
                  </w:r>
                </w:p>
              </w:tc>
              <w:tc>
                <w:tcPr>
                  <w:tcW w:w="1063" w:type="dxa"/>
                  <w:shd w:val="clear" w:color="auto" w:fill="auto"/>
                  <w:vAlign w:val="center"/>
                </w:tcPr>
                <w:p w14:paraId="3FA75DA8">
                  <w:pPr>
                    <w:widowControl/>
                    <w:jc w:val="center"/>
                    <w:textAlignment w:val="center"/>
                    <w:rPr>
                      <w:rFonts w:hint="default" w:ascii="Times New Roman" w:hAnsi="Times New Roman" w:eastAsia="宋体" w:cs="Times New Roman"/>
                      <w:color w:val="auto"/>
                      <w:kern w:val="2"/>
                      <w:sz w:val="21"/>
                      <w:szCs w:val="24"/>
                      <w:lang w:val="en-US" w:eastAsia="zh-CN" w:bidi="ar-SA"/>
                    </w:rPr>
                  </w:pPr>
                  <w:r>
                    <w:rPr>
                      <w:rFonts w:hint="eastAsia"/>
                      <w:color w:val="auto"/>
                      <w:lang w:val="en-US" w:eastAsia="zh-CN"/>
                    </w:rPr>
                    <w:t>0.2</w:t>
                  </w:r>
                </w:p>
              </w:tc>
              <w:tc>
                <w:tcPr>
                  <w:tcW w:w="599" w:type="dxa"/>
                  <w:vAlign w:val="center"/>
                </w:tcPr>
                <w:p w14:paraId="22586A56">
                  <w:pPr>
                    <w:widowControl/>
                    <w:jc w:val="center"/>
                    <w:textAlignment w:val="center"/>
                    <w:rPr>
                      <w:rFonts w:hint="default" w:eastAsia="宋体"/>
                      <w:color w:val="auto"/>
                      <w:lang w:val="en-US" w:eastAsia="zh-CN"/>
                    </w:rPr>
                  </w:pPr>
                  <w:r>
                    <w:rPr>
                      <w:rFonts w:hint="eastAsia"/>
                      <w:color w:val="auto"/>
                      <w:lang w:val="en-US" w:eastAsia="zh-CN"/>
                    </w:rPr>
                    <w:t>+0.2</w:t>
                  </w:r>
                </w:p>
              </w:tc>
              <w:tc>
                <w:tcPr>
                  <w:tcW w:w="705" w:type="dxa"/>
                  <w:vAlign w:val="center"/>
                </w:tcPr>
                <w:p w14:paraId="5D08BDEB">
                  <w:pPr>
                    <w:widowControl/>
                    <w:jc w:val="center"/>
                    <w:textAlignment w:val="center"/>
                    <w:rPr>
                      <w:rFonts w:hint="default" w:eastAsia="宋体"/>
                      <w:color w:val="auto"/>
                      <w:lang w:val="en-US" w:eastAsia="zh-CN"/>
                    </w:rPr>
                  </w:pPr>
                  <w:r>
                    <w:rPr>
                      <w:rFonts w:hint="eastAsia"/>
                      <w:color w:val="auto"/>
                      <w:lang w:val="en-US" w:eastAsia="zh-CN"/>
                    </w:rPr>
                    <w:t>0.2</w:t>
                  </w:r>
                </w:p>
              </w:tc>
            </w:tr>
            <w:tr w14:paraId="74CD69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943" w:type="dxa"/>
                  <w:gridSpan w:val="8"/>
                  <w:vAlign w:val="center"/>
                </w:tcPr>
                <w:p w14:paraId="4ACDDE9E">
                  <w:pPr>
                    <w:widowControl/>
                    <w:jc w:val="both"/>
                    <w:textAlignment w:val="center"/>
                    <w:rPr>
                      <w:rFonts w:hint="eastAsia"/>
                      <w:color w:val="auto"/>
                      <w:lang w:val="en-US" w:eastAsia="zh-CN"/>
                    </w:rPr>
                  </w:pPr>
                  <w:r>
                    <w:rPr>
                      <w:rFonts w:hint="eastAsia"/>
                      <w:color w:val="auto"/>
                      <w:szCs w:val="21"/>
                      <w:lang w:val="en-US" w:eastAsia="zh-CN"/>
                    </w:rPr>
                    <w:t>经检测，</w:t>
                  </w:r>
                  <w:r>
                    <w:rPr>
                      <w:rFonts w:hint="eastAsia"/>
                      <w:color w:val="auto"/>
                      <w:szCs w:val="21"/>
                    </w:rPr>
                    <w:t>油墨</w:t>
                  </w:r>
                  <w:r>
                    <w:rPr>
                      <w:rFonts w:hint="eastAsia"/>
                      <w:color w:val="auto"/>
                      <w:szCs w:val="21"/>
                      <w:lang w:val="en-US" w:eastAsia="zh-CN"/>
                    </w:rPr>
                    <w:t>中VOCs含量为57%</w:t>
                  </w:r>
                  <w:r>
                    <w:rPr>
                      <w:rFonts w:hint="eastAsia" w:ascii="Times New Roman" w:hAnsi="Times New Roman" w:eastAsia="宋体" w:cs="Times New Roman"/>
                      <w:color w:val="auto"/>
                      <w:szCs w:val="21"/>
                      <w:lang w:val="en-US" w:eastAsia="zh-CN"/>
                    </w:rPr>
                    <w:t>，未达到《油墨中可挥发性有机化合物（VOCs）含量的限值》（GB38507-2020）表1中溶剂油墨-网印油墨限值75%。</w:t>
                  </w:r>
                </w:p>
              </w:tc>
            </w:tr>
          </w:tbl>
          <w:p w14:paraId="63EF773E">
            <w:pPr>
              <w:adjustRightInd w:val="0"/>
              <w:snapToGrid w:val="0"/>
              <w:spacing w:before="120" w:beforeLines="50"/>
              <w:jc w:val="center"/>
              <w:rPr>
                <w:rFonts w:hint="eastAsia" w:ascii="宋体" w:hAnsi="宋体" w:cs="宋体"/>
                <w:b/>
                <w:color w:val="auto"/>
                <w:szCs w:val="21"/>
              </w:rPr>
            </w:pPr>
            <w:r>
              <w:rPr>
                <w:rFonts w:hint="eastAsia" w:ascii="宋体" w:hAnsi="宋体" w:cs="宋体"/>
                <w:b/>
                <w:color w:val="auto"/>
                <w:szCs w:val="21"/>
              </w:rPr>
              <w:t>表</w:t>
            </w:r>
            <w:r>
              <w:rPr>
                <w:b/>
                <w:color w:val="auto"/>
                <w:szCs w:val="21"/>
              </w:rPr>
              <w:t>2</w:t>
            </w:r>
            <w:r>
              <w:rPr>
                <w:rFonts w:hint="eastAsia" w:ascii="宋体" w:hAnsi="宋体" w:cs="宋体"/>
                <w:b/>
                <w:color w:val="auto"/>
                <w:szCs w:val="21"/>
              </w:rPr>
              <w:t>-</w:t>
            </w:r>
            <w:r>
              <w:rPr>
                <w:rFonts w:hint="eastAsia"/>
                <w:b/>
                <w:color w:val="auto"/>
                <w:szCs w:val="21"/>
                <w:lang w:val="en-US" w:eastAsia="zh-CN"/>
              </w:rPr>
              <w:t>7</w:t>
            </w:r>
            <w:r>
              <w:rPr>
                <w:rFonts w:hint="eastAsia"/>
                <w:b/>
                <w:color w:val="auto"/>
                <w:szCs w:val="21"/>
              </w:rPr>
              <w:t xml:space="preserve"> </w:t>
            </w:r>
            <w:r>
              <w:rPr>
                <w:rFonts w:hint="eastAsia" w:ascii="宋体" w:hAnsi="宋体" w:cs="宋体"/>
                <w:b/>
                <w:color w:val="auto"/>
                <w:szCs w:val="21"/>
              </w:rPr>
              <w:t>扩建项目主要原辅材料理化性质一览表</w:t>
            </w:r>
          </w:p>
          <w:tbl>
            <w:tblPr>
              <w:tblStyle w:val="30"/>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678"/>
              <w:gridCol w:w="4650"/>
              <w:gridCol w:w="750"/>
              <w:gridCol w:w="1867"/>
            </w:tblGrid>
            <w:tr w14:paraId="39A4173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cantSplit/>
                <w:trHeight w:val="340" w:hRule="atLeast"/>
                <w:jc w:val="center"/>
              </w:trPr>
              <w:tc>
                <w:tcPr>
                  <w:tcW w:w="678" w:type="dxa"/>
                  <w:tcMar>
                    <w:left w:w="0" w:type="dxa"/>
                    <w:right w:w="0" w:type="dxa"/>
                  </w:tcMar>
                  <w:vAlign w:val="center"/>
                </w:tcPr>
                <w:p w14:paraId="74BE64FB">
                  <w:pPr>
                    <w:jc w:val="center"/>
                    <w:rPr>
                      <w:b/>
                      <w:bCs/>
                      <w:color w:val="auto"/>
                      <w:szCs w:val="21"/>
                    </w:rPr>
                  </w:pPr>
                  <w:r>
                    <w:rPr>
                      <w:b/>
                      <w:bCs/>
                      <w:color w:val="auto"/>
                      <w:szCs w:val="21"/>
                    </w:rPr>
                    <w:t>名称</w:t>
                  </w:r>
                </w:p>
              </w:tc>
              <w:tc>
                <w:tcPr>
                  <w:tcW w:w="4650" w:type="dxa"/>
                  <w:tcMar>
                    <w:left w:w="0" w:type="dxa"/>
                    <w:right w:w="0" w:type="dxa"/>
                  </w:tcMar>
                  <w:vAlign w:val="center"/>
                </w:tcPr>
                <w:p w14:paraId="4734DAC2">
                  <w:pPr>
                    <w:jc w:val="center"/>
                    <w:rPr>
                      <w:b/>
                      <w:bCs/>
                      <w:color w:val="auto"/>
                      <w:szCs w:val="21"/>
                    </w:rPr>
                  </w:pPr>
                  <w:r>
                    <w:rPr>
                      <w:b/>
                      <w:bCs/>
                      <w:color w:val="auto"/>
                      <w:szCs w:val="21"/>
                    </w:rPr>
                    <w:t>理化特性</w:t>
                  </w:r>
                </w:p>
              </w:tc>
              <w:tc>
                <w:tcPr>
                  <w:tcW w:w="750" w:type="dxa"/>
                  <w:vAlign w:val="center"/>
                </w:tcPr>
                <w:p w14:paraId="51B91BC4">
                  <w:pPr>
                    <w:jc w:val="center"/>
                    <w:rPr>
                      <w:b/>
                      <w:bCs/>
                      <w:color w:val="auto"/>
                      <w:szCs w:val="21"/>
                    </w:rPr>
                  </w:pPr>
                  <w:r>
                    <w:rPr>
                      <w:b/>
                      <w:bCs/>
                      <w:color w:val="auto"/>
                      <w:szCs w:val="21"/>
                    </w:rPr>
                    <w:t>燃烧爆炸性</w:t>
                  </w:r>
                </w:p>
              </w:tc>
              <w:tc>
                <w:tcPr>
                  <w:tcW w:w="1867" w:type="dxa"/>
                  <w:vAlign w:val="center"/>
                </w:tcPr>
                <w:p w14:paraId="456B1F7F">
                  <w:pPr>
                    <w:jc w:val="center"/>
                    <w:rPr>
                      <w:b/>
                      <w:bCs/>
                      <w:color w:val="auto"/>
                      <w:szCs w:val="21"/>
                    </w:rPr>
                  </w:pPr>
                  <w:r>
                    <w:rPr>
                      <w:b/>
                      <w:bCs/>
                      <w:color w:val="auto"/>
                      <w:szCs w:val="21"/>
                    </w:rPr>
                    <w:t>毒理毒性</w:t>
                  </w:r>
                </w:p>
              </w:tc>
            </w:tr>
            <w:tr w14:paraId="4ACF292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678" w:type="dxa"/>
                  <w:tcMar>
                    <w:left w:w="0" w:type="dxa"/>
                    <w:right w:w="0" w:type="dxa"/>
                  </w:tcMar>
                  <w:vAlign w:val="center"/>
                </w:tcPr>
                <w:p w14:paraId="6E9F8788">
                  <w:pPr>
                    <w:widowControl/>
                    <w:jc w:val="center"/>
                    <w:rPr>
                      <w:rFonts w:hint="eastAsia" w:eastAsia="宋体"/>
                      <w:color w:val="auto"/>
                      <w:szCs w:val="21"/>
                      <w:lang w:val="en-US" w:eastAsia="zh-CN"/>
                    </w:rPr>
                  </w:pPr>
                  <w:r>
                    <w:rPr>
                      <w:rFonts w:hint="eastAsia"/>
                      <w:color w:val="auto"/>
                      <w:szCs w:val="21"/>
                      <w:lang w:val="en-US" w:eastAsia="zh-CN"/>
                    </w:rPr>
                    <w:t>氢氟酸</w:t>
                  </w:r>
                </w:p>
              </w:tc>
              <w:tc>
                <w:tcPr>
                  <w:tcW w:w="4650" w:type="dxa"/>
                  <w:tcMar>
                    <w:left w:w="0" w:type="dxa"/>
                    <w:right w:w="0" w:type="dxa"/>
                  </w:tcMar>
                  <w:vAlign w:val="center"/>
                </w:tcPr>
                <w:p w14:paraId="6E9958F2">
                  <w:pPr>
                    <w:pStyle w:val="75"/>
                    <w:autoSpaceDE w:val="0"/>
                    <w:autoSpaceDN w:val="0"/>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无色透明、有刺激性臭味的液体，具有极强的腐蚀性。与水混溶，溶于乙醇，微溶于乙醚。熔点-83.1</w:t>
                  </w:r>
                  <w:r>
                    <w:rPr>
                      <w:rFonts w:ascii="Times New Roman" w:hAnsi="Times New Roman" w:cs="Times New Roman"/>
                      <w:color w:val="auto"/>
                      <w:sz w:val="21"/>
                      <w:szCs w:val="21"/>
                      <w:lang w:eastAsia="zh-CN"/>
                    </w:rPr>
                    <w:t>℃</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纯</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相对密度（水）：1.26（75%）。</w:t>
                  </w:r>
                </w:p>
              </w:tc>
              <w:tc>
                <w:tcPr>
                  <w:tcW w:w="750" w:type="dxa"/>
                  <w:vAlign w:val="center"/>
                </w:tcPr>
                <w:p w14:paraId="5F0787DB">
                  <w:pPr>
                    <w:jc w:val="center"/>
                    <w:rPr>
                      <w:rFonts w:hint="eastAsia" w:eastAsia="宋体"/>
                      <w:color w:val="auto"/>
                      <w:szCs w:val="21"/>
                      <w:lang w:val="en-US" w:eastAsia="zh-CN"/>
                    </w:rPr>
                  </w:pPr>
                  <w:r>
                    <w:rPr>
                      <w:rFonts w:hint="eastAsia"/>
                      <w:color w:val="auto"/>
                      <w:szCs w:val="21"/>
                      <w:lang w:val="en-US" w:eastAsia="zh-CN"/>
                    </w:rPr>
                    <w:t>不燃</w:t>
                  </w:r>
                </w:p>
              </w:tc>
              <w:tc>
                <w:tcPr>
                  <w:tcW w:w="1867" w:type="dxa"/>
                  <w:vAlign w:val="center"/>
                </w:tcPr>
                <w:p w14:paraId="233FD437">
                  <w:pPr>
                    <w:pStyle w:val="75"/>
                    <w:autoSpaceDE w:val="0"/>
                    <w:autoSpaceDN w:val="0"/>
                    <w:rPr>
                      <w:rFonts w:hint="eastAsia" w:ascii="Times New Roman" w:hAnsi="Times New Roman" w:eastAsia="宋体" w:cs="Times New Roman"/>
                      <w:color w:val="auto"/>
                      <w:sz w:val="21"/>
                      <w:szCs w:val="21"/>
                      <w:lang w:val="en-US" w:eastAsia="zh-CN"/>
                    </w:rPr>
                  </w:pPr>
                  <w:r>
                    <w:rPr>
                      <w:rFonts w:ascii="Times New Roman" w:hAnsi="Times New Roman" w:cs="Times New Roman"/>
                      <w:color w:val="auto"/>
                      <w:sz w:val="21"/>
                      <w:szCs w:val="21"/>
                    </w:rPr>
                    <w:t>LC</w:t>
                  </w:r>
                  <w:r>
                    <w:rPr>
                      <w:rFonts w:ascii="Times New Roman" w:hAnsi="Times New Roman" w:cs="Times New Roman"/>
                      <w:color w:val="auto"/>
                      <w:sz w:val="21"/>
                      <w:szCs w:val="21"/>
                      <w:vertAlign w:val="subscript"/>
                    </w:rPr>
                    <w:t>50</w:t>
                  </w:r>
                  <w:r>
                    <w:rPr>
                      <w:rFonts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1044</w:t>
                  </w:r>
                  <w:r>
                    <w:rPr>
                      <w:rFonts w:ascii="Times New Roman" w:hAnsi="Times New Roman" w:cs="Times New Roman"/>
                      <w:color w:val="auto"/>
                      <w:sz w:val="21"/>
                      <w:szCs w:val="21"/>
                    </w:rPr>
                    <w:t>mg/m</w:t>
                  </w:r>
                  <w:r>
                    <w:rPr>
                      <w:rFonts w:ascii="Times New Roman" w:hAnsi="Times New Roman" w:cs="Times New Roman"/>
                      <w:color w:val="auto"/>
                      <w:sz w:val="21"/>
                      <w:szCs w:val="21"/>
                      <w:vertAlign w:val="superscript"/>
                      <w:lang w:eastAsia="zh-CN"/>
                    </w:rPr>
                    <w:t>3</w:t>
                  </w:r>
                  <w:r>
                    <w:rPr>
                      <w:rFonts w:ascii="Times New Roman" w:hAnsi="Times New Roman" w:cs="Times New Roman"/>
                      <w:color w:val="auto"/>
                      <w:sz w:val="21"/>
                      <w:szCs w:val="21"/>
                    </w:rPr>
                    <w:t>（大鼠吸入</w:t>
                  </w:r>
                  <w:r>
                    <w:rPr>
                      <w:rFonts w:hint="eastAsia" w:ascii="Times New Roman" w:hAnsi="Times New Roman" w:cs="Times New Roman"/>
                      <w:color w:val="auto"/>
                      <w:sz w:val="21"/>
                      <w:szCs w:val="21"/>
                      <w:lang w:eastAsia="zh-CN"/>
                    </w:rPr>
                    <w:t>）</w:t>
                  </w:r>
                </w:p>
              </w:tc>
            </w:tr>
            <w:tr w14:paraId="6CB2D2D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678" w:type="dxa"/>
                  <w:tcMar>
                    <w:left w:w="0" w:type="dxa"/>
                    <w:right w:w="0" w:type="dxa"/>
                  </w:tcMar>
                  <w:vAlign w:val="center"/>
                </w:tcPr>
                <w:p w14:paraId="29AC3BA4">
                  <w:pPr>
                    <w:widowControl/>
                    <w:jc w:val="center"/>
                    <w:rPr>
                      <w:rFonts w:hint="default"/>
                      <w:color w:val="auto"/>
                      <w:szCs w:val="21"/>
                      <w:lang w:val="en-US" w:eastAsia="zh-CN"/>
                    </w:rPr>
                  </w:pPr>
                  <w:r>
                    <w:rPr>
                      <w:rFonts w:hint="eastAsia"/>
                      <w:color w:val="auto"/>
                      <w:szCs w:val="21"/>
                      <w:lang w:val="en-US" w:eastAsia="zh-CN"/>
                    </w:rPr>
                    <w:t>切削液</w:t>
                  </w:r>
                </w:p>
              </w:tc>
              <w:tc>
                <w:tcPr>
                  <w:tcW w:w="4650" w:type="dxa"/>
                  <w:tcMar>
                    <w:left w:w="0" w:type="dxa"/>
                    <w:right w:w="0" w:type="dxa"/>
                  </w:tcMar>
                  <w:vAlign w:val="center"/>
                </w:tcPr>
                <w:p w14:paraId="077F9C4B">
                  <w:pPr>
                    <w:pStyle w:val="75"/>
                    <w:autoSpaceDE w:val="0"/>
                    <w:autoSpaceDN w:val="0"/>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红棕色油状液体，pH值：8.0~9.0，任意比例溶于水。精制基础油40~60%、脂肪酸酯10~20%、极压剂15~25%、脂肪醇聚醚12~20%、斯潘-80＜7%、特殊缓蚀剂KTH-505~7%。</w:t>
                  </w:r>
                </w:p>
              </w:tc>
              <w:tc>
                <w:tcPr>
                  <w:tcW w:w="750" w:type="dxa"/>
                  <w:vAlign w:val="center"/>
                </w:tcPr>
                <w:p w14:paraId="5D800AA8">
                  <w:pPr>
                    <w:jc w:val="center"/>
                    <w:rPr>
                      <w:rFonts w:hint="default"/>
                      <w:color w:val="auto"/>
                      <w:szCs w:val="21"/>
                      <w:lang w:val="en-US" w:eastAsia="zh-CN"/>
                    </w:rPr>
                  </w:pPr>
                  <w:r>
                    <w:rPr>
                      <w:rFonts w:hint="eastAsia"/>
                      <w:color w:val="auto"/>
                      <w:szCs w:val="21"/>
                      <w:lang w:val="en-US" w:eastAsia="zh-CN"/>
                    </w:rPr>
                    <w:t>不燃</w:t>
                  </w:r>
                </w:p>
              </w:tc>
              <w:tc>
                <w:tcPr>
                  <w:tcW w:w="1867" w:type="dxa"/>
                  <w:vAlign w:val="center"/>
                </w:tcPr>
                <w:p w14:paraId="097AAB79">
                  <w:pPr>
                    <w:pStyle w:val="75"/>
                    <w:autoSpaceDE w:val="0"/>
                    <w:autoSpaceDN w:val="0"/>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r>
            <w:tr w14:paraId="268226A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678" w:type="dxa"/>
                  <w:tcMar>
                    <w:left w:w="0" w:type="dxa"/>
                    <w:right w:w="0" w:type="dxa"/>
                  </w:tcMar>
                  <w:vAlign w:val="center"/>
                </w:tcPr>
                <w:p w14:paraId="70D830D2">
                  <w:pPr>
                    <w:widowControl/>
                    <w:jc w:val="center"/>
                    <w:rPr>
                      <w:rFonts w:hint="eastAsia" w:eastAsia="宋体"/>
                      <w:color w:val="auto"/>
                      <w:szCs w:val="21"/>
                      <w:lang w:val="en-US" w:eastAsia="zh-CN"/>
                    </w:rPr>
                  </w:pPr>
                  <w:r>
                    <w:rPr>
                      <w:rFonts w:hint="eastAsia"/>
                      <w:color w:val="auto"/>
                      <w:szCs w:val="21"/>
                      <w:lang w:val="en-US" w:eastAsia="zh-CN"/>
                    </w:rPr>
                    <w:t>油墨</w:t>
                  </w:r>
                </w:p>
              </w:tc>
              <w:tc>
                <w:tcPr>
                  <w:tcW w:w="4650" w:type="dxa"/>
                  <w:tcMar>
                    <w:left w:w="0" w:type="dxa"/>
                    <w:right w:w="0" w:type="dxa"/>
                  </w:tcMar>
                  <w:vAlign w:val="center"/>
                </w:tcPr>
                <w:p w14:paraId="20893BBE">
                  <w:pPr>
                    <w:pStyle w:val="75"/>
                    <w:autoSpaceDE w:val="0"/>
                    <w:autoSpaceDN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液体，不溶于水，密度（20</w:t>
                  </w:r>
                  <w:r>
                    <w:rPr>
                      <w:rFonts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）：0.94g/cm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lang w:val="en-US" w:eastAsia="zh-CN"/>
                    </w:rPr>
                    <w:t>。爆炸下限：1.7Vol%，爆炸上限：8.4Vol%，闪点78</w:t>
                  </w:r>
                  <w:r>
                    <w:rPr>
                      <w:rFonts w:ascii="Times New Roman" w:hAnsi="Times New Roman" w:cs="Times New Roman"/>
                      <w:color w:val="auto"/>
                      <w:sz w:val="21"/>
                      <w:szCs w:val="21"/>
                      <w:lang w:eastAsia="zh-CN"/>
                    </w:rPr>
                    <w:t>℃</w:t>
                  </w:r>
                  <w:r>
                    <w:rPr>
                      <w:rFonts w:hint="eastAsia" w:ascii="Times New Roman" w:hAnsi="Times New Roman" w:cs="Times New Roman"/>
                      <w:color w:val="auto"/>
                      <w:sz w:val="21"/>
                      <w:szCs w:val="21"/>
                      <w:lang w:eastAsia="zh-CN"/>
                    </w:rPr>
                    <w:t>。</w:t>
                  </w:r>
                </w:p>
              </w:tc>
              <w:tc>
                <w:tcPr>
                  <w:tcW w:w="750" w:type="dxa"/>
                  <w:vAlign w:val="center"/>
                </w:tcPr>
                <w:p w14:paraId="3863A042">
                  <w:pPr>
                    <w:jc w:val="center"/>
                    <w:rPr>
                      <w:rFonts w:hint="default" w:eastAsia="宋体"/>
                      <w:color w:val="auto"/>
                      <w:szCs w:val="21"/>
                      <w:lang w:val="en-US" w:eastAsia="zh-CN"/>
                    </w:rPr>
                  </w:pPr>
                  <w:r>
                    <w:rPr>
                      <w:rFonts w:hint="eastAsia"/>
                      <w:color w:val="auto"/>
                      <w:szCs w:val="21"/>
                      <w:lang w:val="en-US" w:eastAsia="zh-CN"/>
                    </w:rPr>
                    <w:t>不燃</w:t>
                  </w:r>
                </w:p>
              </w:tc>
              <w:tc>
                <w:tcPr>
                  <w:tcW w:w="1867" w:type="dxa"/>
                  <w:vAlign w:val="center"/>
                </w:tcPr>
                <w:p w14:paraId="6B970F86">
                  <w:pPr>
                    <w:pStyle w:val="75"/>
                    <w:autoSpaceDE w:val="0"/>
                    <w:autoSpaceDN w:val="0"/>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LD</w:t>
                  </w:r>
                  <w:r>
                    <w:rPr>
                      <w:rFonts w:hint="eastAsia" w:ascii="Times New Roman" w:hAnsi="Times New Roman" w:cs="Times New Roman"/>
                      <w:color w:val="auto"/>
                      <w:sz w:val="21"/>
                      <w:szCs w:val="21"/>
                      <w:vertAlign w:val="subscript"/>
                      <w:lang w:val="en-US" w:eastAsia="zh-CN"/>
                    </w:rPr>
                    <w:t>50</w:t>
                  </w:r>
                  <w:r>
                    <w:rPr>
                      <w:rFonts w:hint="eastAsia" w:ascii="Times New Roman" w:hAnsi="Times New Roman" w:cs="Times New Roman"/>
                      <w:color w:val="auto"/>
                      <w:sz w:val="21"/>
                      <w:szCs w:val="21"/>
                      <w:lang w:val="en-US" w:eastAsia="zh-CN"/>
                    </w:rPr>
                    <w:t>：1500mg/kg（兔子经皮）</w:t>
                  </w:r>
                </w:p>
              </w:tc>
            </w:tr>
          </w:tbl>
          <w:p w14:paraId="4F59F6A8">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textAlignment w:val="auto"/>
              <w:rPr>
                <w:rFonts w:hint="eastAsia"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5、</w:t>
            </w:r>
            <w:r>
              <w:rPr>
                <w:rFonts w:hint="eastAsia" w:cs="Times New Roman"/>
                <w:b/>
                <w:bCs/>
                <w:color w:val="auto"/>
                <w:kern w:val="2"/>
                <w:sz w:val="21"/>
                <w:szCs w:val="21"/>
                <w:lang w:val="en-US" w:eastAsia="zh-CN" w:bidi="ar-SA"/>
              </w:rPr>
              <w:t>元素平衡</w:t>
            </w:r>
          </w:p>
          <w:p w14:paraId="5D21F5D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cs="Times New Roman"/>
                <w:color w:val="auto"/>
                <w:sz w:val="21"/>
                <w:szCs w:val="21"/>
                <w:highlight w:val="none"/>
                <w:lang w:val="en-US" w:eastAsia="zh-CN"/>
              </w:rPr>
            </w:pPr>
            <w:r>
              <w:rPr>
                <w:rFonts w:hint="eastAsia"/>
                <w:color w:val="auto"/>
                <w:sz w:val="21"/>
                <w:szCs w:val="21"/>
                <w:highlight w:val="none"/>
                <w:lang w:val="en-US" w:eastAsia="zh-CN"/>
              </w:rPr>
              <w:t>本项目酸洗工序使用40%氢氟酸，用量为1t/a，则氟元素量约为0.4t/a，全部进入清洗废水中，污水处理设施氟化物处理效率96%，则氟元素外排量为0.016t/a，</w:t>
            </w:r>
            <w:r>
              <w:rPr>
                <w:rFonts w:hint="eastAsia" w:ascii="Times New Roman" w:hAnsi="Times New Roman" w:cs="Times New Roman"/>
                <w:color w:val="auto"/>
                <w:sz w:val="21"/>
                <w:szCs w:val="21"/>
                <w:highlight w:val="none"/>
                <w:lang w:val="en-US" w:eastAsia="zh-CN"/>
              </w:rPr>
              <w:t>项目氟元素平衡表见下表。</w:t>
            </w:r>
          </w:p>
          <w:p w14:paraId="283AF417">
            <w:pPr>
              <w:keepNext w:val="0"/>
              <w:keepLines w:val="0"/>
              <w:pageBreakBefore w:val="0"/>
              <w:widowControl w:val="0"/>
              <w:shd w:val="clear" w:color="auto" w:fill="auto"/>
              <w:kinsoku/>
              <w:wordWrap/>
              <w:overflowPunct/>
              <w:topLinePunct w:val="0"/>
              <w:autoSpaceDE/>
              <w:autoSpaceDN/>
              <w:bidi w:val="0"/>
              <w:adjustRightInd/>
              <w:snapToGrid/>
              <w:spacing w:before="157" w:beforeLines="50"/>
              <w:jc w:val="center"/>
              <w:textAlignment w:val="auto"/>
              <w:rPr>
                <w:rFonts w:ascii="Times New Roman" w:hAnsi="Times New Roman"/>
                <w:b/>
                <w:color w:val="auto"/>
                <w:sz w:val="21"/>
                <w:szCs w:val="21"/>
                <w:highlight w:val="none"/>
              </w:rPr>
            </w:pPr>
            <w:r>
              <w:rPr>
                <w:rFonts w:ascii="Times New Roman" w:hAnsi="Times New Roman"/>
                <w:b/>
                <w:color w:val="auto"/>
                <w:sz w:val="21"/>
                <w:szCs w:val="21"/>
                <w:highlight w:val="none"/>
              </w:rPr>
              <w:t>表</w:t>
            </w:r>
            <w:r>
              <w:rPr>
                <w:rFonts w:hint="eastAsia"/>
                <w:b/>
                <w:color w:val="auto"/>
                <w:sz w:val="21"/>
                <w:szCs w:val="21"/>
                <w:highlight w:val="none"/>
                <w:lang w:val="en-US" w:eastAsia="zh-CN"/>
              </w:rPr>
              <w:t>2-8 氟</w:t>
            </w:r>
            <w:r>
              <w:rPr>
                <w:rFonts w:ascii="Times New Roman" w:hAnsi="Times New Roman"/>
                <w:b/>
                <w:color w:val="auto"/>
                <w:sz w:val="21"/>
                <w:szCs w:val="21"/>
                <w:highlight w:val="none"/>
              </w:rPr>
              <w:t>平衡表单位：t/a</w:t>
            </w:r>
          </w:p>
          <w:tbl>
            <w:tblPr>
              <w:tblStyle w:val="30"/>
              <w:tblW w:w="79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334"/>
              <w:gridCol w:w="1020"/>
              <w:gridCol w:w="1618"/>
              <w:gridCol w:w="957"/>
              <w:gridCol w:w="1857"/>
              <w:gridCol w:w="1135"/>
            </w:tblGrid>
            <w:tr w14:paraId="76511F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929" w:type="dxa"/>
                  <w:gridSpan w:val="4"/>
                  <w:tcBorders>
                    <w:tl2br w:val="nil"/>
                    <w:tr2bl w:val="nil"/>
                  </w:tcBorders>
                  <w:noWrap w:val="0"/>
                  <w:vAlign w:val="center"/>
                </w:tcPr>
                <w:p w14:paraId="58FE7DE3">
                  <w:pPr>
                    <w:shd w:val="clear" w:color="auto" w:fill="auto"/>
                    <w:jc w:val="center"/>
                    <w:rPr>
                      <w:rFonts w:ascii="Times New Roman" w:hAnsi="Times New Roman"/>
                      <w:b/>
                      <w:color w:val="auto"/>
                      <w:sz w:val="21"/>
                      <w:szCs w:val="21"/>
                      <w:highlight w:val="none"/>
                    </w:rPr>
                  </w:pPr>
                  <w:r>
                    <w:rPr>
                      <w:rFonts w:ascii="Times New Roman" w:hAnsi="Times New Roman"/>
                      <w:b/>
                      <w:color w:val="auto"/>
                      <w:sz w:val="21"/>
                      <w:szCs w:val="21"/>
                      <w:highlight w:val="none"/>
                    </w:rPr>
                    <w:t>入方</w:t>
                  </w:r>
                </w:p>
              </w:tc>
              <w:tc>
                <w:tcPr>
                  <w:tcW w:w="2992" w:type="dxa"/>
                  <w:gridSpan w:val="2"/>
                  <w:tcBorders>
                    <w:tl2br w:val="nil"/>
                    <w:tr2bl w:val="nil"/>
                  </w:tcBorders>
                  <w:noWrap w:val="0"/>
                  <w:vAlign w:val="center"/>
                </w:tcPr>
                <w:p w14:paraId="75112864">
                  <w:pPr>
                    <w:shd w:val="clear" w:color="auto" w:fill="auto"/>
                    <w:jc w:val="center"/>
                    <w:rPr>
                      <w:rFonts w:ascii="Times New Roman" w:hAnsi="Times New Roman"/>
                      <w:b/>
                      <w:color w:val="auto"/>
                      <w:sz w:val="21"/>
                      <w:szCs w:val="21"/>
                      <w:highlight w:val="none"/>
                    </w:rPr>
                  </w:pPr>
                  <w:r>
                    <w:rPr>
                      <w:rFonts w:ascii="Times New Roman" w:hAnsi="Times New Roman"/>
                      <w:b/>
                      <w:color w:val="auto"/>
                      <w:sz w:val="21"/>
                      <w:szCs w:val="21"/>
                      <w:highlight w:val="none"/>
                    </w:rPr>
                    <w:t>出方</w:t>
                  </w:r>
                </w:p>
              </w:tc>
            </w:tr>
            <w:tr w14:paraId="561A64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00" w:hRule="atLeast"/>
                <w:jc w:val="center"/>
              </w:trPr>
              <w:tc>
                <w:tcPr>
                  <w:tcW w:w="1334" w:type="dxa"/>
                  <w:tcBorders>
                    <w:tl2br w:val="nil"/>
                    <w:tr2bl w:val="nil"/>
                  </w:tcBorders>
                  <w:noWrap w:val="0"/>
                  <w:vAlign w:val="center"/>
                </w:tcPr>
                <w:p w14:paraId="12A70F47">
                  <w:pPr>
                    <w:shd w:val="clear" w:color="auto" w:fill="auto"/>
                    <w:jc w:val="center"/>
                    <w:rPr>
                      <w:rFonts w:ascii="Times New Roman" w:hAnsi="Times New Roman"/>
                      <w:color w:val="auto"/>
                      <w:sz w:val="21"/>
                      <w:szCs w:val="21"/>
                      <w:highlight w:val="none"/>
                    </w:rPr>
                  </w:pPr>
                  <w:r>
                    <w:rPr>
                      <w:rFonts w:ascii="Times New Roman" w:hAnsi="Times New Roman"/>
                      <w:color w:val="auto"/>
                      <w:sz w:val="21"/>
                      <w:szCs w:val="21"/>
                      <w:highlight w:val="none"/>
                    </w:rPr>
                    <w:t>来源</w:t>
                  </w:r>
                </w:p>
              </w:tc>
              <w:tc>
                <w:tcPr>
                  <w:tcW w:w="1020" w:type="dxa"/>
                  <w:tcBorders>
                    <w:tl2br w:val="nil"/>
                    <w:tr2bl w:val="nil"/>
                  </w:tcBorders>
                  <w:noWrap w:val="0"/>
                  <w:vAlign w:val="center"/>
                </w:tcPr>
                <w:p w14:paraId="4D8BBB77">
                  <w:pPr>
                    <w:shd w:val="clear" w:color="auto" w:fill="auto"/>
                    <w:jc w:val="center"/>
                    <w:rPr>
                      <w:rFonts w:ascii="Times New Roman" w:hAnsi="Times New Roman"/>
                      <w:color w:val="auto"/>
                      <w:sz w:val="21"/>
                      <w:szCs w:val="21"/>
                      <w:highlight w:val="none"/>
                    </w:rPr>
                  </w:pPr>
                  <w:r>
                    <w:rPr>
                      <w:rFonts w:ascii="Times New Roman" w:hAnsi="Times New Roman"/>
                      <w:color w:val="auto"/>
                      <w:sz w:val="21"/>
                      <w:szCs w:val="21"/>
                      <w:highlight w:val="none"/>
                    </w:rPr>
                    <w:t>用量</w:t>
                  </w:r>
                </w:p>
              </w:tc>
              <w:tc>
                <w:tcPr>
                  <w:tcW w:w="1618" w:type="dxa"/>
                  <w:tcBorders>
                    <w:tl2br w:val="nil"/>
                    <w:tr2bl w:val="nil"/>
                  </w:tcBorders>
                  <w:noWrap w:val="0"/>
                  <w:vAlign w:val="center"/>
                </w:tcPr>
                <w:p w14:paraId="4DD06690">
                  <w:pPr>
                    <w:shd w:val="clear" w:color="auto" w:fill="auto"/>
                    <w:jc w:val="center"/>
                    <w:rPr>
                      <w:rFonts w:ascii="Times New Roman" w:hAnsi="Times New Roman"/>
                      <w:color w:val="auto"/>
                      <w:sz w:val="21"/>
                      <w:szCs w:val="21"/>
                      <w:highlight w:val="none"/>
                    </w:rPr>
                  </w:pPr>
                  <w:r>
                    <w:rPr>
                      <w:rFonts w:ascii="Times New Roman" w:hAnsi="Times New Roman"/>
                      <w:color w:val="auto"/>
                      <w:sz w:val="21"/>
                      <w:szCs w:val="21"/>
                      <w:highlight w:val="none"/>
                    </w:rPr>
                    <w:t>成分含量</w:t>
                  </w:r>
                </w:p>
              </w:tc>
              <w:tc>
                <w:tcPr>
                  <w:tcW w:w="957" w:type="dxa"/>
                  <w:tcBorders>
                    <w:tl2br w:val="nil"/>
                    <w:tr2bl w:val="nil"/>
                  </w:tcBorders>
                  <w:noWrap w:val="0"/>
                  <w:vAlign w:val="center"/>
                </w:tcPr>
                <w:p w14:paraId="58D27BBB">
                  <w:pPr>
                    <w:shd w:val="clear" w:color="auto" w:fill="auto"/>
                    <w:jc w:val="center"/>
                    <w:rPr>
                      <w:rFonts w:ascii="Times New Roman" w:hAnsi="Times New Roman"/>
                      <w:color w:val="auto"/>
                      <w:sz w:val="21"/>
                      <w:szCs w:val="21"/>
                      <w:highlight w:val="none"/>
                    </w:rPr>
                  </w:pPr>
                  <w:r>
                    <w:rPr>
                      <w:rFonts w:ascii="Times New Roman" w:hAnsi="Times New Roman"/>
                      <w:color w:val="auto"/>
                      <w:sz w:val="21"/>
                      <w:szCs w:val="21"/>
                      <w:highlight w:val="none"/>
                    </w:rPr>
                    <w:t>含</w:t>
                  </w:r>
                  <w:r>
                    <w:rPr>
                      <w:rFonts w:hint="eastAsia" w:ascii="Times New Roman" w:hAnsi="Times New Roman"/>
                      <w:color w:val="auto"/>
                      <w:sz w:val="21"/>
                      <w:szCs w:val="21"/>
                      <w:highlight w:val="none"/>
                      <w:lang w:val="en-US" w:eastAsia="zh-CN"/>
                    </w:rPr>
                    <w:t>氟</w:t>
                  </w:r>
                  <w:r>
                    <w:rPr>
                      <w:rFonts w:ascii="Times New Roman" w:hAnsi="Times New Roman"/>
                      <w:color w:val="auto"/>
                      <w:sz w:val="21"/>
                      <w:szCs w:val="21"/>
                      <w:highlight w:val="none"/>
                    </w:rPr>
                    <w:t>量</w:t>
                  </w:r>
                </w:p>
              </w:tc>
              <w:tc>
                <w:tcPr>
                  <w:tcW w:w="1857" w:type="dxa"/>
                  <w:tcBorders>
                    <w:tl2br w:val="nil"/>
                    <w:tr2bl w:val="nil"/>
                  </w:tcBorders>
                  <w:noWrap w:val="0"/>
                  <w:vAlign w:val="center"/>
                </w:tcPr>
                <w:p w14:paraId="38AC11A9">
                  <w:pPr>
                    <w:shd w:val="clear" w:color="auto" w:fill="auto"/>
                    <w:jc w:val="center"/>
                    <w:rPr>
                      <w:rFonts w:ascii="Times New Roman" w:hAnsi="Times New Roman"/>
                      <w:color w:val="auto"/>
                      <w:sz w:val="21"/>
                      <w:szCs w:val="21"/>
                      <w:highlight w:val="none"/>
                    </w:rPr>
                  </w:pPr>
                  <w:r>
                    <w:rPr>
                      <w:rFonts w:ascii="Times New Roman" w:hAnsi="Times New Roman"/>
                      <w:color w:val="auto"/>
                      <w:sz w:val="21"/>
                      <w:szCs w:val="21"/>
                      <w:highlight w:val="none"/>
                    </w:rPr>
                    <w:t>产品</w:t>
                  </w:r>
                </w:p>
              </w:tc>
              <w:tc>
                <w:tcPr>
                  <w:tcW w:w="1135" w:type="dxa"/>
                  <w:tcBorders>
                    <w:tl2br w:val="nil"/>
                    <w:tr2bl w:val="nil"/>
                  </w:tcBorders>
                  <w:noWrap w:val="0"/>
                  <w:vAlign w:val="center"/>
                </w:tcPr>
                <w:p w14:paraId="292E1A3D">
                  <w:pPr>
                    <w:shd w:val="clear" w:color="auto" w:fill="auto"/>
                    <w:jc w:val="center"/>
                    <w:rPr>
                      <w:rFonts w:ascii="Times New Roman" w:hAnsi="Times New Roman"/>
                      <w:color w:val="auto"/>
                      <w:sz w:val="21"/>
                      <w:szCs w:val="21"/>
                      <w:highlight w:val="none"/>
                    </w:rPr>
                  </w:pPr>
                  <w:r>
                    <w:rPr>
                      <w:rFonts w:ascii="Times New Roman" w:hAnsi="Times New Roman"/>
                      <w:color w:val="auto"/>
                      <w:sz w:val="21"/>
                      <w:szCs w:val="21"/>
                      <w:highlight w:val="none"/>
                    </w:rPr>
                    <w:t>含</w:t>
                  </w:r>
                  <w:r>
                    <w:rPr>
                      <w:rFonts w:hint="eastAsia"/>
                      <w:color w:val="auto"/>
                      <w:sz w:val="21"/>
                      <w:szCs w:val="21"/>
                      <w:highlight w:val="none"/>
                      <w:lang w:val="en-US" w:eastAsia="zh-CN"/>
                    </w:rPr>
                    <w:t>氟</w:t>
                  </w:r>
                  <w:r>
                    <w:rPr>
                      <w:rFonts w:ascii="Times New Roman" w:hAnsi="Times New Roman"/>
                      <w:color w:val="auto"/>
                      <w:sz w:val="21"/>
                      <w:szCs w:val="21"/>
                      <w:highlight w:val="none"/>
                    </w:rPr>
                    <w:t>量</w:t>
                  </w:r>
                </w:p>
              </w:tc>
            </w:tr>
            <w:tr w14:paraId="24A8DC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334" w:type="dxa"/>
                  <w:tcBorders>
                    <w:tl2br w:val="nil"/>
                    <w:tr2bl w:val="nil"/>
                  </w:tcBorders>
                  <w:noWrap w:val="0"/>
                  <w:vAlign w:val="center"/>
                </w:tcPr>
                <w:p w14:paraId="0F86683A">
                  <w:pPr>
                    <w:keepNext w:val="0"/>
                    <w:keepLines w:val="0"/>
                    <w:widowControl/>
                    <w:suppressLineNumbers w:val="0"/>
                    <w:shd w:val="clear" w:color="auto" w:fill="auto"/>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氢氟酸</w:t>
                  </w:r>
                </w:p>
              </w:tc>
              <w:tc>
                <w:tcPr>
                  <w:tcW w:w="1020" w:type="dxa"/>
                  <w:tcBorders>
                    <w:tl2br w:val="nil"/>
                    <w:tr2bl w:val="nil"/>
                  </w:tcBorders>
                  <w:noWrap w:val="0"/>
                  <w:vAlign w:val="center"/>
                </w:tcPr>
                <w:p w14:paraId="6D4684B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w:t>
                  </w:r>
                </w:p>
              </w:tc>
              <w:tc>
                <w:tcPr>
                  <w:tcW w:w="1618" w:type="dxa"/>
                  <w:tcBorders>
                    <w:tl2br w:val="nil"/>
                    <w:tr2bl w:val="nil"/>
                  </w:tcBorders>
                  <w:noWrap w:val="0"/>
                  <w:vAlign w:val="center"/>
                </w:tcPr>
                <w:p w14:paraId="23C422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cs="Times New Roman"/>
                      <w:i w:val="0"/>
                      <w:iCs w:val="0"/>
                      <w:color w:val="auto"/>
                      <w:kern w:val="0"/>
                      <w:sz w:val="21"/>
                      <w:szCs w:val="21"/>
                      <w:highlight w:val="none"/>
                      <w:u w:val="none"/>
                      <w:lang w:val="en-US" w:eastAsia="zh-CN" w:bidi="ar"/>
                    </w:rPr>
                    <w:t>40</w:t>
                  </w: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957" w:type="dxa"/>
                  <w:tcBorders>
                    <w:tl2br w:val="nil"/>
                    <w:tr2bl w:val="nil"/>
                  </w:tcBorders>
                  <w:noWrap w:val="0"/>
                  <w:vAlign w:val="center"/>
                </w:tcPr>
                <w:p w14:paraId="5886382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0.4</w:t>
                  </w:r>
                </w:p>
              </w:tc>
              <w:tc>
                <w:tcPr>
                  <w:tcW w:w="1857" w:type="dxa"/>
                  <w:tcBorders>
                    <w:tl2br w:val="nil"/>
                    <w:tr2bl w:val="nil"/>
                  </w:tcBorders>
                  <w:noWrap w:val="0"/>
                  <w:vAlign w:val="center"/>
                </w:tcPr>
                <w:p w14:paraId="3CC8CAB7">
                  <w:pPr>
                    <w:keepNext w:val="0"/>
                    <w:keepLines w:val="0"/>
                    <w:widowControl/>
                    <w:suppressLineNumbers w:val="0"/>
                    <w:shd w:val="clear" w:color="auto" w:fill="auto"/>
                    <w:jc w:val="center"/>
                    <w:textAlignment w:val="center"/>
                    <w:rPr>
                      <w:rFonts w:hint="eastAsia" w:ascii="Times New Roman" w:hAnsi="Times New Roman"/>
                      <w:color w:val="auto"/>
                      <w:sz w:val="21"/>
                      <w:szCs w:val="21"/>
                      <w:highlight w:val="none"/>
                      <w:lang w:val="en-US" w:eastAsia="zh-CN"/>
                    </w:rPr>
                  </w:pPr>
                  <w:r>
                    <w:rPr>
                      <w:rFonts w:hint="eastAsia" w:ascii="宋体" w:hAnsi="宋体" w:cs="宋体"/>
                      <w:i w:val="0"/>
                      <w:iCs w:val="0"/>
                      <w:color w:val="auto"/>
                      <w:kern w:val="0"/>
                      <w:sz w:val="21"/>
                      <w:szCs w:val="21"/>
                      <w:highlight w:val="none"/>
                      <w:u w:val="none"/>
                      <w:lang w:val="en-US" w:eastAsia="zh-CN" w:bidi="ar"/>
                    </w:rPr>
                    <w:t>含氟污泥</w:t>
                  </w:r>
                </w:p>
              </w:tc>
              <w:tc>
                <w:tcPr>
                  <w:tcW w:w="1135" w:type="dxa"/>
                  <w:tcBorders>
                    <w:tl2br w:val="nil"/>
                    <w:tr2bl w:val="nil"/>
                  </w:tcBorders>
                  <w:noWrap w:val="0"/>
                  <w:vAlign w:val="center"/>
                </w:tcPr>
                <w:p w14:paraId="1C90671F">
                  <w:pPr>
                    <w:keepNext w:val="0"/>
                    <w:keepLines w:val="0"/>
                    <w:widowControl/>
                    <w:suppressLineNumbers w:val="0"/>
                    <w:shd w:val="clear" w:color="auto" w:fill="auto"/>
                    <w:jc w:val="center"/>
                    <w:textAlignment w:val="center"/>
                    <w:rPr>
                      <w:rFonts w:hint="default" w:ascii="Times New Roman" w:hAnsi="Times New Roman"/>
                      <w:color w:val="auto"/>
                      <w:sz w:val="21"/>
                      <w:szCs w:val="21"/>
                      <w:highlight w:val="none"/>
                      <w:lang w:val="en-US" w:eastAsia="zh-CN"/>
                    </w:rPr>
                  </w:pPr>
                  <w:r>
                    <w:rPr>
                      <w:rFonts w:hint="eastAsia"/>
                      <w:color w:val="auto"/>
                      <w:sz w:val="21"/>
                      <w:szCs w:val="21"/>
                      <w:highlight w:val="none"/>
                      <w:lang w:val="en-US" w:eastAsia="zh-CN"/>
                    </w:rPr>
                    <w:t>0.384</w:t>
                  </w:r>
                </w:p>
              </w:tc>
            </w:tr>
            <w:tr w14:paraId="4F4B3A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96" w:hRule="atLeast"/>
                <w:jc w:val="center"/>
              </w:trPr>
              <w:tc>
                <w:tcPr>
                  <w:tcW w:w="1334" w:type="dxa"/>
                  <w:tcBorders>
                    <w:tl2br w:val="nil"/>
                    <w:tr2bl w:val="nil"/>
                  </w:tcBorders>
                  <w:noWrap w:val="0"/>
                  <w:vAlign w:val="center"/>
                </w:tcPr>
                <w:p w14:paraId="5E7223F5">
                  <w:pPr>
                    <w:keepNext w:val="0"/>
                    <w:keepLines w:val="0"/>
                    <w:widowControl/>
                    <w:suppressLineNumbers w:val="0"/>
                    <w:shd w:val="clear" w:color="auto" w:fill="auto"/>
                    <w:jc w:val="center"/>
                    <w:textAlignment w:val="center"/>
                    <w:rPr>
                      <w:rFonts w:ascii="Times New Roman" w:hAnsi="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1020" w:type="dxa"/>
                  <w:tcBorders>
                    <w:tl2br w:val="nil"/>
                    <w:tr2bl w:val="nil"/>
                  </w:tcBorders>
                  <w:noWrap w:val="0"/>
                  <w:vAlign w:val="center"/>
                </w:tcPr>
                <w:p w14:paraId="32DD2DC2">
                  <w:pPr>
                    <w:keepNext w:val="0"/>
                    <w:keepLines w:val="0"/>
                    <w:widowControl/>
                    <w:suppressLineNumbers w:val="0"/>
                    <w:jc w:val="center"/>
                    <w:textAlignment w:val="center"/>
                    <w:rPr>
                      <w:rFonts w:hint="default" w:ascii="Times New Roman" w:hAnsi="Times New Roman" w:eastAsia="宋体"/>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1618" w:type="dxa"/>
                  <w:tcBorders>
                    <w:tl2br w:val="nil"/>
                    <w:tr2bl w:val="nil"/>
                  </w:tcBorders>
                  <w:noWrap w:val="0"/>
                  <w:vAlign w:val="center"/>
                </w:tcPr>
                <w:p w14:paraId="15AB5244">
                  <w:pPr>
                    <w:keepNext w:val="0"/>
                    <w:keepLines w:val="0"/>
                    <w:widowControl/>
                    <w:suppressLineNumbers w:val="0"/>
                    <w:jc w:val="center"/>
                    <w:textAlignment w:val="center"/>
                    <w:rPr>
                      <w:rFonts w:ascii="Times New Roman" w:hAnsi="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957" w:type="dxa"/>
                  <w:tcBorders>
                    <w:tl2br w:val="nil"/>
                    <w:tr2bl w:val="nil"/>
                  </w:tcBorders>
                  <w:noWrap w:val="0"/>
                  <w:vAlign w:val="center"/>
                </w:tcPr>
                <w:p w14:paraId="1D9C6F9C">
                  <w:pPr>
                    <w:keepNext w:val="0"/>
                    <w:keepLines w:val="0"/>
                    <w:widowControl/>
                    <w:suppressLineNumbers w:val="0"/>
                    <w:jc w:val="center"/>
                    <w:textAlignment w:val="center"/>
                    <w:rPr>
                      <w:rFonts w:hint="default" w:ascii="Times New Roman" w:hAnsi="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1857" w:type="dxa"/>
                  <w:tcBorders>
                    <w:tl2br w:val="nil"/>
                    <w:tr2bl w:val="nil"/>
                  </w:tcBorders>
                  <w:noWrap w:val="0"/>
                  <w:vAlign w:val="center"/>
                </w:tcPr>
                <w:p w14:paraId="770DB0D8">
                  <w:pPr>
                    <w:keepNext w:val="0"/>
                    <w:keepLines w:val="0"/>
                    <w:widowControl/>
                    <w:suppressLineNumbers w:val="0"/>
                    <w:shd w:val="clear" w:color="auto" w:fill="auto"/>
                    <w:jc w:val="center"/>
                    <w:textAlignment w:val="center"/>
                    <w:rPr>
                      <w:rFonts w:hint="eastAsia" w:ascii="Times New Roman" w:hAnsi="Times New Roman"/>
                      <w:color w:val="auto"/>
                      <w:sz w:val="21"/>
                      <w:szCs w:val="21"/>
                      <w:highlight w:val="none"/>
                      <w:lang w:val="en-US" w:eastAsia="zh-CN"/>
                    </w:rPr>
                  </w:pPr>
                  <w:r>
                    <w:rPr>
                      <w:rFonts w:hint="eastAsia" w:ascii="宋体" w:hAnsi="宋体" w:cs="宋体"/>
                      <w:i w:val="0"/>
                      <w:iCs w:val="0"/>
                      <w:color w:val="auto"/>
                      <w:kern w:val="0"/>
                      <w:sz w:val="21"/>
                      <w:szCs w:val="21"/>
                      <w:highlight w:val="none"/>
                      <w:u w:val="none"/>
                      <w:lang w:val="en-US" w:eastAsia="zh-CN" w:bidi="ar"/>
                    </w:rPr>
                    <w:t>废水</w:t>
                  </w:r>
                </w:p>
              </w:tc>
              <w:tc>
                <w:tcPr>
                  <w:tcW w:w="1135" w:type="dxa"/>
                  <w:tcBorders>
                    <w:tl2br w:val="nil"/>
                    <w:tr2bl w:val="nil"/>
                  </w:tcBorders>
                  <w:noWrap w:val="0"/>
                  <w:vAlign w:val="center"/>
                </w:tcPr>
                <w:p w14:paraId="47DC72FA">
                  <w:pPr>
                    <w:keepNext w:val="0"/>
                    <w:keepLines w:val="0"/>
                    <w:widowControl/>
                    <w:suppressLineNumbers w:val="0"/>
                    <w:shd w:val="clear" w:color="auto" w:fill="auto"/>
                    <w:jc w:val="center"/>
                    <w:textAlignment w:val="center"/>
                    <w:rPr>
                      <w:rFonts w:hint="default" w:ascii="Times New Roman" w:hAnsi="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0.016</w:t>
                  </w:r>
                </w:p>
              </w:tc>
            </w:tr>
            <w:tr w14:paraId="6C31C0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334" w:type="dxa"/>
                  <w:tcBorders>
                    <w:tl2br w:val="nil"/>
                    <w:tr2bl w:val="nil"/>
                  </w:tcBorders>
                  <w:noWrap w:val="0"/>
                  <w:vAlign w:val="center"/>
                </w:tcPr>
                <w:p w14:paraId="0EEE24BE">
                  <w:pPr>
                    <w:keepNext w:val="0"/>
                    <w:keepLines w:val="0"/>
                    <w:widowControl/>
                    <w:suppressLineNumbers w:val="0"/>
                    <w:shd w:val="clear" w:color="auto" w:fill="auto"/>
                    <w:jc w:val="center"/>
                    <w:textAlignment w:val="center"/>
                    <w:rPr>
                      <w:rFonts w:ascii="Times New Roman" w:hAnsi="Times New Roman"/>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合计</w:t>
                  </w:r>
                </w:p>
              </w:tc>
              <w:tc>
                <w:tcPr>
                  <w:tcW w:w="1020" w:type="dxa"/>
                  <w:tcBorders>
                    <w:tl2br w:val="nil"/>
                    <w:tr2bl w:val="nil"/>
                  </w:tcBorders>
                  <w:noWrap w:val="0"/>
                  <w:vAlign w:val="center"/>
                </w:tcPr>
                <w:p w14:paraId="1B67FBDD">
                  <w:pPr>
                    <w:keepNext w:val="0"/>
                    <w:keepLines w:val="0"/>
                    <w:widowControl/>
                    <w:suppressLineNumbers w:val="0"/>
                    <w:shd w:val="clear" w:color="auto" w:fill="auto"/>
                    <w:jc w:val="center"/>
                    <w:textAlignment w:val="center"/>
                    <w:rPr>
                      <w:rFonts w:ascii="Times New Roman" w:hAnsi="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1618" w:type="dxa"/>
                  <w:tcBorders>
                    <w:tl2br w:val="nil"/>
                    <w:tr2bl w:val="nil"/>
                  </w:tcBorders>
                  <w:noWrap w:val="0"/>
                  <w:vAlign w:val="center"/>
                </w:tcPr>
                <w:p w14:paraId="1F1A5C6A">
                  <w:pPr>
                    <w:keepNext w:val="0"/>
                    <w:keepLines w:val="0"/>
                    <w:widowControl/>
                    <w:suppressLineNumbers w:val="0"/>
                    <w:shd w:val="clear" w:color="auto" w:fill="auto"/>
                    <w:jc w:val="center"/>
                    <w:textAlignment w:val="center"/>
                    <w:rPr>
                      <w:rFonts w:ascii="Times New Roman" w:hAnsi="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957" w:type="dxa"/>
                  <w:tcBorders>
                    <w:tl2br w:val="nil"/>
                    <w:tr2bl w:val="nil"/>
                  </w:tcBorders>
                  <w:noWrap w:val="0"/>
                  <w:vAlign w:val="center"/>
                </w:tcPr>
                <w:p w14:paraId="1F4B2C3C">
                  <w:pPr>
                    <w:keepNext w:val="0"/>
                    <w:keepLines w:val="0"/>
                    <w:widowControl/>
                    <w:suppressLineNumbers w:val="0"/>
                    <w:shd w:val="clear" w:color="auto" w:fill="auto"/>
                    <w:jc w:val="center"/>
                    <w:textAlignment w:val="center"/>
                    <w:rPr>
                      <w:rFonts w:hint="default" w:ascii="Times New Roman" w:hAnsi="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0.4</w:t>
                  </w:r>
                </w:p>
              </w:tc>
              <w:tc>
                <w:tcPr>
                  <w:tcW w:w="1857" w:type="dxa"/>
                  <w:tcBorders>
                    <w:tl2br w:val="nil"/>
                    <w:tr2bl w:val="nil"/>
                  </w:tcBorders>
                  <w:noWrap w:val="0"/>
                  <w:vAlign w:val="center"/>
                </w:tcPr>
                <w:p w14:paraId="3FE2266C">
                  <w:pPr>
                    <w:keepNext w:val="0"/>
                    <w:keepLines w:val="0"/>
                    <w:widowControl/>
                    <w:suppressLineNumbers w:val="0"/>
                    <w:shd w:val="clear" w:color="auto" w:fill="auto"/>
                    <w:jc w:val="center"/>
                    <w:textAlignment w:val="center"/>
                    <w:rPr>
                      <w:rFonts w:hint="eastAsia" w:ascii="Times New Roman" w:hAnsi="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1135" w:type="dxa"/>
                  <w:tcBorders>
                    <w:tl2br w:val="nil"/>
                    <w:tr2bl w:val="nil"/>
                  </w:tcBorders>
                  <w:noWrap w:val="0"/>
                  <w:vAlign w:val="center"/>
                </w:tcPr>
                <w:p w14:paraId="56BDB24F">
                  <w:pPr>
                    <w:keepNext w:val="0"/>
                    <w:keepLines w:val="0"/>
                    <w:widowControl/>
                    <w:suppressLineNumbers w:val="0"/>
                    <w:shd w:val="clear" w:color="auto" w:fill="auto"/>
                    <w:jc w:val="center"/>
                    <w:textAlignment w:val="center"/>
                    <w:rPr>
                      <w:rFonts w:hint="default" w:ascii="Times New Roman" w:hAnsi="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0.4</w:t>
                  </w:r>
                </w:p>
              </w:tc>
            </w:tr>
          </w:tbl>
          <w:p w14:paraId="2FE26B23">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textAlignment w:val="auto"/>
              <w:rPr>
                <w:color w:val="auto"/>
              </w:rPr>
            </w:pPr>
            <w:r>
              <w:rPr>
                <w:rFonts w:hint="eastAsia" w:cs="Times New Roman"/>
                <w:b/>
                <w:bCs/>
                <w:color w:val="auto"/>
                <w:kern w:val="2"/>
                <w:sz w:val="21"/>
                <w:szCs w:val="21"/>
                <w:lang w:val="en-US" w:eastAsia="zh-CN" w:bidi="ar-SA"/>
              </w:rPr>
              <w:t>6</w:t>
            </w:r>
            <w:r>
              <w:rPr>
                <w:rFonts w:hint="default" w:ascii="Times New Roman" w:hAnsi="Times New Roman" w:eastAsia="宋体" w:cs="Times New Roman"/>
                <w:b/>
                <w:bCs/>
                <w:color w:val="auto"/>
                <w:kern w:val="2"/>
                <w:sz w:val="21"/>
                <w:szCs w:val="21"/>
                <w:lang w:val="en-US" w:eastAsia="zh-CN" w:bidi="ar-SA"/>
              </w:rPr>
              <w:t>、</w:t>
            </w:r>
            <w:r>
              <w:rPr>
                <w:rFonts w:hint="eastAsia"/>
                <w:b/>
                <w:bCs/>
                <w:color w:val="auto"/>
              </w:rPr>
              <w:t>劳动定员及工作制度</w:t>
            </w:r>
          </w:p>
          <w:p w14:paraId="1C34F0D0">
            <w:pPr>
              <w:spacing w:line="360" w:lineRule="auto"/>
              <w:ind w:firstLine="420" w:firstLineChars="200"/>
              <w:rPr>
                <w:color w:val="auto"/>
                <w:szCs w:val="21"/>
              </w:rPr>
            </w:pPr>
            <w:r>
              <w:rPr>
                <w:color w:val="auto"/>
                <w:szCs w:val="21"/>
              </w:rPr>
              <w:t>工作制度：本项目实行</w:t>
            </w:r>
            <w:r>
              <w:rPr>
                <w:rFonts w:hint="eastAsia"/>
                <w:color w:val="auto"/>
                <w:szCs w:val="21"/>
              </w:rPr>
              <w:t>三</w:t>
            </w:r>
            <w:r>
              <w:rPr>
                <w:color w:val="auto"/>
                <w:szCs w:val="21"/>
              </w:rPr>
              <w:t>班制，每班工作时间8小时，年有效工作日为300天。</w:t>
            </w:r>
          </w:p>
          <w:p w14:paraId="36071FE6">
            <w:pPr>
              <w:adjustRightInd w:val="0"/>
              <w:snapToGrid w:val="0"/>
              <w:spacing w:line="360" w:lineRule="auto"/>
              <w:ind w:firstLine="420" w:firstLineChars="200"/>
              <w:rPr>
                <w:rFonts w:hint="eastAsia" w:ascii="宋体" w:hAnsi="宋体" w:cs="宋体"/>
                <w:b/>
                <w:color w:val="auto"/>
                <w:szCs w:val="21"/>
              </w:rPr>
            </w:pPr>
            <w:r>
              <w:rPr>
                <w:color w:val="auto"/>
                <w:szCs w:val="21"/>
              </w:rPr>
              <w:t>劳动定员：</w:t>
            </w:r>
            <w:r>
              <w:rPr>
                <w:rFonts w:hint="eastAsia"/>
                <w:color w:val="auto"/>
                <w:szCs w:val="21"/>
                <w:lang w:val="en-US" w:eastAsia="zh-CN"/>
              </w:rPr>
              <w:t>本</w:t>
            </w:r>
            <w:r>
              <w:rPr>
                <w:rFonts w:hint="eastAsia"/>
                <w:color w:val="auto"/>
                <w:szCs w:val="21"/>
              </w:rPr>
              <w:t>项目</w:t>
            </w:r>
            <w:r>
              <w:rPr>
                <w:rFonts w:hint="eastAsia"/>
                <w:color w:val="auto"/>
                <w:szCs w:val="21"/>
                <w:lang w:val="en-US" w:eastAsia="zh-CN"/>
              </w:rPr>
              <w:t>新增员工48人。</w:t>
            </w:r>
          </w:p>
          <w:p w14:paraId="4A5F8735">
            <w:pPr>
              <w:numPr>
                <w:ilvl w:val="0"/>
                <w:numId w:val="0"/>
              </w:numPr>
              <w:spacing w:line="360" w:lineRule="auto"/>
              <w:rPr>
                <w:b/>
                <w:bCs/>
                <w:color w:val="auto"/>
              </w:rPr>
            </w:pPr>
            <w:r>
              <w:rPr>
                <w:rFonts w:hint="eastAsia" w:cs="Times New Roman"/>
                <w:b/>
                <w:bCs/>
                <w:color w:val="auto"/>
                <w:kern w:val="2"/>
                <w:sz w:val="21"/>
                <w:szCs w:val="21"/>
                <w:lang w:val="en-US" w:eastAsia="zh-CN" w:bidi="ar-SA"/>
              </w:rPr>
              <w:t>7</w:t>
            </w:r>
            <w:r>
              <w:rPr>
                <w:rFonts w:hint="default" w:ascii="Times New Roman" w:hAnsi="Times New Roman" w:eastAsia="宋体" w:cs="Times New Roman"/>
                <w:b/>
                <w:bCs/>
                <w:color w:val="auto"/>
                <w:kern w:val="2"/>
                <w:sz w:val="21"/>
                <w:szCs w:val="21"/>
                <w:lang w:val="en-US" w:eastAsia="zh-CN" w:bidi="ar-SA"/>
              </w:rPr>
              <w:t>、</w:t>
            </w:r>
            <w:r>
              <w:rPr>
                <w:rFonts w:hint="eastAsia"/>
                <w:b/>
                <w:bCs/>
                <w:color w:val="auto"/>
              </w:rPr>
              <w:t>厂平面设置</w:t>
            </w:r>
          </w:p>
          <w:p w14:paraId="4DD2CF20">
            <w:pPr>
              <w:pStyle w:val="27"/>
              <w:spacing w:before="0" w:beforeAutospacing="0" w:after="0" w:afterAutospacing="0" w:line="360" w:lineRule="auto"/>
              <w:ind w:firstLine="420" w:firstLineChars="200"/>
              <w:jc w:val="both"/>
              <w:rPr>
                <w:rFonts w:ascii="Times New Roman" w:hAnsi="Times New Roman"/>
                <w:color w:val="auto"/>
                <w:sz w:val="21"/>
                <w:szCs w:val="21"/>
              </w:rPr>
            </w:pPr>
            <w:r>
              <w:rPr>
                <w:rFonts w:ascii="Times New Roman" w:hAnsi="Times New Roman"/>
                <w:color w:val="auto"/>
                <w:sz w:val="21"/>
                <w:szCs w:val="21"/>
              </w:rPr>
              <w:t>建设项目厂区平面布置是按工艺要求和总平面布置的一般原则，结合地形等特点，在满足生产及运输的条件下，尽量节约土地，力求布置紧凑，提高场地利用系数。项目所在地位于泗阳经济开发区</w:t>
            </w:r>
            <w:r>
              <w:rPr>
                <w:color w:val="auto"/>
                <w:sz w:val="21"/>
                <w:szCs w:val="21"/>
              </w:rPr>
              <w:t>众兴东路</w:t>
            </w:r>
            <w:r>
              <w:rPr>
                <w:rFonts w:ascii="Times New Roman" w:hAnsi="Times New Roman"/>
                <w:color w:val="auto"/>
                <w:sz w:val="21"/>
                <w:szCs w:val="21"/>
              </w:rPr>
              <w:t>282</w:t>
            </w:r>
            <w:r>
              <w:rPr>
                <w:color w:val="auto"/>
                <w:sz w:val="21"/>
                <w:szCs w:val="21"/>
              </w:rPr>
              <w:t>号</w:t>
            </w:r>
            <w:r>
              <w:rPr>
                <w:rFonts w:ascii="Times New Roman" w:hAnsi="Times New Roman"/>
                <w:color w:val="auto"/>
                <w:sz w:val="21"/>
                <w:szCs w:val="21"/>
              </w:rPr>
              <w:t>，车间内部按工艺流程进行合理区域布局，做到工艺路线短捷通畅，充分合理利用建筑面积</w:t>
            </w:r>
            <w:r>
              <w:rPr>
                <w:rFonts w:hint="default" w:ascii="Times New Roman" w:hAnsi="Times New Roman" w:cs="Times New Roman"/>
                <w:color w:val="auto"/>
                <w:sz w:val="21"/>
                <w:szCs w:val="21"/>
              </w:rPr>
              <w:t>，能够满足项目生产要求和相关环保要求。本次扩建项目生产车间均依托现有项目生产厂房，分别位于3#</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4#、5#</w:t>
            </w:r>
            <w:r>
              <w:rPr>
                <w:rFonts w:hint="default" w:ascii="Times New Roman" w:hAnsi="Times New Roman" w:cs="Times New Roman"/>
                <w:color w:val="auto"/>
                <w:sz w:val="21"/>
                <w:szCs w:val="21"/>
              </w:rPr>
              <w:t>和7#厂房</w:t>
            </w:r>
            <w:r>
              <w:rPr>
                <w:rFonts w:hint="eastAsia"/>
                <w:color w:val="auto"/>
                <w:sz w:val="21"/>
                <w:szCs w:val="21"/>
              </w:rPr>
              <w:t>，</w:t>
            </w:r>
            <w:r>
              <w:rPr>
                <w:rFonts w:ascii="Times New Roman" w:hAnsi="Times New Roman"/>
                <w:color w:val="auto"/>
                <w:sz w:val="21"/>
                <w:szCs w:val="21"/>
              </w:rPr>
              <w:t>厂区平面布置详见附图6。</w:t>
            </w:r>
          </w:p>
          <w:p w14:paraId="2B60D46B">
            <w:pPr>
              <w:numPr>
                <w:ilvl w:val="0"/>
                <w:numId w:val="0"/>
              </w:numPr>
              <w:spacing w:line="360" w:lineRule="auto"/>
              <w:rPr>
                <w:b/>
                <w:bCs/>
                <w:color w:val="auto"/>
              </w:rPr>
            </w:pPr>
            <w:r>
              <w:rPr>
                <w:rFonts w:hint="eastAsia" w:cs="Times New Roman"/>
                <w:b/>
                <w:bCs/>
                <w:color w:val="auto"/>
                <w:kern w:val="2"/>
                <w:sz w:val="21"/>
                <w:szCs w:val="21"/>
                <w:lang w:val="en-US" w:eastAsia="zh-CN" w:bidi="ar-SA"/>
              </w:rPr>
              <w:t>8</w:t>
            </w:r>
            <w:r>
              <w:rPr>
                <w:rFonts w:hint="default" w:ascii="Times New Roman" w:hAnsi="Times New Roman" w:eastAsia="宋体" w:cs="Times New Roman"/>
                <w:b/>
                <w:bCs/>
                <w:color w:val="auto"/>
                <w:kern w:val="2"/>
                <w:sz w:val="21"/>
                <w:szCs w:val="21"/>
                <w:lang w:val="en-US" w:eastAsia="zh-CN" w:bidi="ar-SA"/>
              </w:rPr>
              <w:t>、</w:t>
            </w:r>
            <w:r>
              <w:rPr>
                <w:rFonts w:hint="eastAsia"/>
                <w:b/>
                <w:bCs/>
                <w:color w:val="auto"/>
              </w:rPr>
              <w:t>水平衡分析</w:t>
            </w:r>
          </w:p>
          <w:p w14:paraId="6D79B22A">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color w:val="auto"/>
                <w:lang w:val="en-US" w:eastAsia="zh-CN"/>
              </w:rPr>
            </w:pPr>
            <w:r>
              <w:rPr>
                <w:rFonts w:hint="eastAsia"/>
                <w:color w:val="auto"/>
                <w:lang w:val="en-US" w:eastAsia="zh-CN"/>
              </w:rPr>
              <w:t>（1）生活用水：本次扩建项目新增员工48人，</w:t>
            </w:r>
            <w:r>
              <w:rPr>
                <w:rFonts w:hint="eastAsia"/>
                <w:color w:val="auto"/>
                <w:sz w:val="21"/>
                <w:szCs w:val="21"/>
              </w:rPr>
              <w:t>参照《建筑给水排水设计标准》（GB50015-2019），员工生活用水定额30L/（人·班）~50L/（人·班）</w:t>
            </w:r>
            <w:r>
              <w:rPr>
                <w:rFonts w:hint="eastAsia"/>
                <w:bCs/>
                <w:color w:val="auto"/>
                <w:sz w:val="21"/>
                <w:szCs w:val="21"/>
              </w:rPr>
              <w:t>，本项目人均用水量按50L/</w:t>
            </w:r>
            <w:r>
              <w:rPr>
                <w:rFonts w:hint="eastAsia"/>
                <w:color w:val="auto"/>
                <w:sz w:val="21"/>
                <w:szCs w:val="21"/>
              </w:rPr>
              <w:t>（人·班）</w:t>
            </w:r>
            <w:r>
              <w:rPr>
                <w:rFonts w:hint="eastAsia"/>
                <w:bCs/>
                <w:color w:val="auto"/>
                <w:sz w:val="21"/>
                <w:szCs w:val="21"/>
              </w:rPr>
              <w:t>计算，</w:t>
            </w:r>
            <w:r>
              <w:rPr>
                <w:bCs/>
                <w:color w:val="auto"/>
                <w:sz w:val="21"/>
                <w:szCs w:val="21"/>
              </w:rPr>
              <w:t>年工作</w:t>
            </w:r>
            <w:r>
              <w:rPr>
                <w:rFonts w:hint="eastAsia"/>
                <w:bCs/>
                <w:color w:val="auto"/>
                <w:sz w:val="21"/>
                <w:szCs w:val="21"/>
              </w:rPr>
              <w:t>300</w:t>
            </w:r>
            <w:r>
              <w:rPr>
                <w:bCs/>
                <w:color w:val="auto"/>
                <w:sz w:val="21"/>
                <w:szCs w:val="21"/>
              </w:rPr>
              <w:t>天，则</w:t>
            </w:r>
            <w:r>
              <w:rPr>
                <w:rFonts w:hint="eastAsia"/>
                <w:bCs/>
                <w:color w:val="auto"/>
                <w:sz w:val="21"/>
                <w:szCs w:val="21"/>
              </w:rPr>
              <w:t>生活</w:t>
            </w:r>
            <w:r>
              <w:rPr>
                <w:bCs/>
                <w:color w:val="auto"/>
                <w:sz w:val="21"/>
                <w:szCs w:val="21"/>
              </w:rPr>
              <w:t>用水量</w:t>
            </w:r>
            <w:r>
              <w:rPr>
                <w:rFonts w:hint="eastAsia"/>
                <w:bCs/>
                <w:color w:val="auto"/>
                <w:sz w:val="21"/>
                <w:szCs w:val="21"/>
              </w:rPr>
              <w:t>为</w:t>
            </w:r>
            <w:r>
              <w:rPr>
                <w:rFonts w:hint="eastAsia"/>
                <w:bCs/>
                <w:color w:val="auto"/>
                <w:sz w:val="21"/>
                <w:szCs w:val="21"/>
                <w:lang w:val="en-US" w:eastAsia="zh-CN"/>
              </w:rPr>
              <w:t>720</w:t>
            </w:r>
            <w:r>
              <w:rPr>
                <w:bCs/>
                <w:color w:val="auto"/>
                <w:sz w:val="21"/>
                <w:szCs w:val="21"/>
              </w:rPr>
              <w:t>m</w:t>
            </w:r>
            <w:r>
              <w:rPr>
                <w:bCs/>
                <w:color w:val="auto"/>
                <w:sz w:val="21"/>
                <w:szCs w:val="21"/>
                <w:vertAlign w:val="superscript"/>
              </w:rPr>
              <w:t>3</w:t>
            </w:r>
            <w:r>
              <w:rPr>
                <w:bCs/>
                <w:color w:val="auto"/>
                <w:sz w:val="21"/>
                <w:szCs w:val="21"/>
              </w:rPr>
              <w:t>/a。排水量按用水量的80%计算，则每年生活污水产生量为</w:t>
            </w:r>
            <w:r>
              <w:rPr>
                <w:rFonts w:hint="eastAsia"/>
                <w:bCs/>
                <w:color w:val="auto"/>
                <w:sz w:val="21"/>
                <w:szCs w:val="21"/>
                <w:lang w:val="en-US" w:eastAsia="zh-CN"/>
              </w:rPr>
              <w:t>576</w:t>
            </w:r>
            <w:r>
              <w:rPr>
                <w:bCs/>
                <w:color w:val="auto"/>
                <w:sz w:val="21"/>
                <w:szCs w:val="21"/>
              </w:rPr>
              <w:t>m</w:t>
            </w:r>
            <w:r>
              <w:rPr>
                <w:bCs/>
                <w:color w:val="auto"/>
                <w:sz w:val="21"/>
                <w:szCs w:val="21"/>
                <w:vertAlign w:val="superscript"/>
              </w:rPr>
              <w:t>3</w:t>
            </w:r>
            <w:r>
              <w:rPr>
                <w:bCs/>
                <w:color w:val="auto"/>
                <w:sz w:val="21"/>
                <w:szCs w:val="21"/>
              </w:rPr>
              <w:t>。</w:t>
            </w:r>
          </w:p>
          <w:p w14:paraId="39295E7E">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bCs/>
                <w:color w:val="auto"/>
                <w:sz w:val="21"/>
                <w:szCs w:val="21"/>
                <w:lang w:eastAsia="zh-CN"/>
              </w:rPr>
            </w:pPr>
            <w:r>
              <w:rPr>
                <w:rFonts w:hint="eastAsia"/>
                <w:color w:val="auto"/>
                <w:lang w:val="en-US" w:eastAsia="zh-CN"/>
              </w:rPr>
              <w:t>（2）清洗用水：内雕后的玻璃酒瓶头需要进行清洗，根据企业提供资料，清洗水量约为2000</w:t>
            </w:r>
            <w:r>
              <w:rPr>
                <w:bCs/>
                <w:color w:val="auto"/>
                <w:sz w:val="21"/>
                <w:szCs w:val="21"/>
              </w:rPr>
              <w:t>m</w:t>
            </w:r>
            <w:r>
              <w:rPr>
                <w:bCs/>
                <w:color w:val="auto"/>
                <w:sz w:val="21"/>
                <w:szCs w:val="21"/>
                <w:vertAlign w:val="superscript"/>
              </w:rPr>
              <w:t>3</w:t>
            </w:r>
            <w:r>
              <w:rPr>
                <w:bCs/>
                <w:color w:val="auto"/>
                <w:sz w:val="21"/>
                <w:szCs w:val="21"/>
              </w:rPr>
              <w:t>/a</w:t>
            </w:r>
            <w:r>
              <w:rPr>
                <w:rFonts w:hint="eastAsia"/>
                <w:bCs/>
                <w:color w:val="auto"/>
                <w:sz w:val="21"/>
                <w:szCs w:val="21"/>
                <w:lang w:eastAsia="zh-CN"/>
              </w:rPr>
              <w:t>，</w:t>
            </w:r>
            <w:r>
              <w:rPr>
                <w:rFonts w:hint="eastAsia"/>
                <w:bCs/>
                <w:color w:val="auto"/>
                <w:sz w:val="21"/>
                <w:szCs w:val="21"/>
                <w:lang w:val="en-US" w:eastAsia="zh-CN"/>
              </w:rPr>
              <w:t>清洗废水产生量按用水量的90%计算，则清洗废水量为1800</w:t>
            </w:r>
            <w:r>
              <w:rPr>
                <w:bCs/>
                <w:color w:val="auto"/>
                <w:sz w:val="21"/>
                <w:szCs w:val="21"/>
              </w:rPr>
              <w:t>m</w:t>
            </w:r>
            <w:r>
              <w:rPr>
                <w:bCs/>
                <w:color w:val="auto"/>
                <w:sz w:val="21"/>
                <w:szCs w:val="21"/>
                <w:vertAlign w:val="superscript"/>
              </w:rPr>
              <w:t>3</w:t>
            </w:r>
            <w:r>
              <w:rPr>
                <w:bCs/>
                <w:color w:val="auto"/>
                <w:sz w:val="21"/>
                <w:szCs w:val="21"/>
              </w:rPr>
              <w:t>/a</w:t>
            </w:r>
            <w:r>
              <w:rPr>
                <w:rFonts w:hint="eastAsia"/>
                <w:bCs/>
                <w:color w:val="auto"/>
                <w:sz w:val="21"/>
                <w:szCs w:val="21"/>
                <w:lang w:eastAsia="zh-CN"/>
              </w:rPr>
              <w:t>。</w:t>
            </w:r>
          </w:p>
          <w:p w14:paraId="30559484">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bCs/>
                <w:color w:val="auto"/>
                <w:sz w:val="21"/>
                <w:szCs w:val="21"/>
                <w:lang w:val="en-US" w:eastAsia="zh-CN"/>
              </w:rPr>
            </w:pPr>
            <w:r>
              <w:rPr>
                <w:rFonts w:hint="eastAsia"/>
                <w:bCs/>
                <w:color w:val="auto"/>
                <w:sz w:val="21"/>
                <w:szCs w:val="21"/>
                <w:lang w:val="en-US" w:eastAsia="zh-CN"/>
              </w:rPr>
              <w:t>本项目水平衡如图2-1所示。</w:t>
            </w:r>
          </w:p>
          <w:p w14:paraId="3318580B">
            <w:pPr>
              <w:rPr>
                <w:color w:val="auto"/>
              </w:rPr>
            </w:pPr>
            <w:r>
              <w:rPr>
                <w:color w:val="auto"/>
              </w:rPr>
              <w:drawing>
                <wp:inline distT="0" distB="0" distL="114300" distR="114300">
                  <wp:extent cx="4932045" cy="1778635"/>
                  <wp:effectExtent l="0" t="0" r="1905" b="1206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7"/>
                          <a:stretch>
                            <a:fillRect/>
                          </a:stretch>
                        </pic:blipFill>
                        <pic:spPr>
                          <a:xfrm>
                            <a:off x="0" y="0"/>
                            <a:ext cx="4932045" cy="1778635"/>
                          </a:xfrm>
                          <a:prstGeom prst="rect">
                            <a:avLst/>
                          </a:prstGeom>
                          <a:noFill/>
                          <a:ln>
                            <a:noFill/>
                          </a:ln>
                        </pic:spPr>
                      </pic:pic>
                    </a:graphicData>
                  </a:graphic>
                </wp:inline>
              </w:drawing>
            </w:r>
          </w:p>
          <w:p w14:paraId="25C3B934">
            <w:pPr>
              <w:pStyle w:val="25"/>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图2-1</w:t>
            </w:r>
            <w:r>
              <w:rPr>
                <w:rFonts w:hint="eastAsia" w:ascii="Times New Roman" w:hAnsi="Times New Roman" w:cs="Times New Roman"/>
                <w:b/>
                <w:bCs/>
                <w:color w:val="auto"/>
                <w:lang w:val="en-US" w:eastAsia="zh-CN"/>
              </w:rPr>
              <w:t xml:space="preserve"> 本项目水平衡图（单位：m</w:t>
            </w:r>
            <w:r>
              <w:rPr>
                <w:rFonts w:hint="eastAsia" w:ascii="Times New Roman" w:hAnsi="Times New Roman" w:cs="Times New Roman"/>
                <w:b/>
                <w:bCs/>
                <w:color w:val="auto"/>
                <w:vertAlign w:val="superscript"/>
                <w:lang w:val="en-US" w:eastAsia="zh-CN"/>
              </w:rPr>
              <w:t>3</w:t>
            </w:r>
            <w:r>
              <w:rPr>
                <w:rFonts w:hint="eastAsia" w:ascii="Times New Roman" w:hAnsi="Times New Roman" w:cs="Times New Roman"/>
                <w:b/>
                <w:bCs/>
                <w:color w:val="auto"/>
                <w:lang w:val="en-US" w:eastAsia="zh-CN"/>
              </w:rPr>
              <w:t>/a）</w:t>
            </w:r>
          </w:p>
          <w:p w14:paraId="3F90AABB">
            <w:pPr>
              <w:keepNext w:val="0"/>
              <w:keepLines w:val="0"/>
              <w:pageBreakBefore w:val="0"/>
              <w:widowControl w:val="0"/>
              <w:kinsoku/>
              <w:wordWrap/>
              <w:overflowPunct/>
              <w:topLinePunct w:val="0"/>
              <w:autoSpaceDE/>
              <w:autoSpaceDN/>
              <w:bidi w:val="0"/>
              <w:adjustRightInd/>
              <w:snapToGrid/>
              <w:spacing w:before="157" w:beforeLines="50" w:line="360" w:lineRule="auto"/>
              <w:ind w:firstLine="420" w:firstLineChars="200"/>
              <w:textAlignment w:val="auto"/>
              <w:rPr>
                <w:rFonts w:hint="eastAsia"/>
                <w:b w:val="0"/>
                <w:bCs w:val="0"/>
                <w:color w:val="auto"/>
                <w:lang w:val="en-US" w:eastAsia="zh-CN"/>
              </w:rPr>
            </w:pPr>
            <w:r>
              <w:rPr>
                <w:rFonts w:hint="eastAsia"/>
                <w:bCs/>
                <w:color w:val="auto"/>
                <w:sz w:val="21"/>
                <w:szCs w:val="21"/>
                <w:lang w:val="en-US" w:eastAsia="zh-CN"/>
              </w:rPr>
              <w:t>本项目建成后，全厂水平衡如图2-2所示。</w:t>
            </w:r>
          </w:p>
          <w:p w14:paraId="0BF656FA">
            <w:pPr>
              <w:rPr>
                <w:color w:val="auto"/>
              </w:rPr>
            </w:pPr>
            <w:r>
              <w:rPr>
                <w:color w:val="auto"/>
              </w:rPr>
              <w:drawing>
                <wp:inline distT="0" distB="0" distL="114300" distR="114300">
                  <wp:extent cx="5038725" cy="5031740"/>
                  <wp:effectExtent l="0" t="0" r="9525" b="16510"/>
                  <wp:docPr id="1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pic:cNvPicPr>
                            <a:picLocks noChangeAspect="1"/>
                          </pic:cNvPicPr>
                        </pic:nvPicPr>
                        <pic:blipFill>
                          <a:blip r:embed="rId8"/>
                          <a:stretch>
                            <a:fillRect/>
                          </a:stretch>
                        </pic:blipFill>
                        <pic:spPr>
                          <a:xfrm>
                            <a:off x="0" y="0"/>
                            <a:ext cx="5038725" cy="5031740"/>
                          </a:xfrm>
                          <a:prstGeom prst="rect">
                            <a:avLst/>
                          </a:prstGeom>
                          <a:noFill/>
                          <a:ln>
                            <a:noFill/>
                          </a:ln>
                        </pic:spPr>
                      </pic:pic>
                    </a:graphicData>
                  </a:graphic>
                </wp:inline>
              </w:drawing>
            </w:r>
          </w:p>
          <w:p w14:paraId="13B4C54D">
            <w:pPr>
              <w:pStyle w:val="25"/>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图2-</w:t>
            </w:r>
            <w:r>
              <w:rPr>
                <w:rFonts w:hint="eastAsia" w:ascii="Times New Roman" w:hAnsi="Times New Roman" w:cs="Times New Roman"/>
                <w:b/>
                <w:bCs/>
                <w:color w:val="auto"/>
                <w:lang w:val="en-US" w:eastAsia="zh-CN"/>
              </w:rPr>
              <w:t xml:space="preserve">2 </w:t>
            </w:r>
            <w:r>
              <w:rPr>
                <w:rFonts w:hint="eastAsia"/>
                <w:b/>
                <w:bCs/>
                <w:color w:val="auto"/>
                <w:kern w:val="0"/>
                <w:szCs w:val="21"/>
                <w:lang w:val="en-US" w:eastAsia="zh-CN"/>
              </w:rPr>
              <w:t>本项目建成后全厂项目</w:t>
            </w:r>
            <w:r>
              <w:rPr>
                <w:b/>
                <w:bCs/>
                <w:color w:val="auto"/>
                <w:kern w:val="0"/>
                <w:szCs w:val="21"/>
              </w:rPr>
              <w:t>水平衡图</w:t>
            </w:r>
            <w:r>
              <w:rPr>
                <w:rFonts w:hint="eastAsia" w:ascii="Times New Roman" w:hAnsi="Times New Roman" w:cs="Times New Roman"/>
                <w:b/>
                <w:bCs/>
                <w:color w:val="auto"/>
                <w:lang w:val="en-US" w:eastAsia="zh-CN"/>
              </w:rPr>
              <w:t>（单位：m</w:t>
            </w:r>
            <w:r>
              <w:rPr>
                <w:rFonts w:hint="eastAsia" w:ascii="Times New Roman" w:hAnsi="Times New Roman" w:cs="Times New Roman"/>
                <w:b/>
                <w:bCs/>
                <w:color w:val="auto"/>
                <w:vertAlign w:val="superscript"/>
                <w:lang w:val="en-US" w:eastAsia="zh-CN"/>
              </w:rPr>
              <w:t>3</w:t>
            </w:r>
            <w:r>
              <w:rPr>
                <w:rFonts w:hint="eastAsia" w:ascii="Times New Roman" w:hAnsi="Times New Roman" w:cs="Times New Roman"/>
                <w:b/>
                <w:bCs/>
                <w:color w:val="auto"/>
                <w:lang w:val="en-US" w:eastAsia="zh-CN"/>
              </w:rPr>
              <w:t>/a）</w:t>
            </w:r>
          </w:p>
        </w:tc>
      </w:tr>
      <w:tr w14:paraId="54C1DD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3" w:type="dxa"/>
            <w:vAlign w:val="center"/>
          </w:tcPr>
          <w:p w14:paraId="242A82FA">
            <w:pPr>
              <w:pStyle w:val="27"/>
              <w:adjustRightInd w:val="0"/>
              <w:snapToGrid w:val="0"/>
              <w:spacing w:before="0" w:beforeAutospacing="0" w:after="0" w:afterAutospacing="0"/>
              <w:jc w:val="center"/>
              <w:rPr>
                <w:rFonts w:ascii="Times New Roman" w:hAnsi="Times New Roman" w:cs="宋体"/>
                <w:sz w:val="21"/>
                <w:szCs w:val="21"/>
              </w:rPr>
            </w:pPr>
            <w:r>
              <w:rPr>
                <w:rFonts w:hint="eastAsia" w:ascii="Times New Roman" w:hAnsi="Times New Roman" w:cs="宋体"/>
                <w:sz w:val="21"/>
                <w:szCs w:val="21"/>
              </w:rPr>
              <w:t>工艺流程和产排污环节</w:t>
            </w:r>
          </w:p>
        </w:tc>
        <w:tc>
          <w:tcPr>
            <w:tcW w:w="8161" w:type="dxa"/>
            <w:vAlign w:val="top"/>
          </w:tcPr>
          <w:p w14:paraId="0DEF7B14">
            <w:pPr>
              <w:pStyle w:val="64"/>
              <w:ind w:firstLine="0" w:firstLineChars="0"/>
              <w:rPr>
                <w:b/>
                <w:bCs/>
                <w:sz w:val="21"/>
                <w:szCs w:val="21"/>
              </w:rPr>
            </w:pPr>
            <w:r>
              <w:rPr>
                <w:rFonts w:hint="eastAsia"/>
                <w:b/>
                <w:bCs/>
                <w:sz w:val="21"/>
                <w:szCs w:val="21"/>
              </w:rPr>
              <w:t>施工期：</w:t>
            </w:r>
          </w:p>
          <w:p w14:paraId="375161F8">
            <w:pPr>
              <w:pStyle w:val="64"/>
              <w:ind w:firstLine="420"/>
              <w:rPr>
                <w:sz w:val="21"/>
                <w:szCs w:val="21"/>
              </w:rPr>
            </w:pPr>
            <w:r>
              <w:rPr>
                <w:rFonts w:hint="eastAsia"/>
                <w:sz w:val="21"/>
                <w:szCs w:val="21"/>
              </w:rPr>
              <w:t>本次扩建项目依托厂区内现有生产厂房不新建厂房</w:t>
            </w:r>
            <w:r>
              <w:rPr>
                <w:sz w:val="21"/>
                <w:szCs w:val="21"/>
              </w:rPr>
              <w:t>，故不对施工期</w:t>
            </w:r>
            <w:r>
              <w:rPr>
                <w:rFonts w:hint="eastAsia"/>
                <w:sz w:val="21"/>
                <w:szCs w:val="21"/>
              </w:rPr>
              <w:t>进行工程分析。</w:t>
            </w:r>
          </w:p>
          <w:p w14:paraId="4828274F">
            <w:pPr>
              <w:pStyle w:val="64"/>
              <w:ind w:firstLine="0" w:firstLineChars="0"/>
              <w:rPr>
                <w:sz w:val="21"/>
                <w:szCs w:val="21"/>
              </w:rPr>
            </w:pPr>
            <w:r>
              <w:rPr>
                <w:rFonts w:hint="eastAsia"/>
                <w:b/>
                <w:bCs/>
                <w:sz w:val="21"/>
                <w:szCs w:val="21"/>
              </w:rPr>
              <w:t>营运期：</w:t>
            </w:r>
          </w:p>
          <w:p w14:paraId="4778CEBA">
            <w:pPr>
              <w:autoSpaceDE w:val="0"/>
              <w:autoSpaceDN w:val="0"/>
              <w:adjustRightInd w:val="0"/>
              <w:spacing w:line="360" w:lineRule="auto"/>
              <w:ind w:firstLine="420" w:firstLineChars="200"/>
              <w:rPr>
                <w:kern w:val="0"/>
                <w:szCs w:val="21"/>
              </w:rPr>
            </w:pPr>
            <w:r>
              <w:rPr>
                <w:rFonts w:hint="eastAsia"/>
                <w:kern w:val="0"/>
                <w:szCs w:val="21"/>
              </w:rPr>
              <w:t>本</w:t>
            </w:r>
            <w:r>
              <w:rPr>
                <w:kern w:val="0"/>
                <w:szCs w:val="21"/>
              </w:rPr>
              <w:t>项目工艺流程详见图2</w:t>
            </w:r>
            <w:r>
              <w:rPr>
                <w:rFonts w:hint="eastAsia"/>
                <w:kern w:val="0"/>
                <w:szCs w:val="21"/>
              </w:rPr>
              <w:t>-</w:t>
            </w:r>
            <w:r>
              <w:rPr>
                <w:rFonts w:hint="eastAsia"/>
                <w:kern w:val="0"/>
                <w:szCs w:val="21"/>
                <w:lang w:val="en-US" w:eastAsia="zh-CN"/>
              </w:rPr>
              <w:t>3、2-4</w:t>
            </w:r>
            <w:r>
              <w:rPr>
                <w:kern w:val="0"/>
                <w:szCs w:val="21"/>
              </w:rPr>
              <w:t>。</w:t>
            </w:r>
          </w:p>
          <w:p w14:paraId="009F84EC">
            <w:pPr>
              <w:autoSpaceDE w:val="0"/>
              <w:autoSpaceDN w:val="0"/>
              <w:adjustRightInd w:val="0"/>
              <w:jc w:val="center"/>
              <w:rPr>
                <w:b/>
                <w:bCs/>
                <w:kern w:val="0"/>
                <w:szCs w:val="21"/>
              </w:rPr>
            </w:pPr>
            <w:r>
              <w:drawing>
                <wp:inline distT="0" distB="0" distL="114300" distR="114300">
                  <wp:extent cx="5044440" cy="1543050"/>
                  <wp:effectExtent l="0" t="0" r="3810" b="0"/>
                  <wp:docPr id="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pic:cNvPicPr>
                            <a:picLocks noChangeAspect="1"/>
                          </pic:cNvPicPr>
                        </pic:nvPicPr>
                        <pic:blipFill>
                          <a:blip r:embed="rId9"/>
                          <a:stretch>
                            <a:fillRect/>
                          </a:stretch>
                        </pic:blipFill>
                        <pic:spPr>
                          <a:xfrm>
                            <a:off x="0" y="0"/>
                            <a:ext cx="5044440" cy="1543050"/>
                          </a:xfrm>
                          <a:prstGeom prst="rect">
                            <a:avLst/>
                          </a:prstGeom>
                          <a:noFill/>
                          <a:ln>
                            <a:noFill/>
                          </a:ln>
                        </pic:spPr>
                      </pic:pic>
                    </a:graphicData>
                  </a:graphic>
                </wp:inline>
              </w:drawing>
            </w:r>
          </w:p>
          <w:p w14:paraId="02BB12ED">
            <w:pPr>
              <w:autoSpaceDE w:val="0"/>
              <w:autoSpaceDN w:val="0"/>
              <w:adjustRightInd w:val="0"/>
              <w:spacing w:line="360" w:lineRule="auto"/>
              <w:jc w:val="center"/>
              <w:rPr>
                <w:rFonts w:hint="eastAsia" w:ascii="宋体" w:hAnsi="宋体" w:cs="宋体"/>
                <w:b/>
                <w:bCs/>
                <w:color w:val="000000"/>
                <w:szCs w:val="21"/>
              </w:rPr>
            </w:pPr>
            <w:r>
              <w:rPr>
                <w:b/>
                <w:bCs/>
                <w:kern w:val="0"/>
                <w:szCs w:val="21"/>
              </w:rPr>
              <w:t>图2</w:t>
            </w:r>
            <w:r>
              <w:rPr>
                <w:rFonts w:hint="eastAsia"/>
                <w:b/>
                <w:bCs/>
                <w:kern w:val="0"/>
                <w:szCs w:val="21"/>
              </w:rPr>
              <w:t>-</w:t>
            </w:r>
            <w:r>
              <w:rPr>
                <w:rFonts w:hint="eastAsia"/>
                <w:b/>
                <w:bCs/>
                <w:kern w:val="0"/>
                <w:szCs w:val="21"/>
                <w:lang w:val="en-US" w:eastAsia="zh-CN"/>
              </w:rPr>
              <w:t>3</w:t>
            </w:r>
            <w:r>
              <w:rPr>
                <w:rFonts w:hint="eastAsia"/>
                <w:b/>
                <w:bCs/>
                <w:kern w:val="0"/>
                <w:szCs w:val="21"/>
              </w:rPr>
              <w:t xml:space="preserve"> </w:t>
            </w:r>
            <w:r>
              <w:rPr>
                <w:rFonts w:hint="eastAsia"/>
                <w:b/>
                <w:bCs/>
                <w:kern w:val="0"/>
                <w:szCs w:val="21"/>
                <w:lang w:val="en-US" w:eastAsia="zh-CN"/>
              </w:rPr>
              <w:t>激光内雕</w:t>
            </w:r>
            <w:r>
              <w:rPr>
                <w:rFonts w:hint="eastAsia" w:ascii="宋体" w:hAnsi="宋体" w:cs="宋体"/>
                <w:b/>
                <w:bCs/>
                <w:color w:val="000000"/>
                <w:szCs w:val="21"/>
              </w:rPr>
              <w:t>工艺及产污节点图</w:t>
            </w:r>
          </w:p>
          <w:p w14:paraId="32B201FE">
            <w:pPr>
              <w:pStyle w:val="25"/>
              <w:ind w:left="0" w:leftChars="0" w:firstLine="0" w:firstLineChars="0"/>
            </w:pPr>
            <w:r>
              <w:drawing>
                <wp:inline distT="0" distB="0" distL="114300" distR="114300">
                  <wp:extent cx="5043170" cy="1546225"/>
                  <wp:effectExtent l="0" t="0" r="5080" b="15875"/>
                  <wp:docPr id="1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pic:cNvPicPr>
                            <a:picLocks noChangeAspect="1"/>
                          </pic:cNvPicPr>
                        </pic:nvPicPr>
                        <pic:blipFill>
                          <a:blip r:embed="rId10"/>
                          <a:stretch>
                            <a:fillRect/>
                          </a:stretch>
                        </pic:blipFill>
                        <pic:spPr>
                          <a:xfrm>
                            <a:off x="0" y="0"/>
                            <a:ext cx="5043170" cy="1546225"/>
                          </a:xfrm>
                          <a:prstGeom prst="rect">
                            <a:avLst/>
                          </a:prstGeom>
                          <a:noFill/>
                          <a:ln>
                            <a:noFill/>
                          </a:ln>
                        </pic:spPr>
                      </pic:pic>
                    </a:graphicData>
                  </a:graphic>
                </wp:inline>
              </w:drawing>
            </w:r>
          </w:p>
          <w:p w14:paraId="456DB408">
            <w:pPr>
              <w:autoSpaceDE w:val="0"/>
              <w:autoSpaceDN w:val="0"/>
              <w:adjustRightInd w:val="0"/>
              <w:spacing w:line="360" w:lineRule="auto"/>
              <w:jc w:val="center"/>
              <w:rPr>
                <w:rFonts w:hint="eastAsia" w:ascii="宋体" w:hAnsi="宋体" w:cs="宋体"/>
                <w:b/>
                <w:bCs/>
                <w:color w:val="000000"/>
                <w:szCs w:val="21"/>
              </w:rPr>
            </w:pPr>
            <w:r>
              <w:rPr>
                <w:b/>
                <w:bCs/>
                <w:kern w:val="0"/>
                <w:szCs w:val="21"/>
              </w:rPr>
              <w:t>图2</w:t>
            </w:r>
            <w:r>
              <w:rPr>
                <w:rFonts w:hint="eastAsia"/>
                <w:b/>
                <w:bCs/>
                <w:kern w:val="0"/>
                <w:szCs w:val="21"/>
              </w:rPr>
              <w:t>-</w:t>
            </w:r>
            <w:r>
              <w:rPr>
                <w:rFonts w:hint="eastAsia"/>
                <w:b/>
                <w:bCs/>
                <w:kern w:val="0"/>
                <w:szCs w:val="21"/>
                <w:lang w:val="en-US" w:eastAsia="zh-CN"/>
              </w:rPr>
              <w:t>4</w:t>
            </w:r>
            <w:r>
              <w:rPr>
                <w:rFonts w:hint="eastAsia"/>
                <w:b/>
                <w:bCs/>
                <w:kern w:val="0"/>
                <w:szCs w:val="21"/>
              </w:rPr>
              <w:t xml:space="preserve"> </w:t>
            </w:r>
            <w:r>
              <w:rPr>
                <w:rFonts w:hint="eastAsia"/>
                <w:b/>
                <w:bCs/>
                <w:kern w:val="0"/>
                <w:szCs w:val="21"/>
                <w:lang w:val="en-US" w:eastAsia="zh-CN"/>
              </w:rPr>
              <w:t>直印</w:t>
            </w:r>
            <w:r>
              <w:rPr>
                <w:rFonts w:hint="eastAsia" w:ascii="宋体" w:hAnsi="宋体" w:cs="宋体"/>
                <w:b/>
                <w:bCs/>
                <w:color w:val="000000"/>
                <w:szCs w:val="21"/>
              </w:rPr>
              <w:t>工艺及产污节点图</w:t>
            </w:r>
          </w:p>
          <w:p w14:paraId="65CA4B32">
            <w:pPr>
              <w:autoSpaceDE w:val="0"/>
              <w:autoSpaceDN w:val="0"/>
              <w:adjustRightInd w:val="0"/>
              <w:spacing w:line="360" w:lineRule="auto"/>
              <w:jc w:val="center"/>
              <w:rPr>
                <w:rFonts w:hint="eastAsia" w:ascii="宋体" w:hAnsi="宋体" w:cs="宋体"/>
                <w:b/>
                <w:bCs/>
                <w:color w:val="000000"/>
                <w:szCs w:val="21"/>
              </w:rPr>
            </w:pPr>
            <w:r>
              <w:drawing>
                <wp:inline distT="0" distB="0" distL="114300" distR="114300">
                  <wp:extent cx="5043170" cy="1407160"/>
                  <wp:effectExtent l="0" t="0" r="5080" b="2540"/>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r:embed="rId11"/>
                          <a:stretch>
                            <a:fillRect/>
                          </a:stretch>
                        </pic:blipFill>
                        <pic:spPr>
                          <a:xfrm>
                            <a:off x="0" y="0"/>
                            <a:ext cx="5043170" cy="1407160"/>
                          </a:xfrm>
                          <a:prstGeom prst="rect">
                            <a:avLst/>
                          </a:prstGeom>
                          <a:noFill/>
                          <a:ln>
                            <a:noFill/>
                          </a:ln>
                        </pic:spPr>
                      </pic:pic>
                    </a:graphicData>
                  </a:graphic>
                </wp:inline>
              </w:drawing>
            </w:r>
          </w:p>
          <w:p w14:paraId="3F62172A">
            <w:pPr>
              <w:autoSpaceDE w:val="0"/>
              <w:autoSpaceDN w:val="0"/>
              <w:adjustRightInd w:val="0"/>
              <w:spacing w:line="360" w:lineRule="auto"/>
              <w:jc w:val="center"/>
              <w:rPr>
                <w:rFonts w:hint="eastAsia" w:ascii="宋体" w:hAnsi="宋体" w:cs="宋体"/>
                <w:b/>
                <w:bCs/>
                <w:color w:val="000000"/>
                <w:szCs w:val="21"/>
              </w:rPr>
            </w:pPr>
            <w:r>
              <w:rPr>
                <w:b/>
                <w:bCs/>
                <w:kern w:val="0"/>
                <w:szCs w:val="21"/>
              </w:rPr>
              <w:t>图2</w:t>
            </w:r>
            <w:r>
              <w:rPr>
                <w:rFonts w:hint="eastAsia"/>
                <w:b/>
                <w:bCs/>
                <w:kern w:val="0"/>
                <w:szCs w:val="21"/>
              </w:rPr>
              <w:t>-</w:t>
            </w:r>
            <w:r>
              <w:rPr>
                <w:rFonts w:hint="eastAsia"/>
                <w:b/>
                <w:bCs/>
                <w:kern w:val="0"/>
                <w:szCs w:val="21"/>
                <w:lang w:val="en-US" w:eastAsia="zh-CN"/>
              </w:rPr>
              <w:t>5</w:t>
            </w:r>
            <w:r>
              <w:rPr>
                <w:rFonts w:hint="eastAsia"/>
                <w:b/>
                <w:bCs/>
                <w:kern w:val="0"/>
                <w:szCs w:val="21"/>
              </w:rPr>
              <w:t xml:space="preserve"> </w:t>
            </w:r>
            <w:r>
              <w:rPr>
                <w:rFonts w:hint="eastAsia"/>
                <w:b/>
                <w:bCs/>
                <w:kern w:val="0"/>
                <w:szCs w:val="21"/>
                <w:lang w:val="en-US" w:eastAsia="zh-CN"/>
              </w:rPr>
              <w:t>热转印</w:t>
            </w:r>
            <w:r>
              <w:rPr>
                <w:rFonts w:hint="eastAsia" w:ascii="宋体" w:hAnsi="宋体" w:cs="宋体"/>
                <w:b/>
                <w:bCs/>
                <w:color w:val="000000"/>
                <w:szCs w:val="21"/>
              </w:rPr>
              <w:t>工艺及产污节点图</w:t>
            </w:r>
          </w:p>
          <w:p w14:paraId="5DD1C29F">
            <w:pPr>
              <w:keepNext w:val="0"/>
              <w:keepLines w:val="0"/>
              <w:pageBreakBefore w:val="0"/>
              <w:widowControl w:val="0"/>
              <w:kinsoku/>
              <w:wordWrap/>
              <w:overflowPunct/>
              <w:topLinePunct w:val="0"/>
              <w:autoSpaceDE w:val="0"/>
              <w:autoSpaceDN w:val="0"/>
              <w:bidi w:val="0"/>
              <w:adjustRightInd w:val="0"/>
              <w:snapToGrid/>
              <w:spacing w:before="157" w:beforeLines="50" w:line="360" w:lineRule="auto"/>
              <w:ind w:firstLine="420" w:firstLineChars="200"/>
              <w:textAlignment w:val="auto"/>
              <w:rPr>
                <w:kern w:val="0"/>
                <w:szCs w:val="21"/>
              </w:rPr>
            </w:pPr>
            <w:r>
              <w:rPr>
                <w:kern w:val="0"/>
                <w:szCs w:val="21"/>
              </w:rPr>
              <w:t>生产工艺流程说明：</w:t>
            </w:r>
          </w:p>
          <w:p w14:paraId="53243FC3">
            <w:pPr>
              <w:pStyle w:val="25"/>
              <w:numPr>
                <w:ilvl w:val="0"/>
                <w:numId w:val="0"/>
              </w:numPr>
              <w:spacing w:line="360" w:lineRule="auto"/>
              <w:ind w:left="0" w:leftChars="0" w:firstLine="420" w:firstLineChars="200"/>
              <w:rPr>
                <w:rFonts w:hint="default"/>
                <w:lang w:val="en-US"/>
              </w:rPr>
            </w:pPr>
            <w:r>
              <w:rPr>
                <w:rFonts w:hint="default" w:ascii="Times New Roman" w:hAnsi="Times New Roman" w:eastAsia="宋体" w:cs="Times New Roman"/>
                <w:kern w:val="2"/>
                <w:sz w:val="21"/>
                <w:szCs w:val="21"/>
                <w:lang w:val="en-US" w:eastAsia="zh-CN" w:bidi="ar-SA"/>
              </w:rPr>
              <w:t>（1）</w:t>
            </w:r>
            <w:r>
              <w:rPr>
                <w:rFonts w:hint="eastAsia" w:ascii="Times New Roman" w:hAnsi="Times New Roman" w:cs="Times New Roman"/>
                <w:kern w:val="2"/>
                <w:sz w:val="21"/>
                <w:szCs w:val="21"/>
                <w:lang w:val="en-US" w:eastAsia="zh-CN" w:bidi="ar-SA"/>
              </w:rPr>
              <w:t>激光内雕工艺</w:t>
            </w:r>
          </w:p>
          <w:p w14:paraId="0A02B9A9">
            <w:pPr>
              <w:spacing w:line="360" w:lineRule="auto"/>
              <w:ind w:firstLine="420" w:firstLineChars="200"/>
              <w:rPr>
                <w:rFonts w:hint="eastAsia"/>
                <w:lang w:val="en-US" w:eastAsia="zh-CN"/>
              </w:rPr>
            </w:pPr>
            <w:r>
              <w:rPr>
                <w:rFonts w:hint="eastAsia"/>
                <w:lang w:val="en-US" w:eastAsia="zh-CN"/>
              </w:rPr>
              <w:t>玻璃酒瓶头按照设计经内雕机激光雕刻后送入超声波清洗机进行清洗，由前文水平衡可知，清洗水量为2000t/a，40%氢氟酸年用量为1t，则清洗工艺氢氟酸浓度为0.02%，参照《污染源源强核算技术指南 电镀》（HJ984-2018）附录B“</w:t>
            </w:r>
            <w:r>
              <w:rPr>
                <w:rFonts w:hint="default"/>
                <w:vertAlign w:val="baseline"/>
                <w:lang w:val="en-US" w:eastAsia="zh-CN"/>
              </w:rPr>
              <w:t>锌铝等合金件低浓度活化处理槽液</w:t>
            </w:r>
            <w:r>
              <w:rPr>
                <w:rFonts w:hint="eastAsia"/>
                <w:vertAlign w:val="baseline"/>
                <w:lang w:val="en-US" w:eastAsia="zh-CN"/>
              </w:rPr>
              <w:t>中氟化物的产生量可忽略</w:t>
            </w:r>
            <w:r>
              <w:rPr>
                <w:rFonts w:hint="eastAsia"/>
                <w:lang w:val="en-US" w:eastAsia="zh-CN"/>
              </w:rPr>
              <w:t>”。清洗后的玻璃酒瓶头经检验后打包入库。此工艺产生切削液有机废气G1、清洗废水W1、不合格品S1-1和设备噪声N。</w:t>
            </w:r>
          </w:p>
          <w:p w14:paraId="3AA9E881">
            <w:pPr>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lang w:val="en-US" w:eastAsia="zh-CN"/>
              </w:rPr>
            </w:pPr>
            <w:r>
              <w:rPr>
                <w:rFonts w:hint="eastAsia"/>
                <w:b/>
                <w:bCs/>
                <w:lang w:val="en-US" w:eastAsia="zh-CN"/>
              </w:rPr>
              <w:t>表2-9 《污染源源强核算技术指南 电镀》（HJ984-2018）附录B（摘录）</w:t>
            </w:r>
          </w:p>
          <w:tbl>
            <w:tblPr>
              <w:tblStyle w:val="31"/>
              <w:tblW w:w="803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00"/>
              <w:gridCol w:w="1702"/>
              <w:gridCol w:w="5036"/>
            </w:tblGrid>
            <w:tr w14:paraId="6310AD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1300" w:type="dxa"/>
                  <w:tcBorders>
                    <w:tl2br w:val="nil"/>
                    <w:tr2bl w:val="nil"/>
                  </w:tcBorders>
                  <w:shd w:val="clear" w:color="auto" w:fill="auto"/>
                  <w:vAlign w:val="center"/>
                </w:tcPr>
                <w:p w14:paraId="2BD52966">
                  <w:pPr>
                    <w:jc w:val="center"/>
                    <w:rPr>
                      <w:rFonts w:hint="default" w:ascii="Times New Roman" w:hAnsi="Times New Roman" w:eastAsia="宋体" w:cs="Times New Roman"/>
                      <w:b/>
                      <w:kern w:val="2"/>
                      <w:sz w:val="21"/>
                      <w:szCs w:val="24"/>
                      <w:lang w:val="en-US" w:eastAsia="zh-CN" w:bidi="ar-SA"/>
                    </w:rPr>
                  </w:pPr>
                  <w:r>
                    <w:rPr>
                      <w:rFonts w:ascii="Times New Roman" w:cs="Times New Roman"/>
                      <w:b/>
                      <w:sz w:val="21"/>
                    </w:rPr>
                    <w:t>污染物名称</w:t>
                  </w:r>
                </w:p>
              </w:tc>
              <w:tc>
                <w:tcPr>
                  <w:tcW w:w="1702" w:type="dxa"/>
                  <w:tcBorders>
                    <w:tl2br w:val="nil"/>
                    <w:tr2bl w:val="nil"/>
                  </w:tcBorders>
                  <w:shd w:val="clear" w:color="auto" w:fill="auto"/>
                  <w:vAlign w:val="center"/>
                </w:tcPr>
                <w:p w14:paraId="51716DE8">
                  <w:pPr>
                    <w:jc w:val="center"/>
                    <w:rPr>
                      <w:rFonts w:hint="default" w:ascii="Times New Roman" w:hAnsi="Times New Roman" w:eastAsia="宋体" w:cs="Times New Roman"/>
                      <w:b/>
                      <w:kern w:val="2"/>
                      <w:sz w:val="21"/>
                      <w:szCs w:val="24"/>
                      <w:lang w:val="en-US" w:eastAsia="zh-CN" w:bidi="ar-SA"/>
                    </w:rPr>
                  </w:pPr>
                  <w:r>
                    <w:rPr>
                      <w:rFonts w:ascii="Times New Roman" w:cs="Times New Roman"/>
                      <w:b/>
                      <w:sz w:val="21"/>
                    </w:rPr>
                    <w:t>产生量（</w:t>
                  </w:r>
                  <w:r>
                    <w:rPr>
                      <w:rFonts w:ascii="Times New Roman" w:hAnsi="Times New Roman" w:cs="Times New Roman"/>
                      <w:b/>
                      <w:sz w:val="21"/>
                    </w:rPr>
                    <w:t>g/m</w:t>
                  </w:r>
                  <w:r>
                    <w:rPr>
                      <w:rFonts w:ascii="Times New Roman" w:hAnsi="Times New Roman" w:cs="Times New Roman"/>
                      <w:b/>
                      <w:sz w:val="21"/>
                      <w:vertAlign w:val="superscript"/>
                    </w:rPr>
                    <w:t>2</w:t>
                  </w:r>
                  <w:r>
                    <w:rPr>
                      <w:rFonts w:ascii="Times New Roman" w:hAnsi="Times New Roman" w:cs="Times New Roman"/>
                      <w:b/>
                      <w:sz w:val="21"/>
                    </w:rPr>
                    <w:t>·h</w:t>
                  </w:r>
                  <w:r>
                    <w:rPr>
                      <w:rFonts w:ascii="Times New Roman" w:cs="Times New Roman"/>
                      <w:b/>
                      <w:sz w:val="21"/>
                    </w:rPr>
                    <w:t>）</w:t>
                  </w:r>
                </w:p>
              </w:tc>
              <w:tc>
                <w:tcPr>
                  <w:tcW w:w="5036" w:type="dxa"/>
                  <w:tcBorders>
                    <w:tl2br w:val="nil"/>
                    <w:tr2bl w:val="nil"/>
                  </w:tcBorders>
                  <w:shd w:val="clear" w:color="auto" w:fill="auto"/>
                  <w:vAlign w:val="center"/>
                </w:tcPr>
                <w:p w14:paraId="27AB8DE0">
                  <w:pPr>
                    <w:jc w:val="center"/>
                    <w:rPr>
                      <w:rFonts w:hint="default" w:ascii="Times New Roman" w:hAnsi="Times New Roman" w:eastAsia="宋体" w:cs="Times New Roman"/>
                      <w:b/>
                      <w:kern w:val="2"/>
                      <w:sz w:val="21"/>
                      <w:szCs w:val="24"/>
                      <w:lang w:val="en-US" w:eastAsia="zh-CN" w:bidi="ar-SA"/>
                    </w:rPr>
                  </w:pPr>
                  <w:r>
                    <w:rPr>
                      <w:rFonts w:ascii="Times New Roman" w:cs="Times New Roman"/>
                      <w:b/>
                      <w:sz w:val="21"/>
                    </w:rPr>
                    <w:t>适用范围</w:t>
                  </w:r>
                </w:p>
              </w:tc>
            </w:tr>
            <w:tr w14:paraId="508EB8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0" w:type="dxa"/>
                  <w:vMerge w:val="restart"/>
                  <w:tcBorders>
                    <w:tl2br w:val="nil"/>
                    <w:tr2bl w:val="nil"/>
                  </w:tcBorders>
                  <w:vAlign w:val="center"/>
                </w:tcPr>
                <w:p w14:paraId="70202C4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vertAlign w:val="baseline"/>
                      <w:lang w:val="en-US" w:eastAsia="zh-CN"/>
                    </w:rPr>
                  </w:pPr>
                  <w:r>
                    <w:rPr>
                      <w:rFonts w:hint="eastAsia"/>
                      <w:vertAlign w:val="baseline"/>
                      <w:lang w:val="en-US" w:eastAsia="zh-CN"/>
                    </w:rPr>
                    <w:t>氟化物</w:t>
                  </w:r>
                </w:p>
              </w:tc>
              <w:tc>
                <w:tcPr>
                  <w:tcW w:w="1702" w:type="dxa"/>
                  <w:tcBorders>
                    <w:tl2br w:val="nil"/>
                    <w:tr2bl w:val="nil"/>
                  </w:tcBorders>
                  <w:vAlign w:val="center"/>
                </w:tcPr>
                <w:p w14:paraId="231CE50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vertAlign w:val="baseline"/>
                      <w:lang w:val="en-US" w:eastAsia="zh-CN"/>
                    </w:rPr>
                  </w:pPr>
                  <w:r>
                    <w:rPr>
                      <w:rFonts w:hint="eastAsia"/>
                      <w:vertAlign w:val="baseline"/>
                      <w:lang w:val="en-US" w:eastAsia="zh-CN"/>
                    </w:rPr>
                    <w:t>72.0</w:t>
                  </w:r>
                </w:p>
              </w:tc>
              <w:tc>
                <w:tcPr>
                  <w:tcW w:w="5036" w:type="dxa"/>
                  <w:tcBorders>
                    <w:tl2br w:val="nil"/>
                    <w:tr2bl w:val="nil"/>
                  </w:tcBorders>
                  <w:vAlign w:val="center"/>
                </w:tcPr>
                <w:p w14:paraId="64A3DA3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vertAlign w:val="baseline"/>
                      <w:lang w:val="en-US" w:eastAsia="zh-CN"/>
                    </w:rPr>
                  </w:pPr>
                  <w:r>
                    <w:rPr>
                      <w:rFonts w:hint="default"/>
                      <w:vertAlign w:val="baseline"/>
                      <w:lang w:val="en-US" w:eastAsia="zh-CN"/>
                    </w:rPr>
                    <w:t>在氢氟酸及其盐溶液中进行金属的化学和电化学加工</w:t>
                  </w:r>
                </w:p>
              </w:tc>
            </w:tr>
            <w:tr w14:paraId="1B361A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0" w:type="dxa"/>
                  <w:vMerge w:val="continue"/>
                  <w:tcBorders>
                    <w:tl2br w:val="nil"/>
                    <w:tr2bl w:val="nil"/>
                  </w:tcBorders>
                  <w:vAlign w:val="center"/>
                </w:tcPr>
                <w:p w14:paraId="3794F64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vertAlign w:val="baseline"/>
                      <w:lang w:val="en-US" w:eastAsia="zh-CN"/>
                    </w:rPr>
                  </w:pPr>
                </w:p>
              </w:tc>
              <w:tc>
                <w:tcPr>
                  <w:tcW w:w="1702" w:type="dxa"/>
                  <w:tcBorders>
                    <w:tl2br w:val="nil"/>
                    <w:tr2bl w:val="nil"/>
                  </w:tcBorders>
                  <w:vAlign w:val="center"/>
                </w:tcPr>
                <w:p w14:paraId="301C8CC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vertAlign w:val="baseline"/>
                      <w:lang w:val="en-US" w:eastAsia="zh-CN"/>
                    </w:rPr>
                  </w:pPr>
                  <w:r>
                    <w:rPr>
                      <w:rFonts w:hint="eastAsia"/>
                      <w:vertAlign w:val="baseline"/>
                      <w:lang w:val="en-US" w:eastAsia="zh-CN"/>
                    </w:rPr>
                    <w:t>可忽略</w:t>
                  </w:r>
                </w:p>
              </w:tc>
              <w:tc>
                <w:tcPr>
                  <w:tcW w:w="5036" w:type="dxa"/>
                  <w:tcBorders>
                    <w:tl2br w:val="nil"/>
                    <w:tr2bl w:val="nil"/>
                  </w:tcBorders>
                  <w:vAlign w:val="center"/>
                </w:tcPr>
                <w:p w14:paraId="5F31DC72">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vertAlign w:val="baseline"/>
                      <w:lang w:val="en-US" w:eastAsia="zh-CN"/>
                    </w:rPr>
                  </w:pPr>
                  <w:r>
                    <w:rPr>
                      <w:rFonts w:hint="default"/>
                      <w:vertAlign w:val="baseline"/>
                      <w:lang w:val="en-US" w:eastAsia="zh-CN"/>
                    </w:rPr>
                    <w:t>锌铝等合金件低浓度活化处理槽液</w:t>
                  </w:r>
                </w:p>
              </w:tc>
            </w:tr>
          </w:tbl>
          <w:p w14:paraId="449DB42A">
            <w:pPr>
              <w:pStyle w:val="25"/>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left="0" w:leftChars="0" w:firstLine="420" w:firstLineChars="200"/>
              <w:textAlignment w:val="auto"/>
              <w:rPr>
                <w:rFonts w:hint="default" w:eastAsia="宋体"/>
                <w:lang w:val="en-US" w:eastAsia="zh-CN"/>
              </w:rPr>
            </w:pPr>
            <w:r>
              <w:rPr>
                <w:rFonts w:hint="default" w:ascii="Times New Roman" w:hAnsi="Times New Roman" w:eastAsia="宋体" w:cs="Times New Roman"/>
                <w:kern w:val="2"/>
                <w:sz w:val="21"/>
                <w:szCs w:val="21"/>
                <w:lang w:val="en-US" w:eastAsia="zh-CN" w:bidi="ar-SA"/>
              </w:rPr>
              <w:t>（2）</w:t>
            </w:r>
            <w:r>
              <w:rPr>
                <w:rFonts w:hint="eastAsia"/>
                <w:lang w:val="en-US" w:eastAsia="zh-CN"/>
              </w:rPr>
              <w:t>直印工艺</w:t>
            </w:r>
          </w:p>
          <w:p w14:paraId="2CD72562">
            <w:pPr>
              <w:spacing w:line="360" w:lineRule="auto"/>
              <w:ind w:firstLine="420" w:firstLineChars="200"/>
              <w:rPr>
                <w:rFonts w:hint="eastAsia"/>
                <w:lang w:val="en-US" w:eastAsia="zh-CN"/>
              </w:rPr>
            </w:pPr>
            <w:r>
              <w:rPr>
                <w:rFonts w:hint="eastAsia"/>
                <w:lang w:val="en-US" w:eastAsia="zh-CN"/>
              </w:rPr>
              <w:t>直印不同于网印，无需印版，直接将图案或文字打印到酒瓶上。企业根据客户设计的图案或文字将玻璃酒瓶经直印机、烫金机进行表面印刷，直印、烫金后的玻璃酒瓶依托现有150</w:t>
            </w:r>
            <w:r>
              <w:rPr>
                <w:rFonts w:hint="default" w:ascii="Times New Roman" w:hAnsi="Times New Roman" w:cs="Times New Roman"/>
                <w:lang w:val="en-US" w:eastAsia="zh-CN"/>
              </w:rPr>
              <w:t>℃</w:t>
            </w:r>
            <w:r>
              <w:rPr>
                <w:rFonts w:hint="eastAsia" w:ascii="Times New Roman" w:hAnsi="Times New Roman" w:cs="Times New Roman"/>
                <w:lang w:val="en-US" w:eastAsia="zh-CN"/>
              </w:rPr>
              <w:t>低温烤花炉进行烘干</w:t>
            </w:r>
            <w:r>
              <w:rPr>
                <w:rFonts w:hint="eastAsia"/>
                <w:lang w:val="en-US" w:eastAsia="zh-CN"/>
              </w:rPr>
              <w:t>，烘干后的玻璃酒瓶经检验后打包入库</w:t>
            </w:r>
            <w:r>
              <w:t>。</w:t>
            </w:r>
            <w:r>
              <w:rPr>
                <w:rFonts w:hint="eastAsia"/>
                <w:lang w:val="en-US" w:eastAsia="zh-CN"/>
              </w:rPr>
              <w:t>此工艺产生有机废气G2-1、G2-2和不合格品S1-2。</w:t>
            </w:r>
          </w:p>
          <w:p w14:paraId="5A958C5A">
            <w:pPr>
              <w:spacing w:line="360" w:lineRule="auto"/>
              <w:ind w:firstLine="420" w:firstLineChars="200"/>
              <w:rPr>
                <w:rFonts w:hint="eastAsia"/>
                <w:lang w:val="en-US" w:eastAsia="zh-CN"/>
              </w:rPr>
            </w:pPr>
            <w:r>
              <w:rPr>
                <w:rFonts w:hint="eastAsia"/>
                <w:lang w:val="en-US" w:eastAsia="zh-CN"/>
              </w:rPr>
              <w:t>（3）热转印工艺</w:t>
            </w:r>
          </w:p>
          <w:p w14:paraId="386F2EB8">
            <w:pPr>
              <w:spacing w:line="360" w:lineRule="auto"/>
              <w:ind w:firstLine="420" w:firstLineChars="200"/>
              <w:rPr>
                <w:rFonts w:hint="default"/>
                <w:lang w:val="en-US" w:eastAsia="zh-CN"/>
              </w:rPr>
            </w:pPr>
            <w:r>
              <w:rPr>
                <w:rFonts w:hint="eastAsia"/>
                <w:lang w:val="en-US" w:eastAsia="zh-CN"/>
              </w:rPr>
              <w:t>热转印工艺是将彩色图案薄膜通过热转印机加热、加压从而转印到玻璃酒瓶表面，热转印后的玻璃酒瓶烘干后经检验打包入库。此工艺产生有机废气G3-1、G3-2和不合格品S1-3。</w:t>
            </w:r>
          </w:p>
        </w:tc>
      </w:tr>
      <w:tr w14:paraId="0F6E3A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83" w:hRule="atLeast"/>
          <w:jc w:val="center"/>
        </w:trPr>
        <w:tc>
          <w:tcPr>
            <w:tcW w:w="753" w:type="dxa"/>
            <w:vAlign w:val="center"/>
          </w:tcPr>
          <w:p w14:paraId="2C4DA54A">
            <w:pPr>
              <w:pStyle w:val="27"/>
              <w:adjustRightInd w:val="0"/>
              <w:snapToGrid w:val="0"/>
              <w:spacing w:before="0" w:beforeAutospacing="0" w:after="0" w:afterAutospacing="0"/>
              <w:jc w:val="center"/>
              <w:rPr>
                <w:rFonts w:ascii="Times New Roman" w:hAnsi="Times New Roman" w:cs="宋体"/>
                <w:sz w:val="21"/>
                <w:szCs w:val="21"/>
              </w:rPr>
            </w:pPr>
            <w:r>
              <w:rPr>
                <w:rFonts w:hint="eastAsia" w:ascii="Times New Roman" w:hAnsi="Times New Roman" w:cs="宋体"/>
                <w:bCs/>
                <w:kern w:val="2"/>
                <w:sz w:val="21"/>
                <w:szCs w:val="21"/>
              </w:rPr>
              <w:t>与项目有关的原有环境污染问题</w:t>
            </w:r>
          </w:p>
        </w:tc>
        <w:tc>
          <w:tcPr>
            <w:tcW w:w="8161" w:type="dxa"/>
          </w:tcPr>
          <w:p w14:paraId="39CAE159">
            <w:pPr>
              <w:numPr>
                <w:ilvl w:val="0"/>
                <w:numId w:val="5"/>
              </w:numPr>
              <w:adjustRightInd w:val="0"/>
              <w:spacing w:line="360" w:lineRule="auto"/>
              <w:ind w:firstLine="422" w:firstLineChars="200"/>
              <w:rPr>
                <w:b/>
                <w:bCs/>
                <w:color w:val="auto"/>
              </w:rPr>
            </w:pPr>
            <w:r>
              <w:rPr>
                <w:rFonts w:hint="eastAsia"/>
                <w:b/>
                <w:bCs/>
                <w:color w:val="auto"/>
              </w:rPr>
              <w:t>现有项目概况</w:t>
            </w:r>
          </w:p>
          <w:p w14:paraId="3733E887">
            <w:pPr>
              <w:adjustRightInd w:val="0"/>
              <w:spacing w:line="360" w:lineRule="auto"/>
              <w:ind w:firstLine="420" w:firstLineChars="200"/>
              <w:rPr>
                <w:rFonts w:hint="default" w:eastAsia="宋体"/>
                <w:color w:val="auto"/>
                <w:lang w:val="en-US" w:eastAsia="zh-CN"/>
              </w:rPr>
            </w:pPr>
            <w:r>
              <w:rPr>
                <w:color w:val="auto"/>
              </w:rPr>
              <w:t>江苏晶瑞玻璃有限公司</w:t>
            </w:r>
            <w:r>
              <w:rPr>
                <w:bCs/>
                <w:color w:val="auto"/>
              </w:rPr>
              <w:t>成立于2012年4月11日</w:t>
            </w:r>
            <w:r>
              <w:rPr>
                <w:color w:val="auto"/>
              </w:rPr>
              <w:t>，公司位于泗阳经济开发区众兴东路</w:t>
            </w:r>
            <w:r>
              <w:rPr>
                <w:rFonts w:hint="eastAsia"/>
                <w:color w:val="auto"/>
              </w:rPr>
              <w:t>282</w:t>
            </w:r>
            <w:r>
              <w:rPr>
                <w:color w:val="auto"/>
              </w:rPr>
              <w:t>号，公司现有</w:t>
            </w:r>
            <w:r>
              <w:rPr>
                <w:rFonts w:hint="eastAsia"/>
                <w:color w:val="auto"/>
              </w:rPr>
              <w:t>年产1.1亿只玻璃酒瓶项目，已于2014年7月取得原泗阳县环境保护局批复（泗环评</w:t>
            </w:r>
            <w:r>
              <w:rPr>
                <w:color w:val="auto"/>
                <w:kern w:val="0"/>
                <w:szCs w:val="21"/>
              </w:rPr>
              <w:t>﹝</w:t>
            </w:r>
            <w:r>
              <w:rPr>
                <w:rFonts w:hint="eastAsia"/>
                <w:color w:val="auto"/>
                <w:kern w:val="0"/>
                <w:szCs w:val="21"/>
              </w:rPr>
              <w:t>2014</w:t>
            </w:r>
            <w:r>
              <w:rPr>
                <w:color w:val="auto"/>
                <w:kern w:val="0"/>
                <w:szCs w:val="21"/>
              </w:rPr>
              <w:t>﹞</w:t>
            </w:r>
            <w:r>
              <w:rPr>
                <w:rFonts w:hint="eastAsia"/>
                <w:color w:val="auto"/>
              </w:rPr>
              <w:t>96号）。该项目已于2015年10月建成并投入试生产，并于2017年1月通过原泗阳县环境保护局竣工环保验收（环验</w:t>
            </w:r>
            <w:r>
              <w:rPr>
                <w:color w:val="auto"/>
                <w:kern w:val="0"/>
                <w:szCs w:val="21"/>
              </w:rPr>
              <w:t>﹝</w:t>
            </w:r>
            <w:r>
              <w:rPr>
                <w:rFonts w:hint="eastAsia"/>
                <w:color w:val="auto"/>
                <w:kern w:val="0"/>
                <w:szCs w:val="21"/>
              </w:rPr>
              <w:t>2017</w:t>
            </w:r>
            <w:r>
              <w:rPr>
                <w:color w:val="auto"/>
                <w:kern w:val="0"/>
                <w:szCs w:val="21"/>
              </w:rPr>
              <w:t>﹞</w:t>
            </w:r>
            <w:r>
              <w:rPr>
                <w:rFonts w:hint="eastAsia"/>
                <w:color w:val="auto"/>
              </w:rPr>
              <w:t>001号）正式投入生产。项目于2019年11月30日取得排污许可证（编号：91321323593926158R001U）；</w:t>
            </w:r>
            <w:r>
              <w:rPr>
                <w:color w:val="auto"/>
              </w:rPr>
              <w:t>现有</w:t>
            </w:r>
            <w:r>
              <w:rPr>
                <w:rFonts w:hint="eastAsia"/>
                <w:bCs/>
                <w:color w:val="auto"/>
                <w:szCs w:val="21"/>
              </w:rPr>
              <w:t>年产600万只真空离子镀膜玻璃瓶与6000万只水性玻璃釉酒瓶项目，</w:t>
            </w:r>
            <w:r>
              <w:rPr>
                <w:rFonts w:hint="eastAsia"/>
                <w:color w:val="auto"/>
              </w:rPr>
              <w:t>已于2022年10月取得</w:t>
            </w:r>
            <w:r>
              <w:rPr>
                <w:rFonts w:hint="eastAsia"/>
                <w:color w:val="auto"/>
                <w:szCs w:val="22"/>
              </w:rPr>
              <w:t>宿迁市生态环境局</w:t>
            </w:r>
            <w:r>
              <w:rPr>
                <w:rFonts w:hint="eastAsia"/>
                <w:color w:val="auto"/>
              </w:rPr>
              <w:t>批复（</w:t>
            </w:r>
            <w:r>
              <w:rPr>
                <w:rFonts w:hint="eastAsia"/>
                <w:color w:val="auto"/>
                <w:szCs w:val="22"/>
              </w:rPr>
              <w:t>宿环建管表</w:t>
            </w:r>
            <w:r>
              <w:rPr>
                <w:color w:val="auto"/>
                <w:kern w:val="0"/>
                <w:szCs w:val="21"/>
              </w:rPr>
              <w:t>﹝</w:t>
            </w:r>
            <w:r>
              <w:rPr>
                <w:rFonts w:hint="eastAsia"/>
                <w:color w:val="auto"/>
                <w:kern w:val="0"/>
                <w:szCs w:val="21"/>
              </w:rPr>
              <w:t>2022</w:t>
            </w:r>
            <w:r>
              <w:rPr>
                <w:color w:val="auto"/>
                <w:kern w:val="0"/>
                <w:szCs w:val="21"/>
              </w:rPr>
              <w:t>﹞</w:t>
            </w:r>
            <w:r>
              <w:rPr>
                <w:rFonts w:hint="eastAsia"/>
                <w:color w:val="auto"/>
                <w:kern w:val="0"/>
                <w:szCs w:val="21"/>
              </w:rPr>
              <w:t>20098</w:t>
            </w:r>
            <w:r>
              <w:rPr>
                <w:rFonts w:hint="eastAsia"/>
                <w:color w:val="auto"/>
                <w:szCs w:val="22"/>
              </w:rPr>
              <w:t>号</w:t>
            </w:r>
            <w:r>
              <w:rPr>
                <w:rFonts w:hint="eastAsia"/>
                <w:color w:val="auto"/>
              </w:rPr>
              <w:t>）。该项目已</w:t>
            </w:r>
            <w:r>
              <w:rPr>
                <w:rFonts w:hint="eastAsia" w:ascii="Times New Roman" w:hAnsi="Times New Roman" w:eastAsia="宋体" w:cs="Times New Roman"/>
                <w:color w:val="auto"/>
                <w:kern w:val="0"/>
                <w:szCs w:val="21"/>
              </w:rPr>
              <w:t>于2022年11月建</w:t>
            </w:r>
            <w:r>
              <w:rPr>
                <w:rFonts w:hint="eastAsia"/>
                <w:color w:val="auto"/>
              </w:rPr>
              <w:t>成并投入试生产，并于2023年9月通过自主环保验收正式投入生产。项目于2022年11月3日对排污许可证进行重新</w:t>
            </w:r>
            <w:r>
              <w:rPr>
                <w:rFonts w:hint="eastAsia"/>
                <w:color w:val="auto"/>
                <w:lang w:val="en-US" w:eastAsia="zh-CN"/>
              </w:rPr>
              <w:t>申请</w:t>
            </w:r>
            <w:r>
              <w:rPr>
                <w:rFonts w:hint="eastAsia"/>
                <w:color w:val="auto"/>
              </w:rPr>
              <w:t>。</w:t>
            </w:r>
            <w:r>
              <w:rPr>
                <w:color w:val="auto"/>
              </w:rPr>
              <w:t>现有</w:t>
            </w:r>
            <w:r>
              <w:rPr>
                <w:rFonts w:hint="eastAsia"/>
                <w:bCs/>
                <w:color w:val="auto"/>
                <w:szCs w:val="21"/>
              </w:rPr>
              <w:t>年产4500万只中高档酒瓶技术改造项目，</w:t>
            </w:r>
            <w:r>
              <w:rPr>
                <w:rFonts w:hint="eastAsia"/>
                <w:color w:val="auto"/>
              </w:rPr>
              <w:t>已于202</w:t>
            </w:r>
            <w:r>
              <w:rPr>
                <w:rFonts w:hint="eastAsia"/>
                <w:color w:val="auto"/>
                <w:lang w:val="en-US" w:eastAsia="zh-CN"/>
              </w:rPr>
              <w:t>4</w:t>
            </w:r>
            <w:r>
              <w:rPr>
                <w:rFonts w:hint="eastAsia"/>
                <w:color w:val="auto"/>
              </w:rPr>
              <w:t>年</w:t>
            </w:r>
            <w:r>
              <w:rPr>
                <w:rFonts w:hint="eastAsia"/>
                <w:color w:val="auto"/>
                <w:lang w:val="en-US" w:eastAsia="zh-CN"/>
              </w:rPr>
              <w:t>4</w:t>
            </w:r>
            <w:r>
              <w:rPr>
                <w:rFonts w:hint="eastAsia"/>
                <w:color w:val="auto"/>
              </w:rPr>
              <w:t>月取得</w:t>
            </w:r>
            <w:r>
              <w:rPr>
                <w:rFonts w:hint="eastAsia"/>
                <w:color w:val="auto"/>
                <w:szCs w:val="22"/>
              </w:rPr>
              <w:t>宿迁市生态环境局</w:t>
            </w:r>
            <w:r>
              <w:rPr>
                <w:rFonts w:hint="eastAsia"/>
                <w:color w:val="auto"/>
              </w:rPr>
              <w:t>批复（</w:t>
            </w:r>
            <w:r>
              <w:rPr>
                <w:rFonts w:hint="eastAsia"/>
                <w:color w:val="auto"/>
                <w:szCs w:val="22"/>
              </w:rPr>
              <w:t>宿环建管表</w:t>
            </w:r>
            <w:r>
              <w:rPr>
                <w:color w:val="auto"/>
                <w:kern w:val="0"/>
                <w:szCs w:val="21"/>
              </w:rPr>
              <w:t>﹝</w:t>
            </w:r>
            <w:r>
              <w:rPr>
                <w:rFonts w:hint="eastAsia"/>
                <w:color w:val="auto"/>
                <w:kern w:val="0"/>
                <w:szCs w:val="21"/>
              </w:rPr>
              <w:t>202</w:t>
            </w:r>
            <w:r>
              <w:rPr>
                <w:rFonts w:hint="eastAsia"/>
                <w:color w:val="auto"/>
                <w:kern w:val="0"/>
                <w:szCs w:val="21"/>
                <w:lang w:val="en-US" w:eastAsia="zh-CN"/>
              </w:rPr>
              <w:t>4</w:t>
            </w:r>
            <w:r>
              <w:rPr>
                <w:color w:val="auto"/>
                <w:kern w:val="0"/>
                <w:szCs w:val="21"/>
              </w:rPr>
              <w:t>﹞</w:t>
            </w:r>
            <w:r>
              <w:rPr>
                <w:rFonts w:hint="eastAsia"/>
                <w:color w:val="auto"/>
                <w:kern w:val="0"/>
                <w:szCs w:val="21"/>
              </w:rPr>
              <w:t>200</w:t>
            </w:r>
            <w:r>
              <w:rPr>
                <w:rFonts w:hint="eastAsia"/>
                <w:color w:val="auto"/>
                <w:kern w:val="0"/>
                <w:szCs w:val="21"/>
                <w:lang w:val="en-US" w:eastAsia="zh-CN"/>
              </w:rPr>
              <w:t>35</w:t>
            </w:r>
            <w:r>
              <w:rPr>
                <w:rFonts w:hint="eastAsia"/>
                <w:color w:val="auto"/>
                <w:szCs w:val="22"/>
              </w:rPr>
              <w:t>号</w:t>
            </w:r>
            <w:r>
              <w:rPr>
                <w:rFonts w:hint="eastAsia"/>
                <w:color w:val="auto"/>
              </w:rPr>
              <w:t>）</w:t>
            </w:r>
            <w:r>
              <w:rPr>
                <w:rFonts w:hint="eastAsia"/>
                <w:color w:val="auto"/>
                <w:lang w:eastAsia="zh-CN"/>
              </w:rPr>
              <w:t>，</w:t>
            </w:r>
            <w:r>
              <w:rPr>
                <w:rFonts w:hint="eastAsia"/>
                <w:color w:val="auto"/>
                <w:lang w:val="en-US" w:eastAsia="zh-CN"/>
              </w:rPr>
              <w:t>该项目已于2024年5月开工建设，2024年7月建设完成并投入试运行，</w:t>
            </w:r>
            <w:r>
              <w:rPr>
                <w:rFonts w:hint="eastAsia"/>
                <w:color w:val="auto"/>
              </w:rPr>
              <w:t>并于202</w:t>
            </w:r>
            <w:r>
              <w:rPr>
                <w:rFonts w:hint="eastAsia"/>
                <w:color w:val="auto"/>
                <w:lang w:val="en-US" w:eastAsia="zh-CN"/>
              </w:rPr>
              <w:t>5</w:t>
            </w:r>
            <w:r>
              <w:rPr>
                <w:rFonts w:hint="eastAsia"/>
                <w:color w:val="auto"/>
              </w:rPr>
              <w:t>年</w:t>
            </w:r>
            <w:r>
              <w:rPr>
                <w:rFonts w:hint="eastAsia"/>
                <w:color w:val="auto"/>
                <w:lang w:val="en-US" w:eastAsia="zh-CN"/>
              </w:rPr>
              <w:t>3</w:t>
            </w:r>
            <w:r>
              <w:rPr>
                <w:rFonts w:hint="eastAsia"/>
                <w:color w:val="auto"/>
              </w:rPr>
              <w:t>月通过自主环保验收正式投入生产</w:t>
            </w:r>
            <w:r>
              <w:rPr>
                <w:rFonts w:hint="eastAsia"/>
                <w:color w:val="auto"/>
                <w:lang w:eastAsia="zh-CN"/>
              </w:rPr>
              <w:t>。</w:t>
            </w:r>
            <w:r>
              <w:rPr>
                <w:rFonts w:hint="eastAsia"/>
                <w:color w:val="auto"/>
              </w:rPr>
              <w:t>项目于202</w:t>
            </w:r>
            <w:r>
              <w:rPr>
                <w:rFonts w:hint="eastAsia"/>
                <w:color w:val="auto"/>
                <w:lang w:val="en-US" w:eastAsia="zh-CN"/>
              </w:rPr>
              <w:t>5</w:t>
            </w:r>
            <w:r>
              <w:rPr>
                <w:rFonts w:hint="eastAsia"/>
                <w:color w:val="auto"/>
              </w:rPr>
              <w:t>年</w:t>
            </w:r>
            <w:r>
              <w:rPr>
                <w:rFonts w:hint="eastAsia"/>
                <w:color w:val="auto"/>
                <w:lang w:val="en-US" w:eastAsia="zh-CN"/>
              </w:rPr>
              <w:t>3</w:t>
            </w:r>
            <w:r>
              <w:rPr>
                <w:rFonts w:hint="eastAsia"/>
                <w:color w:val="auto"/>
              </w:rPr>
              <w:t>月3日对排污许可证进行重新</w:t>
            </w:r>
            <w:r>
              <w:rPr>
                <w:rFonts w:hint="eastAsia"/>
                <w:color w:val="auto"/>
                <w:lang w:val="en-US" w:eastAsia="zh-CN"/>
              </w:rPr>
              <w:t>申请</w:t>
            </w:r>
            <w:r>
              <w:rPr>
                <w:rFonts w:hint="eastAsia"/>
                <w:color w:val="auto"/>
              </w:rPr>
              <w:t>。</w:t>
            </w:r>
            <w:r>
              <w:rPr>
                <w:rFonts w:hint="eastAsia"/>
                <w:color w:val="auto"/>
                <w:lang w:val="en-US" w:eastAsia="zh-CN"/>
              </w:rPr>
              <w:t>2024年9月，企业对玻璃窑炉废气脱硫、脱硝、除尘系统进行升级改造，采用陶瓷一体化技术取代SNCR脱硝、SCR脱硝、循环流化床脱硫、布袋除尘等传统工艺，该项目已于建设项目环境影响登记表备案系统登记备案，备案号：202432132300000132。</w:t>
            </w:r>
          </w:p>
          <w:p w14:paraId="5D6C4AAC">
            <w:pPr>
              <w:adjustRightInd w:val="0"/>
              <w:spacing w:line="360" w:lineRule="auto"/>
              <w:ind w:firstLine="420" w:firstLineChars="200"/>
              <w:jc w:val="left"/>
              <w:rPr>
                <w:color w:val="auto"/>
                <w:szCs w:val="21"/>
              </w:rPr>
            </w:pPr>
            <w:r>
              <w:rPr>
                <w:rFonts w:hint="eastAsia"/>
                <w:color w:val="auto"/>
                <w:szCs w:val="21"/>
              </w:rPr>
              <w:t>公司现有</w:t>
            </w:r>
            <w:r>
              <w:rPr>
                <w:color w:val="auto"/>
                <w:szCs w:val="21"/>
              </w:rPr>
              <w:t>项目</w:t>
            </w:r>
            <w:r>
              <w:rPr>
                <w:rFonts w:hint="eastAsia"/>
                <w:color w:val="auto"/>
                <w:szCs w:val="21"/>
              </w:rPr>
              <w:t>环保手续履行</w:t>
            </w:r>
            <w:r>
              <w:rPr>
                <w:color w:val="auto"/>
                <w:szCs w:val="21"/>
              </w:rPr>
              <w:t>情况见表</w:t>
            </w:r>
            <w:r>
              <w:rPr>
                <w:rFonts w:hint="eastAsia"/>
                <w:color w:val="auto"/>
                <w:szCs w:val="21"/>
              </w:rPr>
              <w:t>2-</w:t>
            </w:r>
            <w:r>
              <w:rPr>
                <w:rFonts w:hint="eastAsia"/>
                <w:color w:val="auto"/>
                <w:szCs w:val="21"/>
                <w:lang w:val="en-US" w:eastAsia="zh-CN"/>
              </w:rPr>
              <w:t>10</w:t>
            </w:r>
            <w:r>
              <w:rPr>
                <w:rFonts w:hint="eastAsia"/>
                <w:color w:val="auto"/>
                <w:szCs w:val="21"/>
              </w:rPr>
              <w:t>。</w:t>
            </w:r>
          </w:p>
          <w:p w14:paraId="1E799B34">
            <w:pPr>
              <w:spacing w:before="120" w:beforeLines="50"/>
              <w:jc w:val="center"/>
              <w:rPr>
                <w:b/>
                <w:bCs/>
                <w:color w:val="auto"/>
                <w:szCs w:val="21"/>
              </w:rPr>
            </w:pPr>
            <w:r>
              <w:rPr>
                <w:b/>
                <w:bCs/>
                <w:color w:val="auto"/>
                <w:szCs w:val="21"/>
              </w:rPr>
              <w:t>表</w:t>
            </w:r>
            <w:r>
              <w:rPr>
                <w:rFonts w:hint="eastAsia"/>
                <w:b/>
                <w:bCs/>
                <w:color w:val="auto"/>
                <w:szCs w:val="21"/>
              </w:rPr>
              <w:t>2-</w:t>
            </w:r>
            <w:r>
              <w:rPr>
                <w:rFonts w:hint="eastAsia"/>
                <w:b/>
                <w:bCs/>
                <w:color w:val="auto"/>
                <w:szCs w:val="21"/>
                <w:lang w:val="en-US" w:eastAsia="zh-CN"/>
              </w:rPr>
              <w:t>10</w:t>
            </w:r>
            <w:r>
              <w:rPr>
                <w:b/>
                <w:bCs/>
                <w:color w:val="auto"/>
                <w:szCs w:val="21"/>
              </w:rPr>
              <w:t xml:space="preserve"> </w:t>
            </w:r>
            <w:r>
              <w:rPr>
                <w:rFonts w:hint="eastAsia"/>
                <w:b/>
                <w:bCs/>
                <w:color w:val="auto"/>
                <w:szCs w:val="21"/>
              </w:rPr>
              <w:t>现有</w:t>
            </w:r>
            <w:r>
              <w:rPr>
                <w:b/>
                <w:bCs/>
                <w:color w:val="auto"/>
                <w:szCs w:val="21"/>
              </w:rPr>
              <w:t>项目</w:t>
            </w:r>
            <w:r>
              <w:rPr>
                <w:rFonts w:hint="eastAsia"/>
                <w:b/>
                <w:bCs/>
                <w:color w:val="auto"/>
                <w:szCs w:val="21"/>
              </w:rPr>
              <w:t>环保手续履行</w:t>
            </w:r>
            <w:r>
              <w:rPr>
                <w:b/>
                <w:bCs/>
                <w:color w:val="auto"/>
                <w:szCs w:val="21"/>
              </w:rPr>
              <w:t>情况</w:t>
            </w:r>
          </w:p>
          <w:tbl>
            <w:tblPr>
              <w:tblStyle w:val="3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372"/>
              <w:gridCol w:w="1707"/>
              <w:gridCol w:w="1187"/>
              <w:gridCol w:w="908"/>
              <w:gridCol w:w="1185"/>
              <w:gridCol w:w="2586"/>
            </w:tblGrid>
            <w:tr w14:paraId="143A27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72" w:type="dxa"/>
                  <w:vAlign w:val="center"/>
                </w:tcPr>
                <w:p w14:paraId="3A43D0E3">
                  <w:pPr>
                    <w:autoSpaceDE w:val="0"/>
                    <w:autoSpaceDN w:val="0"/>
                    <w:jc w:val="center"/>
                    <w:rPr>
                      <w:b/>
                      <w:bCs/>
                      <w:color w:val="auto"/>
                      <w:szCs w:val="21"/>
                    </w:rPr>
                  </w:pPr>
                  <w:r>
                    <w:rPr>
                      <w:b/>
                      <w:bCs/>
                      <w:color w:val="auto"/>
                      <w:szCs w:val="21"/>
                    </w:rPr>
                    <w:t>序号</w:t>
                  </w:r>
                </w:p>
              </w:tc>
              <w:tc>
                <w:tcPr>
                  <w:tcW w:w="1707" w:type="dxa"/>
                  <w:vAlign w:val="center"/>
                </w:tcPr>
                <w:p w14:paraId="56B17ABE">
                  <w:pPr>
                    <w:autoSpaceDE w:val="0"/>
                    <w:autoSpaceDN w:val="0"/>
                    <w:jc w:val="center"/>
                    <w:rPr>
                      <w:b/>
                      <w:bCs/>
                      <w:color w:val="auto"/>
                      <w:szCs w:val="21"/>
                    </w:rPr>
                  </w:pPr>
                  <w:r>
                    <w:rPr>
                      <w:rFonts w:hint="eastAsia"/>
                      <w:b/>
                      <w:bCs/>
                      <w:color w:val="auto"/>
                      <w:szCs w:val="21"/>
                    </w:rPr>
                    <w:t>现有</w:t>
                  </w:r>
                  <w:r>
                    <w:rPr>
                      <w:b/>
                      <w:bCs/>
                      <w:color w:val="auto"/>
                      <w:szCs w:val="21"/>
                    </w:rPr>
                    <w:t>项目</w:t>
                  </w:r>
                </w:p>
              </w:tc>
              <w:tc>
                <w:tcPr>
                  <w:tcW w:w="1187" w:type="dxa"/>
                  <w:vAlign w:val="center"/>
                </w:tcPr>
                <w:p w14:paraId="71BEA289">
                  <w:pPr>
                    <w:jc w:val="center"/>
                    <w:rPr>
                      <w:b/>
                      <w:bCs/>
                      <w:color w:val="auto"/>
                      <w:szCs w:val="21"/>
                    </w:rPr>
                  </w:pPr>
                  <w:r>
                    <w:rPr>
                      <w:rFonts w:hint="eastAsia"/>
                      <w:b/>
                      <w:bCs/>
                      <w:color w:val="auto"/>
                      <w:szCs w:val="21"/>
                    </w:rPr>
                    <w:t>环评</w:t>
                  </w:r>
                  <w:r>
                    <w:rPr>
                      <w:b/>
                      <w:bCs/>
                      <w:color w:val="auto"/>
                      <w:szCs w:val="21"/>
                    </w:rPr>
                    <w:t>审批情况</w:t>
                  </w:r>
                </w:p>
              </w:tc>
              <w:tc>
                <w:tcPr>
                  <w:tcW w:w="908" w:type="dxa"/>
                  <w:vAlign w:val="center"/>
                </w:tcPr>
                <w:p w14:paraId="396E67F8">
                  <w:pPr>
                    <w:jc w:val="center"/>
                    <w:rPr>
                      <w:b/>
                      <w:bCs/>
                      <w:color w:val="auto"/>
                      <w:szCs w:val="21"/>
                    </w:rPr>
                  </w:pPr>
                  <w:r>
                    <w:rPr>
                      <w:b/>
                      <w:bCs/>
                      <w:color w:val="auto"/>
                      <w:szCs w:val="21"/>
                    </w:rPr>
                    <w:t>建设及运行情况</w:t>
                  </w:r>
                </w:p>
              </w:tc>
              <w:tc>
                <w:tcPr>
                  <w:tcW w:w="1185" w:type="dxa"/>
                  <w:vAlign w:val="center"/>
                </w:tcPr>
                <w:p w14:paraId="5B9754DB">
                  <w:pPr>
                    <w:jc w:val="center"/>
                    <w:rPr>
                      <w:b/>
                      <w:bCs/>
                      <w:color w:val="auto"/>
                      <w:szCs w:val="21"/>
                    </w:rPr>
                  </w:pPr>
                  <w:r>
                    <w:rPr>
                      <w:b/>
                      <w:bCs/>
                      <w:color w:val="auto"/>
                      <w:szCs w:val="21"/>
                    </w:rPr>
                    <w:t>验收情况</w:t>
                  </w:r>
                </w:p>
              </w:tc>
              <w:tc>
                <w:tcPr>
                  <w:tcW w:w="2586" w:type="dxa"/>
                  <w:vAlign w:val="center"/>
                </w:tcPr>
                <w:p w14:paraId="579F4580">
                  <w:pPr>
                    <w:jc w:val="center"/>
                    <w:rPr>
                      <w:b/>
                      <w:bCs/>
                      <w:color w:val="auto"/>
                      <w:szCs w:val="21"/>
                    </w:rPr>
                  </w:pPr>
                  <w:r>
                    <w:rPr>
                      <w:b/>
                      <w:bCs/>
                      <w:color w:val="auto"/>
                      <w:szCs w:val="21"/>
                    </w:rPr>
                    <w:t>排污许可</w:t>
                  </w:r>
                </w:p>
              </w:tc>
            </w:tr>
            <w:tr w14:paraId="40A871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72" w:type="dxa"/>
                  <w:vAlign w:val="center"/>
                </w:tcPr>
                <w:p w14:paraId="160D17B5">
                  <w:pPr>
                    <w:autoSpaceDE w:val="0"/>
                    <w:autoSpaceDN w:val="0"/>
                    <w:jc w:val="center"/>
                    <w:rPr>
                      <w:color w:val="auto"/>
                      <w:szCs w:val="21"/>
                    </w:rPr>
                  </w:pPr>
                  <w:r>
                    <w:rPr>
                      <w:color w:val="auto"/>
                      <w:szCs w:val="21"/>
                    </w:rPr>
                    <w:t>1</w:t>
                  </w:r>
                </w:p>
              </w:tc>
              <w:tc>
                <w:tcPr>
                  <w:tcW w:w="1707" w:type="dxa"/>
                  <w:vAlign w:val="center"/>
                </w:tcPr>
                <w:p w14:paraId="0F534469">
                  <w:pPr>
                    <w:autoSpaceDE w:val="0"/>
                    <w:autoSpaceDN w:val="0"/>
                    <w:jc w:val="center"/>
                    <w:rPr>
                      <w:color w:val="auto"/>
                      <w:szCs w:val="21"/>
                    </w:rPr>
                  </w:pPr>
                  <w:r>
                    <w:rPr>
                      <w:color w:val="auto"/>
                      <w:szCs w:val="21"/>
                    </w:rPr>
                    <w:t>年产1.1亿只玻璃酒瓶项目</w:t>
                  </w:r>
                </w:p>
              </w:tc>
              <w:tc>
                <w:tcPr>
                  <w:tcW w:w="1187" w:type="dxa"/>
                  <w:vAlign w:val="center"/>
                </w:tcPr>
                <w:p w14:paraId="087438D4">
                  <w:pPr>
                    <w:pStyle w:val="29"/>
                    <w:snapToGrid/>
                    <w:spacing w:before="0" w:after="0" w:line="240" w:lineRule="auto"/>
                    <w:ind w:right="0" w:firstLine="0" w:firstLineChars="0"/>
                    <w:jc w:val="center"/>
                    <w:rPr>
                      <w:rFonts w:eastAsia="宋体"/>
                      <w:color w:val="auto"/>
                      <w:sz w:val="21"/>
                      <w:szCs w:val="21"/>
                    </w:rPr>
                  </w:pPr>
                  <w:r>
                    <w:rPr>
                      <w:rFonts w:eastAsia="宋体"/>
                      <w:color w:val="auto"/>
                      <w:sz w:val="21"/>
                      <w:szCs w:val="21"/>
                    </w:rPr>
                    <w:t>泗环评</w:t>
                  </w:r>
                  <w:r>
                    <w:rPr>
                      <w:rFonts w:hint="eastAsia" w:ascii="宋体" w:hAnsi="宋体" w:eastAsia="宋体" w:cs="宋体"/>
                      <w:color w:val="auto"/>
                      <w:sz w:val="21"/>
                      <w:szCs w:val="21"/>
                    </w:rPr>
                    <w:t>﹝</w:t>
                  </w:r>
                  <w:r>
                    <w:rPr>
                      <w:rFonts w:hint="eastAsia"/>
                      <w:color w:val="auto"/>
                      <w:sz w:val="21"/>
                      <w:szCs w:val="21"/>
                    </w:rPr>
                    <w:t>2014</w:t>
                  </w:r>
                  <w:r>
                    <w:rPr>
                      <w:rFonts w:hint="eastAsia" w:ascii="宋体" w:hAnsi="宋体" w:eastAsia="宋体" w:cs="宋体"/>
                      <w:color w:val="auto"/>
                      <w:sz w:val="21"/>
                      <w:szCs w:val="21"/>
                    </w:rPr>
                    <w:t>﹞</w:t>
                  </w:r>
                  <w:r>
                    <w:rPr>
                      <w:rFonts w:eastAsia="宋体"/>
                      <w:color w:val="auto"/>
                      <w:sz w:val="21"/>
                      <w:szCs w:val="21"/>
                    </w:rPr>
                    <w:t>96号</w:t>
                  </w:r>
                </w:p>
              </w:tc>
              <w:tc>
                <w:tcPr>
                  <w:tcW w:w="908" w:type="dxa"/>
                  <w:vAlign w:val="center"/>
                </w:tcPr>
                <w:p w14:paraId="6DB4D7D5">
                  <w:pPr>
                    <w:autoSpaceDE w:val="0"/>
                    <w:autoSpaceDN w:val="0"/>
                    <w:jc w:val="center"/>
                    <w:rPr>
                      <w:color w:val="auto"/>
                      <w:szCs w:val="21"/>
                    </w:rPr>
                  </w:pPr>
                  <w:r>
                    <w:rPr>
                      <w:color w:val="auto"/>
                      <w:szCs w:val="21"/>
                    </w:rPr>
                    <w:t>已建成投入生产</w:t>
                  </w:r>
                </w:p>
              </w:tc>
              <w:tc>
                <w:tcPr>
                  <w:tcW w:w="1185" w:type="dxa"/>
                  <w:vAlign w:val="center"/>
                </w:tcPr>
                <w:p w14:paraId="4DC8F6C5">
                  <w:pPr>
                    <w:autoSpaceDE w:val="0"/>
                    <w:autoSpaceDN w:val="0"/>
                    <w:jc w:val="center"/>
                    <w:rPr>
                      <w:color w:val="auto"/>
                      <w:szCs w:val="21"/>
                    </w:rPr>
                  </w:pPr>
                  <w:r>
                    <w:rPr>
                      <w:color w:val="auto"/>
                      <w:szCs w:val="21"/>
                    </w:rPr>
                    <w:t>环验</w:t>
                  </w:r>
                  <w:r>
                    <w:rPr>
                      <w:color w:val="auto"/>
                      <w:kern w:val="0"/>
                      <w:szCs w:val="21"/>
                    </w:rPr>
                    <w:t>﹝</w:t>
                  </w:r>
                  <w:r>
                    <w:rPr>
                      <w:rFonts w:hint="eastAsia"/>
                      <w:color w:val="auto"/>
                      <w:kern w:val="0"/>
                      <w:szCs w:val="21"/>
                    </w:rPr>
                    <w:t>2017</w:t>
                  </w:r>
                  <w:r>
                    <w:rPr>
                      <w:color w:val="auto"/>
                      <w:kern w:val="0"/>
                      <w:szCs w:val="21"/>
                    </w:rPr>
                    <w:t>﹞</w:t>
                  </w:r>
                  <w:r>
                    <w:rPr>
                      <w:color w:val="auto"/>
                      <w:szCs w:val="21"/>
                    </w:rPr>
                    <w:t>001号</w:t>
                  </w:r>
                </w:p>
              </w:tc>
              <w:tc>
                <w:tcPr>
                  <w:tcW w:w="2586" w:type="dxa"/>
                  <w:vAlign w:val="center"/>
                </w:tcPr>
                <w:p w14:paraId="31AFCF17">
                  <w:pPr>
                    <w:autoSpaceDE w:val="0"/>
                    <w:autoSpaceDN w:val="0"/>
                    <w:jc w:val="center"/>
                    <w:rPr>
                      <w:color w:val="auto"/>
                      <w:szCs w:val="21"/>
                    </w:rPr>
                  </w:pPr>
                  <w:r>
                    <w:rPr>
                      <w:color w:val="auto"/>
                      <w:szCs w:val="21"/>
                    </w:rPr>
                    <w:t>已取得排污许可证（编号：91321323593926158R001U）</w:t>
                  </w:r>
                </w:p>
              </w:tc>
            </w:tr>
            <w:tr w14:paraId="5C2C7B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72" w:type="dxa"/>
                  <w:vAlign w:val="center"/>
                </w:tcPr>
                <w:p w14:paraId="1927A9BB">
                  <w:pPr>
                    <w:autoSpaceDE w:val="0"/>
                    <w:autoSpaceDN w:val="0"/>
                    <w:jc w:val="center"/>
                    <w:rPr>
                      <w:color w:val="auto"/>
                      <w:szCs w:val="21"/>
                    </w:rPr>
                  </w:pPr>
                  <w:r>
                    <w:rPr>
                      <w:rFonts w:hint="eastAsia"/>
                      <w:color w:val="auto"/>
                      <w:szCs w:val="21"/>
                    </w:rPr>
                    <w:t>2</w:t>
                  </w:r>
                </w:p>
              </w:tc>
              <w:tc>
                <w:tcPr>
                  <w:tcW w:w="1707" w:type="dxa"/>
                  <w:vAlign w:val="center"/>
                </w:tcPr>
                <w:p w14:paraId="21A71E7D">
                  <w:pPr>
                    <w:autoSpaceDE w:val="0"/>
                    <w:autoSpaceDN w:val="0"/>
                    <w:jc w:val="center"/>
                    <w:rPr>
                      <w:color w:val="auto"/>
                      <w:szCs w:val="21"/>
                    </w:rPr>
                  </w:pPr>
                  <w:r>
                    <w:rPr>
                      <w:rFonts w:hint="eastAsia"/>
                      <w:bCs/>
                      <w:color w:val="auto"/>
                      <w:szCs w:val="21"/>
                    </w:rPr>
                    <w:t>年产600万只真空离子镀膜玻璃瓶与6000万只水性玻璃釉酒瓶项目</w:t>
                  </w:r>
                </w:p>
              </w:tc>
              <w:tc>
                <w:tcPr>
                  <w:tcW w:w="1187" w:type="dxa"/>
                  <w:vAlign w:val="center"/>
                </w:tcPr>
                <w:p w14:paraId="234953B0">
                  <w:pPr>
                    <w:pStyle w:val="29"/>
                    <w:snapToGrid/>
                    <w:spacing w:before="0" w:after="0" w:line="240" w:lineRule="auto"/>
                    <w:ind w:right="0" w:firstLine="0" w:firstLineChars="0"/>
                    <w:jc w:val="center"/>
                    <w:rPr>
                      <w:rFonts w:eastAsia="宋体"/>
                      <w:color w:val="auto"/>
                      <w:sz w:val="21"/>
                      <w:szCs w:val="21"/>
                    </w:rPr>
                  </w:pPr>
                  <w:r>
                    <w:rPr>
                      <w:rFonts w:eastAsia="宋体"/>
                      <w:color w:val="auto"/>
                      <w:sz w:val="21"/>
                      <w:szCs w:val="21"/>
                    </w:rPr>
                    <w:t>宿环建管表﹝2022﹞20098号</w:t>
                  </w:r>
                </w:p>
              </w:tc>
              <w:tc>
                <w:tcPr>
                  <w:tcW w:w="908" w:type="dxa"/>
                  <w:vAlign w:val="center"/>
                </w:tcPr>
                <w:p w14:paraId="4F1C5C35">
                  <w:pPr>
                    <w:autoSpaceDE w:val="0"/>
                    <w:autoSpaceDN w:val="0"/>
                    <w:jc w:val="center"/>
                    <w:rPr>
                      <w:color w:val="auto"/>
                      <w:szCs w:val="21"/>
                    </w:rPr>
                  </w:pPr>
                  <w:r>
                    <w:rPr>
                      <w:color w:val="auto"/>
                      <w:szCs w:val="21"/>
                    </w:rPr>
                    <w:t>已建成投入生产</w:t>
                  </w:r>
                </w:p>
              </w:tc>
              <w:tc>
                <w:tcPr>
                  <w:tcW w:w="1185" w:type="dxa"/>
                  <w:vAlign w:val="center"/>
                </w:tcPr>
                <w:p w14:paraId="0E0A2BDB">
                  <w:pPr>
                    <w:autoSpaceDE w:val="0"/>
                    <w:autoSpaceDN w:val="0"/>
                    <w:jc w:val="center"/>
                    <w:rPr>
                      <w:color w:val="auto"/>
                      <w:szCs w:val="21"/>
                    </w:rPr>
                  </w:pPr>
                  <w:r>
                    <w:rPr>
                      <w:rFonts w:hint="eastAsia"/>
                      <w:color w:val="auto"/>
                      <w:szCs w:val="21"/>
                    </w:rPr>
                    <w:t>自主验收</w:t>
                  </w:r>
                </w:p>
              </w:tc>
              <w:tc>
                <w:tcPr>
                  <w:tcW w:w="2586" w:type="dxa"/>
                  <w:vAlign w:val="center"/>
                </w:tcPr>
                <w:p w14:paraId="374138CA">
                  <w:pPr>
                    <w:autoSpaceDE w:val="0"/>
                    <w:autoSpaceDN w:val="0"/>
                    <w:jc w:val="center"/>
                    <w:rPr>
                      <w:color w:val="auto"/>
                      <w:szCs w:val="21"/>
                    </w:rPr>
                  </w:pPr>
                  <w:r>
                    <w:rPr>
                      <w:color w:val="auto"/>
                      <w:szCs w:val="21"/>
                    </w:rPr>
                    <w:t>已</w:t>
                  </w:r>
                  <w:r>
                    <w:rPr>
                      <w:rFonts w:hint="eastAsia"/>
                      <w:color w:val="auto"/>
                      <w:szCs w:val="21"/>
                      <w:lang w:val="en-US" w:eastAsia="zh-CN"/>
                    </w:rPr>
                    <w:t>重新申请</w:t>
                  </w:r>
                  <w:r>
                    <w:rPr>
                      <w:color w:val="auto"/>
                      <w:szCs w:val="21"/>
                    </w:rPr>
                    <w:t>排污许可证（编号：91321323593926158R001U）</w:t>
                  </w:r>
                </w:p>
              </w:tc>
            </w:tr>
            <w:tr w14:paraId="770550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72" w:type="dxa"/>
                  <w:vAlign w:val="center"/>
                </w:tcPr>
                <w:p w14:paraId="569698E5">
                  <w:pPr>
                    <w:autoSpaceDE w:val="0"/>
                    <w:autoSpaceDN w:val="0"/>
                    <w:jc w:val="center"/>
                    <w:rPr>
                      <w:rFonts w:hint="eastAsia" w:eastAsia="宋体"/>
                      <w:color w:val="auto"/>
                      <w:szCs w:val="21"/>
                      <w:lang w:val="en-US" w:eastAsia="zh-CN"/>
                    </w:rPr>
                  </w:pPr>
                  <w:r>
                    <w:rPr>
                      <w:rFonts w:hint="eastAsia"/>
                      <w:color w:val="auto"/>
                      <w:szCs w:val="21"/>
                      <w:lang w:val="en-US" w:eastAsia="zh-CN"/>
                    </w:rPr>
                    <w:t>3</w:t>
                  </w:r>
                </w:p>
              </w:tc>
              <w:tc>
                <w:tcPr>
                  <w:tcW w:w="1707" w:type="dxa"/>
                  <w:vAlign w:val="center"/>
                </w:tcPr>
                <w:p w14:paraId="421C2AA2">
                  <w:pPr>
                    <w:autoSpaceDE w:val="0"/>
                    <w:autoSpaceDN w:val="0"/>
                    <w:jc w:val="center"/>
                    <w:rPr>
                      <w:rFonts w:hint="eastAsia"/>
                      <w:bCs/>
                      <w:color w:val="auto"/>
                      <w:szCs w:val="21"/>
                    </w:rPr>
                  </w:pPr>
                  <w:r>
                    <w:rPr>
                      <w:rFonts w:hint="eastAsia"/>
                      <w:bCs/>
                      <w:color w:val="auto"/>
                      <w:szCs w:val="21"/>
                    </w:rPr>
                    <w:t>年产4500万只中高档酒瓶技术改造项目</w:t>
                  </w:r>
                </w:p>
              </w:tc>
              <w:tc>
                <w:tcPr>
                  <w:tcW w:w="1187" w:type="dxa"/>
                  <w:vAlign w:val="center"/>
                </w:tcPr>
                <w:p w14:paraId="09526CF4">
                  <w:pPr>
                    <w:pStyle w:val="29"/>
                    <w:snapToGrid/>
                    <w:spacing w:before="0" w:after="0" w:line="240" w:lineRule="auto"/>
                    <w:ind w:right="0" w:firstLine="0" w:firstLineChars="0"/>
                    <w:jc w:val="center"/>
                    <w:rPr>
                      <w:rFonts w:eastAsia="宋体"/>
                      <w:color w:val="auto"/>
                      <w:sz w:val="21"/>
                      <w:szCs w:val="21"/>
                    </w:rPr>
                  </w:pPr>
                  <w:r>
                    <w:rPr>
                      <w:rFonts w:eastAsia="宋体"/>
                      <w:color w:val="auto"/>
                      <w:sz w:val="21"/>
                      <w:szCs w:val="21"/>
                    </w:rPr>
                    <w:t>宿环建管表﹝202</w:t>
                  </w:r>
                  <w:r>
                    <w:rPr>
                      <w:rFonts w:hint="eastAsia" w:eastAsia="宋体"/>
                      <w:color w:val="auto"/>
                      <w:sz w:val="21"/>
                      <w:szCs w:val="21"/>
                      <w:lang w:val="en-US" w:eastAsia="zh-CN"/>
                    </w:rPr>
                    <w:t>4</w:t>
                  </w:r>
                  <w:r>
                    <w:rPr>
                      <w:rFonts w:eastAsia="宋体"/>
                      <w:color w:val="auto"/>
                      <w:sz w:val="21"/>
                      <w:szCs w:val="21"/>
                    </w:rPr>
                    <w:t>﹞200</w:t>
                  </w:r>
                  <w:r>
                    <w:rPr>
                      <w:rFonts w:hint="eastAsia" w:eastAsia="宋体"/>
                      <w:color w:val="auto"/>
                      <w:sz w:val="21"/>
                      <w:szCs w:val="21"/>
                      <w:lang w:val="en-US" w:eastAsia="zh-CN"/>
                    </w:rPr>
                    <w:t>35</w:t>
                  </w:r>
                  <w:r>
                    <w:rPr>
                      <w:rFonts w:eastAsia="宋体"/>
                      <w:color w:val="auto"/>
                      <w:sz w:val="21"/>
                      <w:szCs w:val="21"/>
                    </w:rPr>
                    <w:t>号</w:t>
                  </w:r>
                </w:p>
              </w:tc>
              <w:tc>
                <w:tcPr>
                  <w:tcW w:w="908" w:type="dxa"/>
                  <w:vAlign w:val="center"/>
                </w:tcPr>
                <w:p w14:paraId="69B14CC2">
                  <w:pPr>
                    <w:autoSpaceDE w:val="0"/>
                    <w:autoSpaceDN w:val="0"/>
                    <w:jc w:val="center"/>
                    <w:rPr>
                      <w:color w:val="auto"/>
                      <w:szCs w:val="21"/>
                    </w:rPr>
                  </w:pPr>
                  <w:r>
                    <w:rPr>
                      <w:color w:val="auto"/>
                      <w:szCs w:val="21"/>
                    </w:rPr>
                    <w:t>已建成投入生产</w:t>
                  </w:r>
                </w:p>
              </w:tc>
              <w:tc>
                <w:tcPr>
                  <w:tcW w:w="1185" w:type="dxa"/>
                  <w:vAlign w:val="center"/>
                </w:tcPr>
                <w:p w14:paraId="0E4481BD">
                  <w:pPr>
                    <w:autoSpaceDE w:val="0"/>
                    <w:autoSpaceDN w:val="0"/>
                    <w:jc w:val="center"/>
                    <w:rPr>
                      <w:rFonts w:hint="default" w:eastAsia="宋体"/>
                      <w:color w:val="auto"/>
                      <w:szCs w:val="21"/>
                      <w:lang w:val="en-US" w:eastAsia="zh-CN"/>
                    </w:rPr>
                  </w:pPr>
                  <w:r>
                    <w:rPr>
                      <w:rFonts w:hint="eastAsia"/>
                      <w:color w:val="auto"/>
                      <w:szCs w:val="21"/>
                      <w:lang w:val="en-US" w:eastAsia="zh-CN"/>
                    </w:rPr>
                    <w:t>自主验收</w:t>
                  </w:r>
                </w:p>
              </w:tc>
              <w:tc>
                <w:tcPr>
                  <w:tcW w:w="2586" w:type="dxa"/>
                  <w:vAlign w:val="center"/>
                </w:tcPr>
                <w:p w14:paraId="60B8728E">
                  <w:pPr>
                    <w:autoSpaceDE w:val="0"/>
                    <w:autoSpaceDN w:val="0"/>
                    <w:jc w:val="center"/>
                    <w:rPr>
                      <w:rFonts w:hint="eastAsia" w:eastAsia="宋体"/>
                      <w:color w:val="auto"/>
                      <w:szCs w:val="21"/>
                      <w:lang w:val="en-US" w:eastAsia="zh-CN"/>
                    </w:rPr>
                  </w:pPr>
                  <w:r>
                    <w:rPr>
                      <w:color w:val="auto"/>
                      <w:szCs w:val="21"/>
                    </w:rPr>
                    <w:t>已</w:t>
                  </w:r>
                  <w:r>
                    <w:rPr>
                      <w:rFonts w:hint="eastAsia"/>
                      <w:color w:val="auto"/>
                      <w:szCs w:val="21"/>
                      <w:lang w:val="en-US" w:eastAsia="zh-CN"/>
                    </w:rPr>
                    <w:t>重新申请</w:t>
                  </w:r>
                  <w:r>
                    <w:rPr>
                      <w:color w:val="auto"/>
                      <w:szCs w:val="21"/>
                    </w:rPr>
                    <w:t>排污许可证（编号：91321323593926158R001U）</w:t>
                  </w:r>
                </w:p>
              </w:tc>
            </w:tr>
          </w:tbl>
          <w:p w14:paraId="317C10A8">
            <w:pPr>
              <w:keepNext w:val="0"/>
              <w:keepLines w:val="0"/>
              <w:pageBreakBefore w:val="0"/>
              <w:widowControl w:val="0"/>
              <w:numPr>
                <w:ilvl w:val="0"/>
                <w:numId w:val="5"/>
              </w:numPr>
              <w:kinsoku/>
              <w:wordWrap/>
              <w:overflowPunct/>
              <w:topLinePunct w:val="0"/>
              <w:autoSpaceDE/>
              <w:autoSpaceDN/>
              <w:bidi w:val="0"/>
              <w:adjustRightInd w:val="0"/>
              <w:snapToGrid/>
              <w:spacing w:before="157" w:beforeLines="50" w:line="360" w:lineRule="auto"/>
              <w:ind w:firstLine="422" w:firstLineChars="200"/>
              <w:textAlignment w:val="auto"/>
              <w:rPr>
                <w:b/>
                <w:bCs/>
                <w:color w:val="auto"/>
              </w:rPr>
            </w:pPr>
            <w:r>
              <w:rPr>
                <w:rFonts w:hint="eastAsia"/>
                <w:b/>
                <w:bCs/>
                <w:color w:val="auto"/>
                <w:szCs w:val="21"/>
              </w:rPr>
              <w:t>现有项目生产工艺流程</w:t>
            </w:r>
          </w:p>
          <w:p w14:paraId="7F97BFF0">
            <w:pPr>
              <w:adjustRightInd w:val="0"/>
              <w:spacing w:line="360" w:lineRule="auto"/>
              <w:ind w:firstLine="420" w:firstLineChars="200"/>
              <w:rPr>
                <w:color w:val="auto"/>
                <w:szCs w:val="21"/>
              </w:rPr>
            </w:pPr>
            <w:r>
              <w:rPr>
                <w:rFonts w:hint="eastAsia"/>
                <w:color w:val="auto"/>
                <w:szCs w:val="21"/>
              </w:rPr>
              <w:t>1、玻璃酒瓶制造工艺</w:t>
            </w:r>
          </w:p>
          <w:p w14:paraId="7BAB6241">
            <w:pPr>
              <w:adjustRightInd w:val="0"/>
              <w:spacing w:line="360" w:lineRule="auto"/>
              <w:jc w:val="center"/>
              <w:rPr>
                <w:color w:val="auto"/>
                <w:szCs w:val="21"/>
              </w:rPr>
            </w:pPr>
            <w:r>
              <w:rPr>
                <w:color w:val="auto"/>
              </w:rPr>
              <w:drawing>
                <wp:inline distT="0" distB="0" distL="114300" distR="114300">
                  <wp:extent cx="2884805" cy="2645410"/>
                  <wp:effectExtent l="0" t="0" r="10795" b="2540"/>
                  <wp:docPr id="7" name="图片 7" descr="现有项目制瓶生产工艺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现有项目制瓶生产工艺流程图"/>
                          <pic:cNvPicPr>
                            <a:picLocks noChangeAspect="1"/>
                          </pic:cNvPicPr>
                        </pic:nvPicPr>
                        <pic:blipFill>
                          <a:blip r:embed="rId12"/>
                          <a:stretch>
                            <a:fillRect/>
                          </a:stretch>
                        </pic:blipFill>
                        <pic:spPr>
                          <a:xfrm>
                            <a:off x="0" y="0"/>
                            <a:ext cx="2884805" cy="2645410"/>
                          </a:xfrm>
                          <a:prstGeom prst="rect">
                            <a:avLst/>
                          </a:prstGeom>
                        </pic:spPr>
                      </pic:pic>
                    </a:graphicData>
                  </a:graphic>
                </wp:inline>
              </w:drawing>
            </w:r>
          </w:p>
          <w:p w14:paraId="78E5526B">
            <w:pPr>
              <w:adjustRightInd w:val="0"/>
              <w:spacing w:line="360" w:lineRule="auto"/>
              <w:jc w:val="center"/>
              <w:rPr>
                <w:b/>
                <w:bCs/>
                <w:color w:val="auto"/>
                <w:szCs w:val="21"/>
              </w:rPr>
            </w:pPr>
            <w:r>
              <w:rPr>
                <w:rFonts w:hint="eastAsia"/>
                <w:b/>
                <w:bCs/>
                <w:color w:val="auto"/>
                <w:szCs w:val="21"/>
              </w:rPr>
              <w:t>图2-</w:t>
            </w:r>
            <w:r>
              <w:rPr>
                <w:rFonts w:hint="eastAsia"/>
                <w:b/>
                <w:bCs/>
                <w:color w:val="auto"/>
                <w:szCs w:val="21"/>
                <w:lang w:val="en-US" w:eastAsia="zh-CN"/>
              </w:rPr>
              <w:t>6</w:t>
            </w:r>
            <w:r>
              <w:rPr>
                <w:rFonts w:hint="eastAsia"/>
                <w:b/>
                <w:bCs/>
                <w:color w:val="auto"/>
                <w:szCs w:val="21"/>
              </w:rPr>
              <w:t xml:space="preserve"> 现有项目玻璃酒瓶制造工艺流程图</w:t>
            </w:r>
          </w:p>
          <w:p w14:paraId="1097C7FD">
            <w:pPr>
              <w:autoSpaceDE w:val="0"/>
              <w:autoSpaceDN w:val="0"/>
              <w:adjustRightInd w:val="0"/>
              <w:spacing w:line="360" w:lineRule="auto"/>
              <w:ind w:left="105" w:leftChars="50" w:right="105" w:rightChars="50" w:firstLine="420" w:firstLineChars="200"/>
              <w:rPr>
                <w:color w:val="auto"/>
              </w:rPr>
            </w:pPr>
            <w:r>
              <w:rPr>
                <w:color w:val="auto"/>
              </w:rPr>
              <w:t>工艺流程简述：</w:t>
            </w:r>
          </w:p>
          <w:p w14:paraId="29DFE4CB">
            <w:pPr>
              <w:autoSpaceDE w:val="0"/>
              <w:autoSpaceDN w:val="0"/>
              <w:adjustRightInd w:val="0"/>
              <w:spacing w:line="360" w:lineRule="auto"/>
              <w:ind w:firstLine="420" w:firstLineChars="200"/>
              <w:rPr>
                <w:color w:val="auto"/>
              </w:rPr>
            </w:pPr>
            <w:r>
              <w:rPr>
                <w:rFonts w:hint="eastAsia"/>
                <w:color w:val="auto"/>
              </w:rPr>
              <w:t>①配料系统</w:t>
            </w:r>
          </w:p>
          <w:p w14:paraId="0D58F5D9">
            <w:pPr>
              <w:autoSpaceDE w:val="0"/>
              <w:autoSpaceDN w:val="0"/>
              <w:adjustRightInd w:val="0"/>
              <w:spacing w:line="360" w:lineRule="auto"/>
              <w:ind w:firstLine="420" w:firstLineChars="200"/>
              <w:rPr>
                <w:color w:val="auto"/>
              </w:rPr>
            </w:pPr>
            <w:r>
              <w:rPr>
                <w:rFonts w:hint="eastAsia"/>
                <w:color w:val="auto"/>
              </w:rPr>
              <w:t>该系统采用全自动控制，即本着人员少又能达到控制好配料的原则。流程：各种原料→电子称量→自动混料→检测→提升窑头料仓。根据设计料方采用电子称量、提升、混合方式，自动控制配料过程。此工序会产生混料粉尘。</w:t>
            </w:r>
          </w:p>
          <w:p w14:paraId="28DC3EDB">
            <w:pPr>
              <w:autoSpaceDE w:val="0"/>
              <w:autoSpaceDN w:val="0"/>
              <w:adjustRightInd w:val="0"/>
              <w:spacing w:line="360" w:lineRule="auto"/>
              <w:ind w:firstLine="420" w:firstLineChars="200"/>
              <w:rPr>
                <w:color w:val="auto"/>
              </w:rPr>
            </w:pPr>
            <w:r>
              <w:rPr>
                <w:rFonts w:hint="eastAsia"/>
                <w:color w:val="auto"/>
              </w:rPr>
              <w:t>②生产时首先将配料系统配置的原料进行搅拌，搅拌均匀后将配合料放入玻璃熔炉内进行熔化（天然气提供热源），熔化时的炉心温度为1500</w:t>
            </w:r>
            <w:r>
              <w:rPr>
                <w:color w:val="auto"/>
              </w:rPr>
              <w:t>℃</w:t>
            </w:r>
            <w:r>
              <w:rPr>
                <w:rFonts w:hint="eastAsia"/>
                <w:color w:val="auto"/>
              </w:rPr>
              <w:t>左右，熔化结束后玻璃液由供料道流至供料机，制瓶时供料机将料液滴入瓶模后用压缩空气进行吹成形，然后将成形的玻璃瓶输送进退火炉进行退火处理，退火的主要作用是消除内应力防止玻璃瓶产生冷爆，退火炉采用天然气作为退火能源，退火后进行检验，检验后合格产品进入烤花、喷漆、镀膜等精加工工序。此工序会产生玻璃炉窑废气。</w:t>
            </w:r>
          </w:p>
          <w:p w14:paraId="246413CE">
            <w:pPr>
              <w:numPr>
                <w:ilvl w:val="0"/>
                <w:numId w:val="6"/>
              </w:numPr>
              <w:autoSpaceDE w:val="0"/>
              <w:autoSpaceDN w:val="0"/>
              <w:adjustRightInd w:val="0"/>
              <w:spacing w:line="360" w:lineRule="auto"/>
              <w:ind w:firstLine="420" w:firstLineChars="200"/>
              <w:rPr>
                <w:color w:val="auto"/>
              </w:rPr>
            </w:pPr>
            <w:r>
              <w:rPr>
                <w:rFonts w:hint="eastAsia"/>
                <w:color w:val="auto"/>
              </w:rPr>
              <w:t>玻璃酒瓶烤花工艺</w:t>
            </w:r>
          </w:p>
          <w:p w14:paraId="2E587AD0">
            <w:pPr>
              <w:autoSpaceDE w:val="0"/>
              <w:autoSpaceDN w:val="0"/>
              <w:adjustRightInd w:val="0"/>
              <w:jc w:val="center"/>
              <w:rPr>
                <w:color w:val="auto"/>
              </w:rPr>
            </w:pPr>
            <w:r>
              <w:rPr>
                <w:color w:val="auto"/>
              </w:rPr>
              <w:drawing>
                <wp:inline distT="0" distB="0" distL="114300" distR="114300">
                  <wp:extent cx="3685540" cy="955675"/>
                  <wp:effectExtent l="0" t="0" r="10160" b="15875"/>
                  <wp:docPr id="3" name="图片 3" descr="现有项目玻璃酒瓶烤花生产工艺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现有项目玻璃酒瓶烤花生产工艺流程图"/>
                          <pic:cNvPicPr>
                            <a:picLocks noChangeAspect="1"/>
                          </pic:cNvPicPr>
                        </pic:nvPicPr>
                        <pic:blipFill>
                          <a:blip r:embed="rId13"/>
                          <a:stretch>
                            <a:fillRect/>
                          </a:stretch>
                        </pic:blipFill>
                        <pic:spPr>
                          <a:xfrm>
                            <a:off x="0" y="0"/>
                            <a:ext cx="3685540" cy="955675"/>
                          </a:xfrm>
                          <a:prstGeom prst="rect">
                            <a:avLst/>
                          </a:prstGeom>
                        </pic:spPr>
                      </pic:pic>
                    </a:graphicData>
                  </a:graphic>
                </wp:inline>
              </w:drawing>
            </w:r>
          </w:p>
          <w:p w14:paraId="136C4127">
            <w:pPr>
              <w:adjustRightInd w:val="0"/>
              <w:spacing w:line="360" w:lineRule="auto"/>
              <w:jc w:val="center"/>
              <w:rPr>
                <w:b/>
                <w:bCs/>
                <w:color w:val="auto"/>
                <w:szCs w:val="21"/>
              </w:rPr>
            </w:pPr>
            <w:r>
              <w:rPr>
                <w:rFonts w:hint="eastAsia"/>
                <w:b/>
                <w:bCs/>
                <w:color w:val="auto"/>
                <w:szCs w:val="21"/>
              </w:rPr>
              <w:t>图2-</w:t>
            </w:r>
            <w:r>
              <w:rPr>
                <w:rFonts w:hint="eastAsia"/>
                <w:b/>
                <w:bCs/>
                <w:color w:val="auto"/>
                <w:szCs w:val="21"/>
                <w:lang w:val="en-US" w:eastAsia="zh-CN"/>
              </w:rPr>
              <w:t>7</w:t>
            </w:r>
            <w:r>
              <w:rPr>
                <w:rFonts w:hint="eastAsia"/>
                <w:b/>
                <w:bCs/>
                <w:color w:val="auto"/>
                <w:szCs w:val="21"/>
              </w:rPr>
              <w:t xml:space="preserve"> 现有项目玻璃酒瓶烤花工艺流程图</w:t>
            </w:r>
          </w:p>
          <w:p w14:paraId="3B0C2280">
            <w:pPr>
              <w:autoSpaceDE w:val="0"/>
              <w:autoSpaceDN w:val="0"/>
              <w:adjustRightInd w:val="0"/>
              <w:spacing w:line="360" w:lineRule="auto"/>
              <w:ind w:left="105" w:leftChars="50" w:right="105" w:rightChars="50" w:firstLine="420" w:firstLineChars="200"/>
              <w:rPr>
                <w:color w:val="auto"/>
                <w:kern w:val="0"/>
                <w:szCs w:val="21"/>
              </w:rPr>
            </w:pPr>
            <w:r>
              <w:rPr>
                <w:rFonts w:hint="eastAsia"/>
                <w:color w:val="auto"/>
                <w:kern w:val="0"/>
                <w:szCs w:val="21"/>
              </w:rPr>
              <w:t>（1）贴花</w:t>
            </w:r>
          </w:p>
          <w:p w14:paraId="5B945E37">
            <w:pPr>
              <w:autoSpaceDE w:val="0"/>
              <w:autoSpaceDN w:val="0"/>
              <w:adjustRightInd w:val="0"/>
              <w:spacing w:line="360" w:lineRule="auto"/>
              <w:ind w:left="105" w:leftChars="50" w:right="105" w:rightChars="50" w:firstLine="420" w:firstLineChars="200"/>
              <w:rPr>
                <w:color w:val="auto"/>
                <w:kern w:val="0"/>
                <w:szCs w:val="21"/>
              </w:rPr>
            </w:pPr>
            <w:r>
              <w:rPr>
                <w:rFonts w:hint="eastAsia"/>
                <w:color w:val="auto"/>
                <w:kern w:val="0"/>
                <w:szCs w:val="21"/>
              </w:rPr>
              <w:t>根据客户的需要，部分玻璃瓶进行贴花及烤花处理。贴花前，玻璃瓶不进行清洗。贴花时工人先按照使用需要将一定数量的花纸在水里发开，进行贴花操作时，将发开的花纸贴在玻璃瓶身上，按压服帖。浸泡花纸用的水定期补充，不外排。</w:t>
            </w:r>
          </w:p>
          <w:p w14:paraId="65EF5C63">
            <w:pPr>
              <w:autoSpaceDE w:val="0"/>
              <w:autoSpaceDN w:val="0"/>
              <w:adjustRightInd w:val="0"/>
              <w:spacing w:line="360" w:lineRule="auto"/>
              <w:ind w:left="105" w:leftChars="50" w:right="105" w:rightChars="50" w:firstLine="420" w:firstLineChars="200"/>
              <w:rPr>
                <w:color w:val="auto"/>
                <w:kern w:val="0"/>
                <w:szCs w:val="21"/>
              </w:rPr>
            </w:pPr>
            <w:r>
              <w:rPr>
                <w:rFonts w:hint="eastAsia"/>
                <w:color w:val="auto"/>
                <w:kern w:val="0"/>
                <w:szCs w:val="21"/>
              </w:rPr>
              <w:t>（2）贴花检验</w:t>
            </w:r>
          </w:p>
          <w:p w14:paraId="2AB83E33">
            <w:pPr>
              <w:autoSpaceDE w:val="0"/>
              <w:autoSpaceDN w:val="0"/>
              <w:adjustRightInd w:val="0"/>
              <w:spacing w:line="360" w:lineRule="auto"/>
              <w:ind w:left="105" w:leftChars="50" w:right="105" w:rightChars="50" w:firstLine="420" w:firstLineChars="200"/>
              <w:rPr>
                <w:color w:val="auto"/>
                <w:kern w:val="0"/>
                <w:szCs w:val="21"/>
              </w:rPr>
            </w:pPr>
            <w:r>
              <w:rPr>
                <w:rFonts w:hint="eastAsia"/>
                <w:color w:val="auto"/>
                <w:kern w:val="0"/>
                <w:szCs w:val="21"/>
              </w:rPr>
              <w:t>检验贴花完整度，次品重新返工，合格品进入下一道工序</w:t>
            </w:r>
            <w:r>
              <w:rPr>
                <w:color w:val="auto"/>
                <w:kern w:val="0"/>
                <w:szCs w:val="21"/>
              </w:rPr>
              <w:t>。</w:t>
            </w:r>
          </w:p>
          <w:p w14:paraId="7936E425">
            <w:pPr>
              <w:autoSpaceDE w:val="0"/>
              <w:autoSpaceDN w:val="0"/>
              <w:adjustRightInd w:val="0"/>
              <w:spacing w:line="360" w:lineRule="auto"/>
              <w:ind w:left="105" w:leftChars="50" w:right="105" w:rightChars="50" w:firstLine="420" w:firstLineChars="200"/>
              <w:rPr>
                <w:color w:val="auto"/>
                <w:kern w:val="0"/>
                <w:szCs w:val="21"/>
              </w:rPr>
            </w:pPr>
            <w:r>
              <w:rPr>
                <w:rFonts w:hint="eastAsia"/>
                <w:color w:val="auto"/>
                <w:kern w:val="0"/>
                <w:szCs w:val="21"/>
              </w:rPr>
              <w:t>（3）烤花</w:t>
            </w:r>
          </w:p>
          <w:p w14:paraId="49DB536E">
            <w:pPr>
              <w:autoSpaceDE w:val="0"/>
              <w:autoSpaceDN w:val="0"/>
              <w:adjustRightInd w:val="0"/>
              <w:spacing w:line="360" w:lineRule="auto"/>
              <w:ind w:left="105" w:leftChars="50" w:right="105" w:rightChars="50" w:firstLine="420" w:firstLineChars="200"/>
              <w:rPr>
                <w:color w:val="auto"/>
                <w:kern w:val="0"/>
                <w:szCs w:val="21"/>
              </w:rPr>
            </w:pPr>
            <w:r>
              <w:rPr>
                <w:rFonts w:hint="eastAsia"/>
                <w:color w:val="auto"/>
                <w:kern w:val="0"/>
                <w:szCs w:val="21"/>
              </w:rPr>
              <w:t>贴花后的玻璃瓶按批次放入烤花炉内进行烘烤，使花纸上的图案附在瓶子上。烤花炉采用电加热，温度控制在</w:t>
            </w:r>
            <w:r>
              <w:rPr>
                <w:color w:val="auto"/>
                <w:kern w:val="0"/>
                <w:szCs w:val="21"/>
              </w:rPr>
              <w:t>160</w:t>
            </w:r>
            <w:r>
              <w:rPr>
                <w:rFonts w:hint="eastAsia"/>
                <w:color w:val="auto"/>
                <w:kern w:val="0"/>
                <w:szCs w:val="21"/>
              </w:rPr>
              <w:t>~</w:t>
            </w:r>
            <w:r>
              <w:rPr>
                <w:color w:val="auto"/>
                <w:kern w:val="0"/>
                <w:szCs w:val="21"/>
              </w:rPr>
              <w:t>180</w:t>
            </w:r>
            <w:r>
              <w:rPr>
                <w:rFonts w:hint="eastAsia"/>
                <w:color w:val="auto"/>
                <w:kern w:val="0"/>
                <w:szCs w:val="21"/>
              </w:rPr>
              <w:t>℃左右。此工序会产生有机废气VOCs。</w:t>
            </w:r>
          </w:p>
          <w:p w14:paraId="7E1C83B1">
            <w:pPr>
              <w:autoSpaceDE w:val="0"/>
              <w:autoSpaceDN w:val="0"/>
              <w:adjustRightInd w:val="0"/>
              <w:spacing w:line="360" w:lineRule="auto"/>
              <w:ind w:left="105" w:leftChars="50" w:right="105" w:rightChars="50" w:firstLine="420" w:firstLineChars="200"/>
              <w:rPr>
                <w:color w:val="auto"/>
                <w:kern w:val="0"/>
                <w:szCs w:val="21"/>
              </w:rPr>
            </w:pPr>
            <w:r>
              <w:rPr>
                <w:rFonts w:hint="eastAsia"/>
                <w:color w:val="auto"/>
                <w:kern w:val="0"/>
                <w:szCs w:val="21"/>
              </w:rPr>
              <w:t>（4）检验：按照玻璃瓶标准和企业要求进行人工检验，产生的次品，统一收集后，回炉重制。</w:t>
            </w:r>
          </w:p>
          <w:p w14:paraId="26F50A40">
            <w:pPr>
              <w:autoSpaceDE w:val="0"/>
              <w:autoSpaceDN w:val="0"/>
              <w:adjustRightInd w:val="0"/>
              <w:spacing w:line="360" w:lineRule="auto"/>
              <w:ind w:firstLine="420" w:firstLineChars="200"/>
              <w:rPr>
                <w:color w:val="auto"/>
                <w:szCs w:val="21"/>
              </w:rPr>
            </w:pPr>
            <w:r>
              <w:rPr>
                <w:rFonts w:hint="eastAsia"/>
                <w:color w:val="auto"/>
                <w:kern w:val="0"/>
                <w:szCs w:val="21"/>
              </w:rPr>
              <w:t>（5）成品入库：经检验合格的产品进入厂区</w:t>
            </w:r>
            <w:r>
              <w:rPr>
                <w:color w:val="auto"/>
                <w:kern w:val="0"/>
                <w:szCs w:val="21"/>
              </w:rPr>
              <w:t>仓库暂存</w:t>
            </w:r>
            <w:r>
              <w:rPr>
                <w:rFonts w:hint="eastAsia"/>
                <w:color w:val="auto"/>
                <w:kern w:val="0"/>
                <w:szCs w:val="21"/>
              </w:rPr>
              <w:t>。</w:t>
            </w:r>
          </w:p>
          <w:p w14:paraId="2196F0ED">
            <w:pPr>
              <w:numPr>
                <w:ilvl w:val="0"/>
                <w:numId w:val="6"/>
              </w:numPr>
              <w:autoSpaceDE w:val="0"/>
              <w:autoSpaceDN w:val="0"/>
              <w:adjustRightInd w:val="0"/>
              <w:spacing w:line="360" w:lineRule="auto"/>
              <w:ind w:firstLine="420" w:firstLineChars="200"/>
              <w:rPr>
                <w:color w:val="auto"/>
              </w:rPr>
            </w:pPr>
            <w:r>
              <w:rPr>
                <w:rFonts w:hint="eastAsia"/>
                <w:color w:val="auto"/>
                <w:szCs w:val="21"/>
              </w:rPr>
              <w:t>玻璃酒瓶喷漆生产工艺</w:t>
            </w:r>
          </w:p>
          <w:p w14:paraId="36A56600">
            <w:pPr>
              <w:spacing w:line="360" w:lineRule="auto"/>
              <w:jc w:val="center"/>
              <w:rPr>
                <w:b/>
                <w:bCs/>
                <w:color w:val="auto"/>
                <w:szCs w:val="21"/>
              </w:rPr>
            </w:pPr>
            <w:r>
              <w:rPr>
                <w:rFonts w:hint="eastAsia"/>
                <w:b/>
                <w:bCs/>
                <w:color w:val="auto"/>
                <w:szCs w:val="21"/>
              </w:rPr>
              <w:drawing>
                <wp:inline distT="0" distB="0" distL="114300" distR="114300">
                  <wp:extent cx="4398645" cy="646430"/>
                  <wp:effectExtent l="0" t="0" r="1905" b="1270"/>
                  <wp:docPr id="4" name="图片 4" descr="现有项目玻璃酒瓶喷漆生产工艺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现有项目玻璃酒瓶喷漆生产工艺流程图"/>
                          <pic:cNvPicPr>
                            <a:picLocks noChangeAspect="1"/>
                          </pic:cNvPicPr>
                        </pic:nvPicPr>
                        <pic:blipFill>
                          <a:blip r:embed="rId14"/>
                          <a:stretch>
                            <a:fillRect/>
                          </a:stretch>
                        </pic:blipFill>
                        <pic:spPr>
                          <a:xfrm>
                            <a:off x="0" y="0"/>
                            <a:ext cx="4398645" cy="646430"/>
                          </a:xfrm>
                          <a:prstGeom prst="rect">
                            <a:avLst/>
                          </a:prstGeom>
                        </pic:spPr>
                      </pic:pic>
                    </a:graphicData>
                  </a:graphic>
                </wp:inline>
              </w:drawing>
            </w:r>
          </w:p>
          <w:p w14:paraId="0246E6CB">
            <w:pPr>
              <w:adjustRightInd w:val="0"/>
              <w:spacing w:line="360" w:lineRule="auto"/>
              <w:jc w:val="center"/>
              <w:rPr>
                <w:b/>
                <w:bCs/>
                <w:color w:val="auto"/>
                <w:szCs w:val="21"/>
              </w:rPr>
            </w:pPr>
            <w:r>
              <w:rPr>
                <w:rFonts w:hint="eastAsia"/>
                <w:b/>
                <w:bCs/>
                <w:color w:val="auto"/>
                <w:szCs w:val="21"/>
              </w:rPr>
              <w:t>图2-</w:t>
            </w:r>
            <w:r>
              <w:rPr>
                <w:rFonts w:hint="eastAsia"/>
                <w:b/>
                <w:bCs/>
                <w:color w:val="auto"/>
                <w:szCs w:val="21"/>
                <w:lang w:val="en-US" w:eastAsia="zh-CN"/>
              </w:rPr>
              <w:t>8</w:t>
            </w:r>
            <w:r>
              <w:rPr>
                <w:rFonts w:hint="eastAsia"/>
                <w:b/>
                <w:bCs/>
                <w:color w:val="auto"/>
                <w:szCs w:val="21"/>
              </w:rPr>
              <w:t xml:space="preserve"> 现有项目玻璃酒瓶喷漆工艺流程图</w:t>
            </w:r>
          </w:p>
          <w:p w14:paraId="7510B696">
            <w:pPr>
              <w:pStyle w:val="25"/>
              <w:numPr>
                <w:ilvl w:val="0"/>
                <w:numId w:val="7"/>
              </w:numPr>
              <w:spacing w:line="360" w:lineRule="auto"/>
              <w:ind w:left="0" w:leftChars="0" w:firstLine="420" w:firstLineChars="200"/>
              <w:rPr>
                <w:rFonts w:ascii="Times New Roman" w:hAnsi="Times New Roman"/>
                <w:color w:val="auto"/>
                <w:kern w:val="0"/>
                <w:szCs w:val="21"/>
              </w:rPr>
            </w:pPr>
            <w:r>
              <w:rPr>
                <w:rFonts w:ascii="Times New Roman" w:hAnsi="Times New Roman"/>
                <w:color w:val="auto"/>
                <w:kern w:val="0"/>
                <w:szCs w:val="21"/>
              </w:rPr>
              <w:t>酸洗：企业现有</w:t>
            </w:r>
            <w:r>
              <w:rPr>
                <w:rFonts w:hint="eastAsia" w:ascii="Times New Roman" w:hAnsi="Times New Roman"/>
                <w:color w:val="auto"/>
                <w:kern w:val="0"/>
                <w:szCs w:val="21"/>
              </w:rPr>
              <w:t>制瓶车间</w:t>
            </w:r>
            <w:r>
              <w:rPr>
                <w:rFonts w:ascii="Times New Roman" w:hAnsi="Times New Roman"/>
                <w:color w:val="auto"/>
                <w:kern w:val="0"/>
                <w:szCs w:val="21"/>
              </w:rPr>
              <w:t>制造的部分半成品玻璃酒瓶上，存在难去除杂质，影响喷漆效果，因此企业采用酸洗方式去除玻璃酒瓶上杂质，需要酸洗玻璃酒瓶</w:t>
            </w:r>
            <w:r>
              <w:rPr>
                <w:rFonts w:hint="eastAsia" w:ascii="Times New Roman" w:hAnsi="Times New Roman"/>
                <w:color w:val="auto"/>
                <w:kern w:val="0"/>
                <w:szCs w:val="21"/>
              </w:rPr>
              <w:t>占</w:t>
            </w:r>
            <w:r>
              <w:rPr>
                <w:rFonts w:ascii="Times New Roman" w:hAnsi="Times New Roman"/>
                <w:color w:val="auto"/>
                <w:kern w:val="0"/>
                <w:szCs w:val="21"/>
              </w:rPr>
              <w:t>喷漆酒瓶总数量的</w:t>
            </w:r>
            <w:r>
              <w:rPr>
                <w:rFonts w:hint="eastAsia" w:ascii="Times New Roman" w:hAnsi="Times New Roman"/>
                <w:color w:val="auto"/>
                <w:kern w:val="0"/>
                <w:szCs w:val="21"/>
              </w:rPr>
              <w:t>5</w:t>
            </w:r>
            <w:r>
              <w:rPr>
                <w:rFonts w:ascii="Times New Roman" w:hAnsi="Times New Roman"/>
                <w:color w:val="auto"/>
                <w:kern w:val="0"/>
                <w:szCs w:val="21"/>
              </w:rPr>
              <w:t>%，</w:t>
            </w:r>
            <w:r>
              <w:rPr>
                <w:rFonts w:ascii="Times New Roman" w:hAnsi="Times New Roman"/>
                <w:color w:val="auto"/>
                <w:szCs w:val="21"/>
              </w:rPr>
              <w:t>项目共设2条玻璃酒瓶清洗线，每个清洗线设置一个</w:t>
            </w:r>
            <w:r>
              <w:rPr>
                <w:rFonts w:hint="eastAsia" w:ascii="Times New Roman" w:hAnsi="Times New Roman"/>
                <w:color w:val="auto"/>
                <w:szCs w:val="21"/>
              </w:rPr>
              <w:t>1.25</w:t>
            </w:r>
            <w:r>
              <w:rPr>
                <w:rFonts w:ascii="Times New Roman" w:hAnsi="Times New Roman"/>
                <w:color w:val="auto"/>
                <w:szCs w:val="21"/>
              </w:rPr>
              <w:t>m</w:t>
            </w:r>
            <w:r>
              <w:rPr>
                <w:rFonts w:ascii="Times New Roman" w:hAnsi="Times New Roman"/>
                <w:color w:val="auto"/>
                <w:szCs w:val="21"/>
                <w:vertAlign w:val="superscript"/>
              </w:rPr>
              <w:t>3</w:t>
            </w:r>
            <w:r>
              <w:rPr>
                <w:rFonts w:ascii="Times New Roman" w:hAnsi="Times New Roman"/>
                <w:color w:val="auto"/>
                <w:szCs w:val="21"/>
              </w:rPr>
              <w:t>酸洗槽，槽内盐酸、硫酸及</w:t>
            </w:r>
            <w:r>
              <w:rPr>
                <w:rFonts w:hint="eastAsia" w:ascii="Times New Roman" w:hAnsi="Times New Roman"/>
                <w:color w:val="auto"/>
                <w:szCs w:val="21"/>
              </w:rPr>
              <w:t>水</w:t>
            </w:r>
            <w:r>
              <w:rPr>
                <w:rFonts w:hint="eastAsia"/>
                <w:color w:val="auto"/>
                <w:szCs w:val="21"/>
              </w:rPr>
              <w:t>投加量</w:t>
            </w:r>
            <w:r>
              <w:rPr>
                <w:rFonts w:ascii="Times New Roman" w:hAnsi="Times New Roman"/>
                <w:color w:val="auto"/>
                <w:szCs w:val="21"/>
              </w:rPr>
              <w:t>为1：1：</w:t>
            </w:r>
            <w:r>
              <w:rPr>
                <w:rFonts w:hint="eastAsia" w:ascii="Times New Roman" w:hAnsi="Times New Roman"/>
                <w:color w:val="auto"/>
                <w:szCs w:val="21"/>
              </w:rPr>
              <w:t>48</w:t>
            </w:r>
            <w:r>
              <w:rPr>
                <w:rFonts w:ascii="Times New Roman" w:hAnsi="Times New Roman"/>
                <w:color w:val="auto"/>
                <w:szCs w:val="21"/>
              </w:rPr>
              <w:t>，酸洗过程中定期补充盐酸、硫酸及自来水</w:t>
            </w:r>
            <w:r>
              <w:rPr>
                <w:rFonts w:hint="eastAsia" w:ascii="Times New Roman" w:hAnsi="Times New Roman"/>
                <w:color w:val="auto"/>
                <w:szCs w:val="21"/>
              </w:rPr>
              <w:t>。</w:t>
            </w:r>
            <w:r>
              <w:rPr>
                <w:rFonts w:hint="eastAsia" w:ascii="Times New Roman" w:hAnsi="Times New Roman"/>
                <w:color w:val="auto"/>
                <w:kern w:val="0"/>
                <w:szCs w:val="21"/>
              </w:rPr>
              <w:t>本工序会产生酸洗废水W1及酸洗废气G1，此工序在洗瓶车间内完成。</w:t>
            </w:r>
          </w:p>
          <w:p w14:paraId="1D398538">
            <w:pPr>
              <w:pStyle w:val="25"/>
              <w:numPr>
                <w:ilvl w:val="0"/>
                <w:numId w:val="7"/>
              </w:numPr>
              <w:spacing w:line="360" w:lineRule="auto"/>
              <w:ind w:left="0" w:leftChars="0" w:firstLine="420" w:firstLineChars="200"/>
              <w:rPr>
                <w:rFonts w:ascii="Times New Roman" w:hAnsi="Times New Roman"/>
                <w:color w:val="auto"/>
                <w:kern w:val="0"/>
                <w:szCs w:val="21"/>
              </w:rPr>
            </w:pPr>
            <w:r>
              <w:rPr>
                <w:rFonts w:hint="eastAsia" w:ascii="Times New Roman" w:hAnsi="Times New Roman"/>
                <w:color w:val="auto"/>
                <w:kern w:val="0"/>
                <w:szCs w:val="21"/>
              </w:rPr>
              <w:t>水洗</w:t>
            </w:r>
            <w:r>
              <w:rPr>
                <w:rFonts w:ascii="Times New Roman" w:hAnsi="Times New Roman"/>
                <w:color w:val="auto"/>
                <w:kern w:val="0"/>
                <w:szCs w:val="21"/>
              </w:rPr>
              <w:t>、烘干：采用自动洗瓶机</w:t>
            </w:r>
            <w:r>
              <w:rPr>
                <w:rFonts w:hint="eastAsia" w:ascii="Times New Roman" w:hAnsi="Times New Roman"/>
                <w:color w:val="auto"/>
                <w:kern w:val="0"/>
                <w:szCs w:val="21"/>
              </w:rPr>
              <w:t>将所有需要喷漆的玻璃酒瓶</w:t>
            </w:r>
            <w:r>
              <w:rPr>
                <w:rFonts w:ascii="Times New Roman" w:hAnsi="Times New Roman"/>
                <w:color w:val="auto"/>
                <w:kern w:val="0"/>
                <w:szCs w:val="21"/>
              </w:rPr>
              <w:t>进行</w:t>
            </w:r>
            <w:r>
              <w:rPr>
                <w:rFonts w:hint="eastAsia" w:ascii="Times New Roman" w:hAnsi="Times New Roman"/>
                <w:color w:val="auto"/>
                <w:kern w:val="0"/>
                <w:szCs w:val="21"/>
              </w:rPr>
              <w:t>水</w:t>
            </w:r>
            <w:r>
              <w:rPr>
                <w:rFonts w:ascii="Times New Roman" w:hAnsi="Times New Roman"/>
                <w:color w:val="auto"/>
                <w:kern w:val="0"/>
                <w:szCs w:val="21"/>
              </w:rPr>
              <w:t>洗，</w:t>
            </w:r>
            <w:r>
              <w:rPr>
                <w:rFonts w:hint="eastAsia" w:ascii="Times New Roman" w:hAnsi="Times New Roman"/>
                <w:color w:val="auto"/>
                <w:kern w:val="0"/>
                <w:szCs w:val="21"/>
              </w:rPr>
              <w:t>水</w:t>
            </w:r>
            <w:r>
              <w:rPr>
                <w:rFonts w:ascii="Times New Roman" w:hAnsi="Times New Roman"/>
                <w:color w:val="auto"/>
                <w:kern w:val="0"/>
                <w:szCs w:val="21"/>
              </w:rPr>
              <w:t>洗时，工人将玻璃酒瓶上至自动清洗线，经传送带送至洗瓶机，清洗后通过设备自带的烘干机烘干，烘干后传送至冷却带，经风冷至60~80℃后再由人工换线至自动喷漆线。</w:t>
            </w:r>
            <w:r>
              <w:rPr>
                <w:rFonts w:hint="eastAsia" w:ascii="Times New Roman" w:hAnsi="Times New Roman"/>
                <w:color w:val="auto"/>
                <w:kern w:val="0"/>
                <w:szCs w:val="21"/>
              </w:rPr>
              <w:t>本工序会产生水洗废水W2及噪声N，此工序在洗瓶车间内完成。</w:t>
            </w:r>
          </w:p>
          <w:p w14:paraId="42B86EF7">
            <w:pPr>
              <w:numPr>
                <w:ilvl w:val="0"/>
                <w:numId w:val="7"/>
              </w:numPr>
              <w:autoSpaceDE w:val="0"/>
              <w:autoSpaceDN w:val="0"/>
              <w:adjustRightInd w:val="0"/>
              <w:spacing w:line="360" w:lineRule="auto"/>
              <w:ind w:firstLine="420" w:firstLineChars="200"/>
              <w:rPr>
                <w:color w:val="auto"/>
                <w:kern w:val="0"/>
                <w:szCs w:val="21"/>
              </w:rPr>
            </w:pPr>
            <w:r>
              <w:rPr>
                <w:color w:val="auto"/>
                <w:kern w:val="0"/>
                <w:szCs w:val="21"/>
              </w:rPr>
              <w:t>喷漆：项目喷漆线采用成套自动喷漆设备对酒瓶瓶进行表面喷漆。</w:t>
            </w:r>
            <w:r>
              <w:rPr>
                <w:rFonts w:hint="eastAsia"/>
                <w:color w:val="auto"/>
                <w:kern w:val="0"/>
                <w:szCs w:val="21"/>
              </w:rPr>
              <w:t>本工序会产生喷漆废气G2及噪声N（</w:t>
            </w:r>
            <w:r>
              <w:rPr>
                <w:color w:val="auto"/>
                <w:kern w:val="0"/>
                <w:szCs w:val="21"/>
              </w:rPr>
              <w:t>本项目设置2个喷漆车间，每个车间各完成50%喷漆作业</w:t>
            </w:r>
            <w:r>
              <w:rPr>
                <w:rFonts w:hint="eastAsia"/>
                <w:color w:val="auto"/>
                <w:kern w:val="0"/>
                <w:szCs w:val="21"/>
              </w:rPr>
              <w:t>）。</w:t>
            </w:r>
          </w:p>
          <w:p w14:paraId="3885C75B">
            <w:pPr>
              <w:autoSpaceDE w:val="0"/>
              <w:autoSpaceDN w:val="0"/>
              <w:adjustRightInd w:val="0"/>
              <w:spacing w:line="360" w:lineRule="auto"/>
              <w:ind w:firstLine="420" w:firstLineChars="200"/>
              <w:rPr>
                <w:color w:val="auto"/>
                <w:kern w:val="0"/>
                <w:szCs w:val="21"/>
              </w:rPr>
            </w:pPr>
            <w:r>
              <w:rPr>
                <w:color w:val="auto"/>
                <w:kern w:val="0"/>
                <w:szCs w:val="21"/>
              </w:rPr>
              <w:t>项目每个喷漆车间设置有一水帘柜漆雾净化系统对漆雾进行处理。水帘柜漆雾净化系统工作过程为：喷漆区正面内壁为光滑的淌水板，用水泵将水抽到板顶的水槽，水溢流在淌水板面上形成瀑布状的水帘，喷漆过程中产生的漆雾碰撞到水帘就会被水带到下部的收集池</w:t>
            </w:r>
            <w:r>
              <w:rPr>
                <w:rFonts w:hint="eastAsia"/>
                <w:color w:val="auto"/>
                <w:kern w:val="0"/>
                <w:szCs w:val="21"/>
              </w:rPr>
              <w:t>，喷淋用水循环使用，定期外排至配套污水处理装置内处理</w:t>
            </w:r>
            <w:r>
              <w:rPr>
                <w:color w:val="auto"/>
                <w:kern w:val="0"/>
                <w:szCs w:val="21"/>
              </w:rPr>
              <w:t>。</w:t>
            </w:r>
          </w:p>
          <w:p w14:paraId="7F3DCECA">
            <w:pPr>
              <w:pStyle w:val="10"/>
              <w:numPr>
                <w:ilvl w:val="0"/>
                <w:numId w:val="7"/>
              </w:numPr>
              <w:spacing w:before="0" w:after="0" w:line="360" w:lineRule="auto"/>
              <w:ind w:right="0" w:firstLine="420" w:firstLineChars="200"/>
              <w:rPr>
                <w:color w:val="auto"/>
                <w:sz w:val="21"/>
                <w:szCs w:val="21"/>
              </w:rPr>
            </w:pPr>
            <w:r>
              <w:rPr>
                <w:color w:val="auto"/>
                <w:sz w:val="21"/>
                <w:szCs w:val="21"/>
              </w:rPr>
              <w:t>烘干：项目喷漆线上设置有1台烘烤机，烘烤温度约150℃，烘烤时间约为0.5h，喷漆结束后的工件被传送至烘烤机内，烘干后玻璃酒瓶再进入约10m风冷段冷却后，即得成品。</w:t>
            </w:r>
            <w:r>
              <w:rPr>
                <w:rFonts w:hint="eastAsia"/>
                <w:color w:val="auto"/>
                <w:sz w:val="21"/>
                <w:szCs w:val="21"/>
              </w:rPr>
              <w:t>本工序会产生烘干废气G3。</w:t>
            </w:r>
          </w:p>
          <w:p w14:paraId="01330855">
            <w:pPr>
              <w:pStyle w:val="10"/>
              <w:spacing w:before="0" w:after="0" w:line="360" w:lineRule="auto"/>
              <w:ind w:right="0" w:firstLine="420" w:firstLineChars="200"/>
              <w:rPr>
                <w:color w:val="auto"/>
                <w:sz w:val="21"/>
                <w:szCs w:val="21"/>
              </w:rPr>
            </w:pPr>
            <w:r>
              <w:rPr>
                <w:color w:val="auto"/>
                <w:sz w:val="21"/>
                <w:szCs w:val="21"/>
              </w:rPr>
              <w:t>（</w:t>
            </w:r>
            <w:r>
              <w:rPr>
                <w:rFonts w:hint="eastAsia"/>
                <w:color w:val="auto"/>
                <w:sz w:val="21"/>
                <w:szCs w:val="21"/>
              </w:rPr>
              <w:t>5</w:t>
            </w:r>
            <w:r>
              <w:rPr>
                <w:color w:val="auto"/>
                <w:sz w:val="21"/>
                <w:szCs w:val="21"/>
              </w:rPr>
              <w:t>）成品入库：经检验合格的产品进入厂区仓库暂存。</w:t>
            </w:r>
          </w:p>
          <w:p w14:paraId="1DD35C8E">
            <w:pPr>
              <w:numPr>
                <w:ilvl w:val="0"/>
                <w:numId w:val="6"/>
              </w:numPr>
              <w:autoSpaceDE w:val="0"/>
              <w:autoSpaceDN w:val="0"/>
              <w:adjustRightInd w:val="0"/>
              <w:spacing w:line="360" w:lineRule="auto"/>
              <w:ind w:firstLine="420" w:firstLineChars="200"/>
              <w:rPr>
                <w:color w:val="auto"/>
              </w:rPr>
            </w:pPr>
            <w:r>
              <w:rPr>
                <w:rFonts w:hint="eastAsia"/>
                <w:color w:val="auto"/>
                <w:szCs w:val="21"/>
              </w:rPr>
              <w:t>玻璃酒瓶镀膜生产工艺</w:t>
            </w:r>
          </w:p>
          <w:p w14:paraId="5092657D">
            <w:pPr>
              <w:spacing w:line="360" w:lineRule="auto"/>
              <w:jc w:val="center"/>
              <w:rPr>
                <w:b/>
                <w:bCs/>
                <w:color w:val="auto"/>
                <w:szCs w:val="21"/>
              </w:rPr>
            </w:pPr>
            <w:r>
              <w:rPr>
                <w:rFonts w:hint="eastAsia"/>
                <w:b/>
                <w:bCs/>
                <w:color w:val="auto"/>
                <w:szCs w:val="21"/>
              </w:rPr>
              <w:drawing>
                <wp:inline distT="0" distB="0" distL="114300" distR="114300">
                  <wp:extent cx="3815715" cy="217805"/>
                  <wp:effectExtent l="0" t="0" r="13335" b="10795"/>
                  <wp:docPr id="5" name="图片 5" descr="现有项目玻璃酒瓶镀膜生产工艺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现有项目玻璃酒瓶镀膜生产工艺流程图"/>
                          <pic:cNvPicPr>
                            <a:picLocks noChangeAspect="1"/>
                          </pic:cNvPicPr>
                        </pic:nvPicPr>
                        <pic:blipFill>
                          <a:blip r:embed="rId15"/>
                          <a:stretch>
                            <a:fillRect/>
                          </a:stretch>
                        </pic:blipFill>
                        <pic:spPr>
                          <a:xfrm>
                            <a:off x="0" y="0"/>
                            <a:ext cx="3815715" cy="217805"/>
                          </a:xfrm>
                          <a:prstGeom prst="rect">
                            <a:avLst/>
                          </a:prstGeom>
                        </pic:spPr>
                      </pic:pic>
                    </a:graphicData>
                  </a:graphic>
                </wp:inline>
              </w:drawing>
            </w:r>
          </w:p>
          <w:p w14:paraId="1B4C50B4">
            <w:pPr>
              <w:adjustRightInd w:val="0"/>
              <w:spacing w:line="360" w:lineRule="auto"/>
              <w:jc w:val="center"/>
              <w:rPr>
                <w:b/>
                <w:bCs/>
                <w:color w:val="auto"/>
                <w:szCs w:val="21"/>
              </w:rPr>
            </w:pPr>
            <w:r>
              <w:rPr>
                <w:rFonts w:hint="eastAsia"/>
                <w:b/>
                <w:bCs/>
                <w:color w:val="auto"/>
                <w:szCs w:val="21"/>
              </w:rPr>
              <w:t>图2</w:t>
            </w:r>
            <w:r>
              <w:rPr>
                <w:rFonts w:hint="eastAsia"/>
                <w:b/>
                <w:bCs/>
                <w:color w:val="auto"/>
                <w:szCs w:val="21"/>
                <w:lang w:val="en-US" w:eastAsia="zh-CN"/>
              </w:rPr>
              <w:t>-9</w:t>
            </w:r>
            <w:r>
              <w:rPr>
                <w:rFonts w:hint="eastAsia"/>
                <w:b/>
                <w:bCs/>
                <w:color w:val="auto"/>
                <w:szCs w:val="21"/>
              </w:rPr>
              <w:t xml:space="preserve"> 现有项目玻璃酒瓶镀膜工艺流程图</w:t>
            </w:r>
          </w:p>
          <w:p w14:paraId="59C0D4EB">
            <w:pPr>
              <w:pStyle w:val="10"/>
              <w:numPr>
                <w:ilvl w:val="0"/>
                <w:numId w:val="8"/>
              </w:numPr>
              <w:snapToGrid/>
              <w:spacing w:before="0" w:after="0" w:line="360" w:lineRule="auto"/>
              <w:ind w:right="0" w:firstLine="420" w:firstLineChars="200"/>
              <w:rPr>
                <w:color w:val="auto"/>
                <w:sz w:val="21"/>
                <w:szCs w:val="21"/>
                <w:lang w:bidi="ar"/>
              </w:rPr>
            </w:pPr>
            <w:r>
              <w:rPr>
                <w:rFonts w:hint="eastAsia"/>
                <w:color w:val="auto"/>
                <w:sz w:val="21"/>
                <w:szCs w:val="21"/>
                <w:lang w:bidi="ar"/>
              </w:rPr>
              <w:t>上架：玻璃酒瓶由人工送至真空镀膜线。</w:t>
            </w:r>
          </w:p>
          <w:p w14:paraId="55B518CE">
            <w:pPr>
              <w:pStyle w:val="10"/>
              <w:numPr>
                <w:ilvl w:val="0"/>
                <w:numId w:val="8"/>
              </w:numPr>
              <w:snapToGrid/>
              <w:spacing w:before="0" w:after="0" w:line="360" w:lineRule="auto"/>
              <w:ind w:right="0" w:firstLine="420" w:firstLineChars="200"/>
              <w:rPr>
                <w:color w:val="auto"/>
                <w:sz w:val="21"/>
                <w:szCs w:val="21"/>
                <w:lang w:bidi="ar"/>
              </w:rPr>
            </w:pPr>
            <w:r>
              <w:rPr>
                <w:rFonts w:hint="eastAsia"/>
                <w:color w:val="auto"/>
                <w:sz w:val="21"/>
                <w:szCs w:val="21"/>
                <w:lang w:bidi="ar"/>
              </w:rPr>
              <w:t>真空镀膜：</w:t>
            </w:r>
            <w:r>
              <w:rPr>
                <w:color w:val="auto"/>
                <w:sz w:val="21"/>
                <w:szCs w:val="21"/>
                <w:lang w:bidi="ar"/>
              </w:rPr>
              <w:t>将</w:t>
            </w:r>
            <w:r>
              <w:rPr>
                <w:rFonts w:hint="eastAsia"/>
                <w:color w:val="auto"/>
                <w:sz w:val="21"/>
                <w:szCs w:val="21"/>
                <w:lang w:bidi="ar"/>
              </w:rPr>
              <w:t>玻璃酒瓶</w:t>
            </w:r>
            <w:r>
              <w:rPr>
                <w:color w:val="auto"/>
                <w:sz w:val="21"/>
                <w:szCs w:val="21"/>
                <w:lang w:bidi="ar"/>
              </w:rPr>
              <w:t>放入真空镀膜机阴极板上，阳极放入金属</w:t>
            </w:r>
            <w:r>
              <w:rPr>
                <w:rFonts w:hint="eastAsia"/>
                <w:color w:val="auto"/>
                <w:sz w:val="21"/>
                <w:szCs w:val="21"/>
                <w:lang w:bidi="ar"/>
              </w:rPr>
              <w:t>钛</w:t>
            </w:r>
            <w:r>
              <w:rPr>
                <w:color w:val="auto"/>
                <w:sz w:val="21"/>
                <w:szCs w:val="21"/>
                <w:lang w:bidi="ar"/>
              </w:rPr>
              <w:t>，电加热到</w:t>
            </w:r>
            <w:r>
              <w:rPr>
                <w:rFonts w:hint="eastAsia"/>
                <w:color w:val="auto"/>
                <w:sz w:val="21"/>
                <w:szCs w:val="21"/>
                <w:lang w:bidi="ar"/>
              </w:rPr>
              <w:t>10</w:t>
            </w:r>
            <w:r>
              <w:rPr>
                <w:color w:val="auto"/>
                <w:sz w:val="21"/>
                <w:szCs w:val="21"/>
                <w:lang w:bidi="ar"/>
              </w:rPr>
              <w:t>00℃-</w:t>
            </w:r>
            <w:r>
              <w:rPr>
                <w:rFonts w:hint="eastAsia"/>
                <w:color w:val="auto"/>
                <w:sz w:val="21"/>
                <w:szCs w:val="21"/>
                <w:lang w:bidi="ar"/>
              </w:rPr>
              <w:t>1500</w:t>
            </w:r>
            <w:r>
              <w:rPr>
                <w:color w:val="auto"/>
                <w:sz w:val="21"/>
                <w:szCs w:val="21"/>
                <w:lang w:bidi="ar"/>
              </w:rPr>
              <w:t>℃，阳极的金属</w:t>
            </w:r>
            <w:r>
              <w:rPr>
                <w:rFonts w:hint="eastAsia"/>
                <w:color w:val="auto"/>
                <w:sz w:val="21"/>
                <w:szCs w:val="21"/>
                <w:lang w:bidi="ar"/>
              </w:rPr>
              <w:t>钛</w:t>
            </w:r>
            <w:r>
              <w:rPr>
                <w:color w:val="auto"/>
                <w:sz w:val="21"/>
                <w:szCs w:val="21"/>
                <w:lang w:bidi="ar"/>
              </w:rPr>
              <w:t>电磁场的作用下电离，然后在阴极沉积，</w:t>
            </w:r>
            <w:r>
              <w:rPr>
                <w:rFonts w:hint="eastAsia"/>
                <w:color w:val="auto"/>
                <w:sz w:val="21"/>
                <w:szCs w:val="21"/>
                <w:lang w:bidi="ar"/>
              </w:rPr>
              <w:t>在玻璃酒瓶表面</w:t>
            </w:r>
            <w:r>
              <w:rPr>
                <w:color w:val="auto"/>
                <w:sz w:val="21"/>
                <w:szCs w:val="21"/>
                <w:lang w:bidi="ar"/>
              </w:rPr>
              <w:t>形成金属镀层。此过程产生加工噪声N</w:t>
            </w:r>
            <w:r>
              <w:rPr>
                <w:color w:val="auto"/>
                <w:sz w:val="24"/>
                <w:szCs w:val="24"/>
                <w:lang w:bidi="ar"/>
              </w:rPr>
              <w:t>。</w:t>
            </w:r>
          </w:p>
          <w:p w14:paraId="1F858415">
            <w:pPr>
              <w:pStyle w:val="10"/>
              <w:numPr>
                <w:ilvl w:val="0"/>
                <w:numId w:val="8"/>
              </w:numPr>
              <w:snapToGrid/>
              <w:spacing w:before="0" w:after="0" w:line="360" w:lineRule="auto"/>
              <w:ind w:right="0" w:firstLine="420" w:firstLineChars="200"/>
              <w:rPr>
                <w:color w:val="auto"/>
                <w:sz w:val="21"/>
                <w:szCs w:val="21"/>
              </w:rPr>
            </w:pPr>
            <w:r>
              <w:rPr>
                <w:rFonts w:hint="eastAsia"/>
                <w:color w:val="auto"/>
                <w:sz w:val="21"/>
                <w:szCs w:val="21"/>
                <w:lang w:bidi="ar"/>
              </w:rPr>
              <w:t>对镀膜后的玻璃酒瓶进行检验，不合格品重新返工。</w:t>
            </w:r>
          </w:p>
          <w:p w14:paraId="6028ED06">
            <w:pPr>
              <w:pStyle w:val="10"/>
              <w:numPr>
                <w:ilvl w:val="0"/>
                <w:numId w:val="8"/>
              </w:numPr>
              <w:snapToGrid/>
              <w:spacing w:before="0" w:after="0" w:line="360" w:lineRule="auto"/>
              <w:ind w:right="0" w:firstLine="420" w:firstLineChars="200"/>
              <w:rPr>
                <w:b/>
                <w:bCs/>
                <w:color w:val="auto"/>
                <w:sz w:val="21"/>
                <w:szCs w:val="21"/>
              </w:rPr>
            </w:pPr>
            <w:r>
              <w:rPr>
                <w:color w:val="auto"/>
                <w:sz w:val="21"/>
                <w:szCs w:val="21"/>
              </w:rPr>
              <w:t>成品入库：经检验合格的产品进入厂区仓库暂存。</w:t>
            </w:r>
          </w:p>
          <w:p w14:paraId="1D19DF64">
            <w:pPr>
              <w:pStyle w:val="10"/>
              <w:numPr>
                <w:ilvl w:val="0"/>
                <w:numId w:val="8"/>
              </w:numPr>
              <w:snapToGrid/>
              <w:spacing w:before="0" w:after="0" w:line="360" w:lineRule="auto"/>
              <w:ind w:right="0" w:firstLine="420" w:firstLineChars="200"/>
              <w:rPr>
                <w:b/>
                <w:bCs/>
                <w:color w:val="auto"/>
                <w:sz w:val="21"/>
                <w:szCs w:val="21"/>
              </w:rPr>
            </w:pPr>
            <w:r>
              <w:rPr>
                <w:color w:val="auto"/>
                <w:sz w:val="21"/>
                <w:szCs w:val="21"/>
              </w:rPr>
              <w:t>包装出厂：根据市场需求对仓库内产品进行包装发货</w:t>
            </w:r>
            <w:r>
              <w:rPr>
                <w:color w:val="auto"/>
                <w:sz w:val="24"/>
              </w:rPr>
              <w:t>。</w:t>
            </w:r>
          </w:p>
          <w:p w14:paraId="049BBB80">
            <w:pPr>
              <w:numPr>
                <w:ilvl w:val="0"/>
                <w:numId w:val="5"/>
              </w:numPr>
              <w:adjustRightInd w:val="0"/>
              <w:spacing w:line="360" w:lineRule="auto"/>
              <w:ind w:firstLine="422" w:firstLineChars="200"/>
              <w:rPr>
                <w:b/>
                <w:bCs/>
                <w:color w:val="auto"/>
                <w:szCs w:val="21"/>
              </w:rPr>
            </w:pPr>
            <w:r>
              <w:rPr>
                <w:rFonts w:hint="eastAsia"/>
                <w:b/>
                <w:bCs/>
                <w:color w:val="auto"/>
                <w:szCs w:val="21"/>
              </w:rPr>
              <w:t>现有</w:t>
            </w:r>
            <w:r>
              <w:rPr>
                <w:b/>
                <w:bCs/>
                <w:color w:val="auto"/>
                <w:szCs w:val="21"/>
              </w:rPr>
              <w:t>项目污染防治措施及达标排放</w:t>
            </w:r>
            <w:r>
              <w:rPr>
                <w:rFonts w:hint="eastAsia"/>
                <w:b/>
                <w:bCs/>
                <w:color w:val="auto"/>
                <w:szCs w:val="21"/>
              </w:rPr>
              <w:t>状</w:t>
            </w:r>
            <w:r>
              <w:rPr>
                <w:b/>
                <w:bCs/>
                <w:color w:val="auto"/>
                <w:szCs w:val="21"/>
              </w:rPr>
              <w:t>况</w:t>
            </w:r>
          </w:p>
          <w:p w14:paraId="6574CB81">
            <w:pPr>
              <w:pStyle w:val="10"/>
              <w:keepNext w:val="0"/>
              <w:keepLines w:val="0"/>
              <w:pageBreakBefore w:val="0"/>
              <w:kinsoku/>
              <w:wordWrap/>
              <w:overflowPunct/>
              <w:topLinePunct w:val="0"/>
              <w:autoSpaceDE/>
              <w:autoSpaceDN/>
              <w:bidi w:val="0"/>
              <w:snapToGrid w:val="0"/>
              <w:spacing w:before="0" w:after="0" w:line="360" w:lineRule="auto"/>
              <w:ind w:right="0" w:firstLine="420" w:firstLineChars="200"/>
              <w:textAlignment w:val="auto"/>
              <w:rPr>
                <w:color w:val="auto"/>
                <w:sz w:val="21"/>
                <w:szCs w:val="21"/>
              </w:rPr>
            </w:pPr>
            <w:r>
              <w:rPr>
                <w:rFonts w:hint="eastAsia"/>
                <w:color w:val="auto"/>
                <w:sz w:val="21"/>
                <w:szCs w:val="21"/>
              </w:rPr>
              <w:t>现有项目《</w:t>
            </w:r>
            <w:r>
              <w:rPr>
                <w:color w:val="auto"/>
                <w:sz w:val="21"/>
                <w:szCs w:val="21"/>
              </w:rPr>
              <w:t>年产1.1亿只玻璃酒瓶项目</w:t>
            </w:r>
            <w:r>
              <w:rPr>
                <w:rFonts w:hint="eastAsia"/>
                <w:color w:val="auto"/>
                <w:sz w:val="21"/>
                <w:szCs w:val="21"/>
              </w:rPr>
              <w:t>》和《</w:t>
            </w:r>
            <w:r>
              <w:rPr>
                <w:rFonts w:hint="eastAsia"/>
                <w:bCs/>
                <w:color w:val="auto"/>
                <w:sz w:val="21"/>
                <w:szCs w:val="21"/>
              </w:rPr>
              <w:t>年产600万只真空离子镀膜玻璃瓶与6000万只水性玻璃釉酒瓶项目</w:t>
            </w:r>
            <w:r>
              <w:rPr>
                <w:rFonts w:hint="eastAsia"/>
                <w:color w:val="auto"/>
                <w:sz w:val="21"/>
                <w:szCs w:val="21"/>
              </w:rPr>
              <w:t>》均已建成并正常运行，根据现有验收报告、例行监测报告、排污许可证执行报告，现有项目工程污染物产排情况如下。</w:t>
            </w:r>
          </w:p>
          <w:p w14:paraId="4CB001EF">
            <w:pPr>
              <w:keepNext w:val="0"/>
              <w:keepLines w:val="0"/>
              <w:pageBreakBefore w:val="0"/>
              <w:numPr>
                <w:ilvl w:val="0"/>
                <w:numId w:val="0"/>
              </w:numPr>
              <w:kinsoku/>
              <w:wordWrap/>
              <w:overflowPunct/>
              <w:topLinePunct w:val="0"/>
              <w:autoSpaceDE/>
              <w:autoSpaceDN/>
              <w:bidi w:val="0"/>
              <w:adjustRightInd w:val="0"/>
              <w:snapToGrid w:val="0"/>
              <w:spacing w:line="360" w:lineRule="auto"/>
              <w:ind w:firstLine="420" w:firstLineChars="200"/>
              <w:textAlignment w:val="auto"/>
              <w:rPr>
                <w:color w:val="auto"/>
              </w:rPr>
            </w:pPr>
            <w:r>
              <w:rPr>
                <w:rFonts w:ascii="Times New Roman" w:hAnsi="Times New Roman" w:eastAsia="宋体" w:cs="Times New Roman"/>
                <w:color w:val="auto"/>
                <w:kern w:val="2"/>
                <w:sz w:val="21"/>
                <w:szCs w:val="24"/>
                <w:lang w:val="en-US" w:eastAsia="zh-CN" w:bidi="ar-SA"/>
              </w:rPr>
              <w:t>（1）</w:t>
            </w:r>
            <w:r>
              <w:rPr>
                <w:rFonts w:hint="eastAsia"/>
                <w:color w:val="auto"/>
              </w:rPr>
              <w:t>废气</w:t>
            </w:r>
          </w:p>
          <w:p w14:paraId="17470126">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color w:val="auto"/>
              </w:rPr>
            </w:pPr>
            <w:r>
              <w:rPr>
                <w:rFonts w:hint="eastAsia"/>
                <w:color w:val="auto"/>
                <w:szCs w:val="22"/>
              </w:rPr>
              <w:t>本项目大气污染源主要来自混料粉尘、玻璃窑炉燃烧天然气产生的废气SO</w:t>
            </w:r>
            <w:r>
              <w:rPr>
                <w:rFonts w:hint="eastAsia"/>
                <w:color w:val="auto"/>
                <w:szCs w:val="22"/>
                <w:vertAlign w:val="subscript"/>
              </w:rPr>
              <w:t>2</w:t>
            </w:r>
            <w:r>
              <w:rPr>
                <w:rFonts w:hint="eastAsia"/>
                <w:color w:val="auto"/>
                <w:szCs w:val="22"/>
              </w:rPr>
              <w:t>、NOx、烟尘颗粒物，</w:t>
            </w:r>
            <w:r>
              <w:rPr>
                <w:rFonts w:hint="eastAsia"/>
                <w:color w:val="auto"/>
                <w:szCs w:val="21"/>
              </w:rPr>
              <w:t>烤花废气、酸洗废气、漆雾颗粒和喷漆烘干有机废气</w:t>
            </w:r>
            <w:r>
              <w:rPr>
                <w:rFonts w:hint="eastAsia"/>
                <w:color w:val="auto"/>
                <w:szCs w:val="22"/>
              </w:rPr>
              <w:t>。</w:t>
            </w:r>
            <w:r>
              <w:rPr>
                <w:rFonts w:hint="eastAsia"/>
                <w:color w:val="auto"/>
                <w:szCs w:val="21"/>
              </w:rPr>
              <w:t>企业现阶段的废气处理设施为“布袋除尘器”、“半干法脱硫装置+布袋除尘装置+SCR脱硝装置”、“</w:t>
            </w:r>
            <w:r>
              <w:rPr>
                <w:rFonts w:hint="eastAsia"/>
                <w:color w:val="auto"/>
              </w:rPr>
              <w:t>水喷淋+二级干式过滤+</w:t>
            </w:r>
            <w:r>
              <w:rPr>
                <w:rFonts w:hint="eastAsia"/>
                <w:color w:val="auto"/>
                <w:szCs w:val="21"/>
              </w:rPr>
              <w:t>活性炭吸附脱附+催化燃烧装置”和“</w:t>
            </w:r>
            <w:r>
              <w:rPr>
                <w:rFonts w:hint="eastAsia"/>
                <w:color w:val="auto"/>
              </w:rPr>
              <w:t>二级碱喷淋装置</w:t>
            </w:r>
            <w:r>
              <w:rPr>
                <w:rFonts w:hint="eastAsia"/>
                <w:color w:val="auto"/>
                <w:szCs w:val="21"/>
              </w:rPr>
              <w:t>”，排气筒共4根（DA001~DA004，其中DA001为60m，DA002、DA004为15m，DA003为20m）</w:t>
            </w:r>
            <w:r>
              <w:rPr>
                <w:rFonts w:hint="eastAsia"/>
                <w:color w:val="auto"/>
              </w:rPr>
              <w:t>。</w:t>
            </w:r>
          </w:p>
          <w:p w14:paraId="1A03C1AF">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color w:val="auto"/>
                <w:szCs w:val="22"/>
              </w:rPr>
            </w:pPr>
            <w:r>
              <w:rPr>
                <w:rFonts w:hint="eastAsia"/>
                <w:color w:val="auto"/>
              </w:rPr>
              <w:t>现有项目</w:t>
            </w:r>
            <w:r>
              <w:rPr>
                <w:rFonts w:hint="eastAsia"/>
                <w:color w:val="auto"/>
                <w:lang w:val="en-US" w:eastAsia="zh-CN"/>
              </w:rPr>
              <w:t>DA001排气筒</w:t>
            </w:r>
            <w:r>
              <w:rPr>
                <w:rFonts w:hint="eastAsia"/>
                <w:color w:val="auto"/>
              </w:rPr>
              <w:t>废气</w:t>
            </w:r>
            <w:r>
              <w:rPr>
                <w:rFonts w:hint="eastAsia"/>
                <w:color w:val="auto"/>
                <w:szCs w:val="21"/>
              </w:rPr>
              <w:t>排放状况引用</w:t>
            </w:r>
            <w:r>
              <w:rPr>
                <w:rFonts w:hint="eastAsia"/>
                <w:color w:val="auto"/>
              </w:rPr>
              <w:t>202</w:t>
            </w:r>
            <w:r>
              <w:rPr>
                <w:rFonts w:hint="eastAsia"/>
                <w:color w:val="auto"/>
                <w:lang w:val="en-US" w:eastAsia="zh-CN"/>
              </w:rPr>
              <w:t>4</w:t>
            </w:r>
            <w:r>
              <w:rPr>
                <w:rFonts w:hint="eastAsia"/>
                <w:color w:val="auto"/>
              </w:rPr>
              <w:t>年</w:t>
            </w:r>
            <w:r>
              <w:rPr>
                <w:rFonts w:hint="eastAsia"/>
                <w:color w:val="auto"/>
                <w:lang w:val="en-US" w:eastAsia="zh-CN"/>
              </w:rPr>
              <w:t>10</w:t>
            </w:r>
            <w:r>
              <w:rPr>
                <w:rFonts w:hint="eastAsia"/>
                <w:color w:val="auto"/>
              </w:rPr>
              <w:t>月</w:t>
            </w:r>
            <w:r>
              <w:rPr>
                <w:rFonts w:hint="eastAsia"/>
                <w:color w:val="auto"/>
                <w:lang w:val="en-US" w:eastAsia="zh-CN"/>
              </w:rPr>
              <w:t>11~12日</w:t>
            </w:r>
            <w:r>
              <w:rPr>
                <w:rFonts w:hint="eastAsia"/>
                <w:color w:val="auto"/>
                <w:szCs w:val="21"/>
              </w:rPr>
              <w:t>江苏</w:t>
            </w:r>
            <w:r>
              <w:rPr>
                <w:rFonts w:hint="eastAsia"/>
                <w:color w:val="auto"/>
                <w:szCs w:val="21"/>
                <w:lang w:val="en-US" w:eastAsia="zh-CN"/>
              </w:rPr>
              <w:t>中连环境</w:t>
            </w:r>
            <w:r>
              <w:rPr>
                <w:rFonts w:hint="eastAsia"/>
                <w:color w:val="auto"/>
                <w:szCs w:val="21"/>
              </w:rPr>
              <w:t>检测有限公司对</w:t>
            </w:r>
            <w:r>
              <w:rPr>
                <w:rFonts w:hint="eastAsia"/>
                <w:color w:val="auto"/>
              </w:rPr>
              <w:t>江苏晶瑞玻璃有限公司</w:t>
            </w:r>
            <w:r>
              <w:rPr>
                <w:rFonts w:hint="eastAsia"/>
                <w:color w:val="auto"/>
                <w:szCs w:val="21"/>
                <w:lang w:val="en-US" w:eastAsia="zh-CN"/>
              </w:rPr>
              <w:t>DA001</w:t>
            </w:r>
            <w:r>
              <w:rPr>
                <w:rFonts w:hint="eastAsia"/>
                <w:color w:val="auto"/>
                <w:szCs w:val="21"/>
              </w:rPr>
              <w:t>排放口的监测数据（报告编号为：</w:t>
            </w:r>
            <w:r>
              <w:rPr>
                <w:rFonts w:hint="eastAsia"/>
                <w:color w:val="auto"/>
                <w:szCs w:val="21"/>
                <w:lang w:val="en-US" w:eastAsia="zh-CN"/>
              </w:rPr>
              <w:t>中连检测第2024427号</w:t>
            </w:r>
            <w:r>
              <w:rPr>
                <w:rFonts w:hint="eastAsia"/>
                <w:color w:val="auto"/>
                <w:szCs w:val="21"/>
              </w:rPr>
              <w:t>），监测数据见附件</w:t>
            </w:r>
            <w:r>
              <w:rPr>
                <w:rFonts w:hint="eastAsia"/>
                <w:color w:val="auto"/>
                <w:szCs w:val="21"/>
                <w:lang w:val="en-US" w:eastAsia="zh-CN"/>
              </w:rPr>
              <w:t>14</w:t>
            </w:r>
            <w:r>
              <w:rPr>
                <w:rFonts w:hint="eastAsia"/>
                <w:color w:val="auto"/>
                <w:lang w:val="en-US" w:eastAsia="zh-CN"/>
              </w:rPr>
              <w:t>；DA002、DA003、DA004排气筒</w:t>
            </w:r>
            <w:r>
              <w:rPr>
                <w:rFonts w:hint="eastAsia"/>
                <w:color w:val="auto"/>
              </w:rPr>
              <w:t>废气</w:t>
            </w:r>
            <w:r>
              <w:rPr>
                <w:rFonts w:hint="eastAsia"/>
                <w:color w:val="auto"/>
                <w:szCs w:val="21"/>
              </w:rPr>
              <w:t>排放状况引用</w:t>
            </w:r>
            <w:r>
              <w:rPr>
                <w:rFonts w:hint="eastAsia"/>
                <w:color w:val="auto"/>
              </w:rPr>
              <w:t>2023年5月10日</w:t>
            </w:r>
            <w:r>
              <w:rPr>
                <w:rFonts w:hint="eastAsia"/>
                <w:color w:val="auto"/>
                <w:szCs w:val="21"/>
              </w:rPr>
              <w:t>江苏泰斯特专业检测有限公司对</w:t>
            </w:r>
            <w:r>
              <w:rPr>
                <w:rFonts w:hint="eastAsia"/>
                <w:color w:val="auto"/>
              </w:rPr>
              <w:t>江苏晶瑞玻璃有限公司</w:t>
            </w:r>
            <w:r>
              <w:rPr>
                <w:rFonts w:hint="eastAsia"/>
                <w:color w:val="auto"/>
                <w:szCs w:val="21"/>
              </w:rPr>
              <w:t>废气排放口的监测数据（报告编号为：TST2023HJ0597-2C-1），监测数据见附件</w:t>
            </w:r>
            <w:r>
              <w:rPr>
                <w:rFonts w:hint="eastAsia"/>
                <w:color w:val="auto"/>
                <w:szCs w:val="21"/>
                <w:lang w:val="en-US" w:eastAsia="zh-CN"/>
              </w:rPr>
              <w:t>14</w:t>
            </w:r>
            <w:r>
              <w:rPr>
                <w:rFonts w:hint="eastAsia"/>
                <w:color w:val="auto"/>
                <w:szCs w:val="21"/>
              </w:rPr>
              <w:t>，具体排放数据见下表：</w:t>
            </w:r>
          </w:p>
          <w:p w14:paraId="1D2A16DD">
            <w:pPr>
              <w:keepNext w:val="0"/>
              <w:keepLines w:val="0"/>
              <w:pageBreakBefore w:val="0"/>
              <w:kinsoku/>
              <w:wordWrap/>
              <w:overflowPunct/>
              <w:topLinePunct w:val="0"/>
              <w:autoSpaceDE/>
              <w:autoSpaceDN/>
              <w:bidi w:val="0"/>
              <w:snapToGrid w:val="0"/>
              <w:spacing w:before="120" w:beforeLines="50"/>
              <w:jc w:val="center"/>
              <w:textAlignment w:val="auto"/>
              <w:rPr>
                <w:b/>
                <w:bCs/>
                <w:color w:val="auto"/>
                <w:szCs w:val="21"/>
              </w:rPr>
            </w:pPr>
            <w:r>
              <w:rPr>
                <w:rFonts w:hint="eastAsia"/>
                <w:b/>
                <w:bCs/>
                <w:color w:val="auto"/>
                <w:szCs w:val="21"/>
              </w:rPr>
              <w:t>表2-</w:t>
            </w:r>
            <w:r>
              <w:rPr>
                <w:rFonts w:hint="eastAsia"/>
                <w:b/>
                <w:bCs/>
                <w:color w:val="auto"/>
                <w:szCs w:val="21"/>
                <w:lang w:val="en-US" w:eastAsia="zh-CN"/>
              </w:rPr>
              <w:t>11</w:t>
            </w:r>
            <w:r>
              <w:rPr>
                <w:rFonts w:hint="eastAsia"/>
                <w:b/>
                <w:bCs/>
                <w:color w:val="auto"/>
                <w:szCs w:val="21"/>
              </w:rPr>
              <w:t xml:space="preserve"> 厂区现有项目废气收集、处理情况表</w:t>
            </w:r>
          </w:p>
          <w:tbl>
            <w:tblPr>
              <w:tblStyle w:val="3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253"/>
              <w:gridCol w:w="1675"/>
              <w:gridCol w:w="1200"/>
              <w:gridCol w:w="2637"/>
              <w:gridCol w:w="1180"/>
            </w:tblGrid>
            <w:tr w14:paraId="78B5ED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253" w:type="dxa"/>
                  <w:vAlign w:val="center"/>
                </w:tcPr>
                <w:p w14:paraId="72BBF047">
                  <w:pPr>
                    <w:jc w:val="center"/>
                    <w:rPr>
                      <w:b/>
                      <w:bCs/>
                      <w:color w:val="auto"/>
                      <w:szCs w:val="21"/>
                    </w:rPr>
                  </w:pPr>
                  <w:r>
                    <w:rPr>
                      <w:rFonts w:hint="eastAsia"/>
                      <w:b/>
                      <w:bCs/>
                      <w:color w:val="auto"/>
                      <w:szCs w:val="21"/>
                    </w:rPr>
                    <w:t>车间名称</w:t>
                  </w:r>
                </w:p>
              </w:tc>
              <w:tc>
                <w:tcPr>
                  <w:tcW w:w="1675" w:type="dxa"/>
                  <w:vAlign w:val="center"/>
                </w:tcPr>
                <w:p w14:paraId="2EFDC563">
                  <w:pPr>
                    <w:jc w:val="center"/>
                    <w:rPr>
                      <w:b/>
                      <w:bCs/>
                      <w:color w:val="auto"/>
                      <w:szCs w:val="21"/>
                    </w:rPr>
                  </w:pPr>
                  <w:r>
                    <w:rPr>
                      <w:rFonts w:hint="eastAsia"/>
                      <w:b/>
                      <w:bCs/>
                      <w:color w:val="auto"/>
                      <w:szCs w:val="21"/>
                    </w:rPr>
                    <w:t>项目名称</w:t>
                  </w:r>
                </w:p>
              </w:tc>
              <w:tc>
                <w:tcPr>
                  <w:tcW w:w="1200" w:type="dxa"/>
                  <w:vAlign w:val="center"/>
                </w:tcPr>
                <w:p w14:paraId="588A2887">
                  <w:pPr>
                    <w:jc w:val="center"/>
                    <w:rPr>
                      <w:b/>
                      <w:bCs/>
                      <w:color w:val="auto"/>
                      <w:szCs w:val="21"/>
                    </w:rPr>
                  </w:pPr>
                  <w:r>
                    <w:rPr>
                      <w:rFonts w:hint="eastAsia"/>
                      <w:b/>
                      <w:bCs/>
                      <w:color w:val="auto"/>
                      <w:szCs w:val="21"/>
                    </w:rPr>
                    <w:t>废气名称</w:t>
                  </w:r>
                </w:p>
              </w:tc>
              <w:tc>
                <w:tcPr>
                  <w:tcW w:w="2637" w:type="dxa"/>
                  <w:vAlign w:val="center"/>
                </w:tcPr>
                <w:p w14:paraId="47419A69">
                  <w:pPr>
                    <w:jc w:val="center"/>
                    <w:rPr>
                      <w:b/>
                      <w:bCs/>
                      <w:color w:val="auto"/>
                      <w:szCs w:val="21"/>
                    </w:rPr>
                  </w:pPr>
                  <w:r>
                    <w:rPr>
                      <w:rFonts w:hint="eastAsia"/>
                      <w:b/>
                      <w:bCs/>
                      <w:color w:val="auto"/>
                      <w:szCs w:val="21"/>
                    </w:rPr>
                    <w:t>治理措施</w:t>
                  </w:r>
                </w:p>
              </w:tc>
              <w:tc>
                <w:tcPr>
                  <w:tcW w:w="1180" w:type="dxa"/>
                  <w:vAlign w:val="center"/>
                </w:tcPr>
                <w:p w14:paraId="3ACD800B">
                  <w:pPr>
                    <w:jc w:val="center"/>
                    <w:rPr>
                      <w:b/>
                      <w:bCs/>
                      <w:color w:val="auto"/>
                      <w:szCs w:val="21"/>
                    </w:rPr>
                  </w:pPr>
                  <w:r>
                    <w:rPr>
                      <w:rFonts w:hint="eastAsia"/>
                      <w:b/>
                      <w:bCs/>
                      <w:color w:val="auto"/>
                      <w:szCs w:val="21"/>
                    </w:rPr>
                    <w:t>排气筒编号</w:t>
                  </w:r>
                </w:p>
              </w:tc>
            </w:tr>
            <w:tr w14:paraId="6932A6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253" w:type="dxa"/>
                  <w:vMerge w:val="restart"/>
                  <w:vAlign w:val="center"/>
                </w:tcPr>
                <w:p w14:paraId="76758552">
                  <w:pPr>
                    <w:jc w:val="center"/>
                    <w:rPr>
                      <w:color w:val="auto"/>
                      <w:szCs w:val="21"/>
                    </w:rPr>
                  </w:pPr>
                  <w:r>
                    <w:rPr>
                      <w:rFonts w:hint="eastAsia"/>
                      <w:color w:val="auto"/>
                      <w:szCs w:val="21"/>
                    </w:rPr>
                    <w:t>制瓶车间</w:t>
                  </w:r>
                </w:p>
              </w:tc>
              <w:tc>
                <w:tcPr>
                  <w:tcW w:w="1675" w:type="dxa"/>
                  <w:vMerge w:val="restart"/>
                  <w:vAlign w:val="center"/>
                </w:tcPr>
                <w:p w14:paraId="15888E1B">
                  <w:pPr>
                    <w:jc w:val="center"/>
                    <w:rPr>
                      <w:color w:val="auto"/>
                      <w:szCs w:val="21"/>
                    </w:rPr>
                  </w:pPr>
                  <w:r>
                    <w:rPr>
                      <w:color w:val="auto"/>
                      <w:szCs w:val="21"/>
                    </w:rPr>
                    <w:t>年产1.1亿只玻璃酒瓶项目</w:t>
                  </w:r>
                </w:p>
              </w:tc>
              <w:tc>
                <w:tcPr>
                  <w:tcW w:w="1200" w:type="dxa"/>
                  <w:vAlign w:val="center"/>
                </w:tcPr>
                <w:p w14:paraId="32C06A44">
                  <w:pPr>
                    <w:jc w:val="center"/>
                    <w:rPr>
                      <w:color w:val="auto"/>
                      <w:szCs w:val="21"/>
                    </w:rPr>
                  </w:pPr>
                  <w:r>
                    <w:rPr>
                      <w:rFonts w:hint="eastAsia"/>
                      <w:color w:val="auto"/>
                      <w:szCs w:val="22"/>
                    </w:rPr>
                    <w:t>SO</w:t>
                  </w:r>
                  <w:r>
                    <w:rPr>
                      <w:rFonts w:hint="eastAsia"/>
                      <w:color w:val="auto"/>
                      <w:szCs w:val="22"/>
                      <w:vertAlign w:val="subscript"/>
                    </w:rPr>
                    <w:t>2</w:t>
                  </w:r>
                </w:p>
              </w:tc>
              <w:tc>
                <w:tcPr>
                  <w:tcW w:w="2637" w:type="dxa"/>
                  <w:vMerge w:val="restart"/>
                  <w:vAlign w:val="center"/>
                </w:tcPr>
                <w:p w14:paraId="1AB97EFC">
                  <w:pPr>
                    <w:jc w:val="center"/>
                    <w:rPr>
                      <w:color w:val="auto"/>
                      <w:szCs w:val="21"/>
                    </w:rPr>
                  </w:pPr>
                  <w:r>
                    <w:rPr>
                      <w:rFonts w:hint="eastAsia"/>
                      <w:color w:val="auto"/>
                      <w:szCs w:val="21"/>
                      <w:lang w:val="en-US" w:eastAsia="zh-CN"/>
                    </w:rPr>
                    <w:t>陶瓷管一体化除尘脱硫脱硝脱氟</w:t>
                  </w:r>
                  <w:r>
                    <w:rPr>
                      <w:rFonts w:hint="eastAsia"/>
                      <w:color w:val="auto"/>
                      <w:szCs w:val="21"/>
                    </w:rPr>
                    <w:t>装置</w:t>
                  </w:r>
                </w:p>
              </w:tc>
              <w:tc>
                <w:tcPr>
                  <w:tcW w:w="1180" w:type="dxa"/>
                  <w:vMerge w:val="restart"/>
                  <w:vAlign w:val="center"/>
                </w:tcPr>
                <w:p w14:paraId="59493993">
                  <w:pPr>
                    <w:jc w:val="center"/>
                    <w:rPr>
                      <w:color w:val="auto"/>
                      <w:szCs w:val="21"/>
                    </w:rPr>
                  </w:pPr>
                  <w:r>
                    <w:rPr>
                      <w:rFonts w:hint="eastAsia"/>
                      <w:color w:val="auto"/>
                      <w:szCs w:val="21"/>
                    </w:rPr>
                    <w:t>DA001</w:t>
                  </w:r>
                </w:p>
              </w:tc>
            </w:tr>
            <w:tr w14:paraId="42F5F6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253" w:type="dxa"/>
                  <w:vMerge w:val="continue"/>
                  <w:vAlign w:val="center"/>
                </w:tcPr>
                <w:p w14:paraId="5735DD9D">
                  <w:pPr>
                    <w:jc w:val="center"/>
                    <w:rPr>
                      <w:color w:val="auto"/>
                      <w:szCs w:val="21"/>
                    </w:rPr>
                  </w:pPr>
                </w:p>
              </w:tc>
              <w:tc>
                <w:tcPr>
                  <w:tcW w:w="1675" w:type="dxa"/>
                  <w:vMerge w:val="continue"/>
                  <w:vAlign w:val="center"/>
                </w:tcPr>
                <w:p w14:paraId="4883B364">
                  <w:pPr>
                    <w:jc w:val="center"/>
                    <w:rPr>
                      <w:color w:val="auto"/>
                      <w:szCs w:val="21"/>
                    </w:rPr>
                  </w:pPr>
                </w:p>
              </w:tc>
              <w:tc>
                <w:tcPr>
                  <w:tcW w:w="1200" w:type="dxa"/>
                  <w:vAlign w:val="center"/>
                </w:tcPr>
                <w:p w14:paraId="7F85D79E">
                  <w:pPr>
                    <w:jc w:val="center"/>
                    <w:rPr>
                      <w:color w:val="auto"/>
                      <w:szCs w:val="22"/>
                    </w:rPr>
                  </w:pPr>
                  <w:r>
                    <w:rPr>
                      <w:rFonts w:hint="eastAsia"/>
                      <w:color w:val="auto"/>
                      <w:szCs w:val="22"/>
                    </w:rPr>
                    <w:t>NOx</w:t>
                  </w:r>
                </w:p>
              </w:tc>
              <w:tc>
                <w:tcPr>
                  <w:tcW w:w="2637" w:type="dxa"/>
                  <w:vMerge w:val="continue"/>
                  <w:vAlign w:val="center"/>
                </w:tcPr>
                <w:p w14:paraId="4CADD5DD">
                  <w:pPr>
                    <w:jc w:val="center"/>
                    <w:rPr>
                      <w:color w:val="auto"/>
                      <w:szCs w:val="21"/>
                    </w:rPr>
                  </w:pPr>
                </w:p>
              </w:tc>
              <w:tc>
                <w:tcPr>
                  <w:tcW w:w="1180" w:type="dxa"/>
                  <w:vMerge w:val="continue"/>
                  <w:vAlign w:val="center"/>
                </w:tcPr>
                <w:p w14:paraId="43F256BA">
                  <w:pPr>
                    <w:jc w:val="center"/>
                    <w:rPr>
                      <w:color w:val="auto"/>
                      <w:szCs w:val="21"/>
                    </w:rPr>
                  </w:pPr>
                </w:p>
              </w:tc>
            </w:tr>
            <w:tr w14:paraId="04627F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253" w:type="dxa"/>
                  <w:vMerge w:val="continue"/>
                  <w:vAlign w:val="center"/>
                </w:tcPr>
                <w:p w14:paraId="70FBEA7F">
                  <w:pPr>
                    <w:jc w:val="center"/>
                    <w:rPr>
                      <w:color w:val="auto"/>
                      <w:szCs w:val="21"/>
                    </w:rPr>
                  </w:pPr>
                </w:p>
              </w:tc>
              <w:tc>
                <w:tcPr>
                  <w:tcW w:w="1675" w:type="dxa"/>
                  <w:vMerge w:val="continue"/>
                  <w:vAlign w:val="center"/>
                </w:tcPr>
                <w:p w14:paraId="0B5FF2BD">
                  <w:pPr>
                    <w:jc w:val="center"/>
                    <w:rPr>
                      <w:color w:val="auto"/>
                      <w:kern w:val="0"/>
                      <w:szCs w:val="21"/>
                    </w:rPr>
                  </w:pPr>
                </w:p>
              </w:tc>
              <w:tc>
                <w:tcPr>
                  <w:tcW w:w="1200" w:type="dxa"/>
                  <w:vAlign w:val="center"/>
                </w:tcPr>
                <w:p w14:paraId="7AF00603">
                  <w:pPr>
                    <w:jc w:val="center"/>
                    <w:rPr>
                      <w:color w:val="auto"/>
                      <w:szCs w:val="22"/>
                    </w:rPr>
                  </w:pPr>
                  <w:r>
                    <w:rPr>
                      <w:rFonts w:hint="eastAsia"/>
                      <w:color w:val="auto"/>
                      <w:szCs w:val="22"/>
                    </w:rPr>
                    <w:t>烟尘</w:t>
                  </w:r>
                </w:p>
              </w:tc>
              <w:tc>
                <w:tcPr>
                  <w:tcW w:w="2637" w:type="dxa"/>
                  <w:vMerge w:val="continue"/>
                  <w:vAlign w:val="center"/>
                </w:tcPr>
                <w:p w14:paraId="65239A9F">
                  <w:pPr>
                    <w:jc w:val="center"/>
                    <w:rPr>
                      <w:color w:val="auto"/>
                      <w:szCs w:val="21"/>
                    </w:rPr>
                  </w:pPr>
                </w:p>
              </w:tc>
              <w:tc>
                <w:tcPr>
                  <w:tcW w:w="1180" w:type="dxa"/>
                  <w:vMerge w:val="continue"/>
                  <w:vAlign w:val="center"/>
                </w:tcPr>
                <w:p w14:paraId="21EFB794">
                  <w:pPr>
                    <w:jc w:val="center"/>
                    <w:rPr>
                      <w:color w:val="auto"/>
                      <w:szCs w:val="21"/>
                    </w:rPr>
                  </w:pPr>
                </w:p>
              </w:tc>
            </w:tr>
            <w:tr w14:paraId="5F70F2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253" w:type="dxa"/>
                  <w:vMerge w:val="continue"/>
                  <w:vAlign w:val="center"/>
                </w:tcPr>
                <w:p w14:paraId="51B7EBCD">
                  <w:pPr>
                    <w:keepNext/>
                    <w:jc w:val="center"/>
                    <w:rPr>
                      <w:color w:val="auto"/>
                    </w:rPr>
                  </w:pPr>
                </w:p>
              </w:tc>
              <w:tc>
                <w:tcPr>
                  <w:tcW w:w="1675" w:type="dxa"/>
                  <w:vMerge w:val="continue"/>
                  <w:vAlign w:val="center"/>
                </w:tcPr>
                <w:p w14:paraId="17DDEA7F">
                  <w:pPr>
                    <w:autoSpaceDE w:val="0"/>
                    <w:autoSpaceDN w:val="0"/>
                    <w:jc w:val="center"/>
                    <w:rPr>
                      <w:bCs/>
                      <w:color w:val="auto"/>
                      <w:szCs w:val="21"/>
                    </w:rPr>
                  </w:pPr>
                </w:p>
              </w:tc>
              <w:tc>
                <w:tcPr>
                  <w:tcW w:w="1200" w:type="dxa"/>
                  <w:vAlign w:val="center"/>
                </w:tcPr>
                <w:p w14:paraId="3779C781">
                  <w:pPr>
                    <w:jc w:val="center"/>
                    <w:rPr>
                      <w:color w:val="auto"/>
                      <w:szCs w:val="21"/>
                    </w:rPr>
                  </w:pPr>
                  <w:r>
                    <w:rPr>
                      <w:rFonts w:hint="eastAsia"/>
                      <w:color w:val="auto"/>
                      <w:szCs w:val="21"/>
                    </w:rPr>
                    <w:t>混料颗粒物</w:t>
                  </w:r>
                </w:p>
              </w:tc>
              <w:tc>
                <w:tcPr>
                  <w:tcW w:w="2637" w:type="dxa"/>
                  <w:vAlign w:val="center"/>
                </w:tcPr>
                <w:p w14:paraId="55E770A3">
                  <w:pPr>
                    <w:jc w:val="center"/>
                    <w:rPr>
                      <w:color w:val="auto"/>
                    </w:rPr>
                  </w:pPr>
                  <w:r>
                    <w:rPr>
                      <w:rFonts w:hint="eastAsia"/>
                      <w:color w:val="auto"/>
                    </w:rPr>
                    <w:t>布袋除尘器</w:t>
                  </w:r>
                </w:p>
              </w:tc>
              <w:tc>
                <w:tcPr>
                  <w:tcW w:w="1180" w:type="dxa"/>
                  <w:vAlign w:val="center"/>
                </w:tcPr>
                <w:p w14:paraId="2AD8EFB6">
                  <w:pPr>
                    <w:pStyle w:val="10"/>
                    <w:spacing w:before="0" w:after="0" w:line="240" w:lineRule="auto"/>
                    <w:ind w:right="0"/>
                    <w:jc w:val="center"/>
                    <w:rPr>
                      <w:color w:val="auto"/>
                      <w:sz w:val="21"/>
                      <w:szCs w:val="21"/>
                    </w:rPr>
                  </w:pPr>
                  <w:r>
                    <w:rPr>
                      <w:rFonts w:hint="eastAsia"/>
                      <w:color w:val="auto"/>
                      <w:sz w:val="21"/>
                      <w:szCs w:val="21"/>
                    </w:rPr>
                    <w:t>无组织排放</w:t>
                  </w:r>
                </w:p>
              </w:tc>
            </w:tr>
            <w:tr w14:paraId="5AF991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253" w:type="dxa"/>
                  <w:vMerge w:val="restart"/>
                  <w:vAlign w:val="center"/>
                </w:tcPr>
                <w:p w14:paraId="0B115396">
                  <w:pPr>
                    <w:keepNext/>
                    <w:jc w:val="center"/>
                    <w:rPr>
                      <w:color w:val="auto"/>
                      <w:szCs w:val="21"/>
                    </w:rPr>
                  </w:pPr>
                  <w:r>
                    <w:rPr>
                      <w:rFonts w:hint="eastAsia"/>
                      <w:color w:val="auto"/>
                    </w:rPr>
                    <w:t>1</w:t>
                  </w:r>
                  <w:r>
                    <w:rPr>
                      <w:color w:val="auto"/>
                    </w:rPr>
                    <w:t>#</w:t>
                  </w:r>
                  <w:r>
                    <w:rPr>
                      <w:rFonts w:hint="eastAsia"/>
                      <w:color w:val="auto"/>
                    </w:rPr>
                    <w:t>喷漆车间、烤花车间</w:t>
                  </w:r>
                </w:p>
              </w:tc>
              <w:tc>
                <w:tcPr>
                  <w:tcW w:w="1675" w:type="dxa"/>
                  <w:vMerge w:val="restart"/>
                  <w:vAlign w:val="center"/>
                </w:tcPr>
                <w:p w14:paraId="32C04B01">
                  <w:pPr>
                    <w:autoSpaceDE w:val="0"/>
                    <w:autoSpaceDN w:val="0"/>
                    <w:jc w:val="center"/>
                    <w:rPr>
                      <w:color w:val="auto"/>
                      <w:szCs w:val="21"/>
                    </w:rPr>
                  </w:pPr>
                  <w:r>
                    <w:rPr>
                      <w:rFonts w:hint="eastAsia"/>
                      <w:bCs/>
                      <w:color w:val="auto"/>
                      <w:szCs w:val="21"/>
                    </w:rPr>
                    <w:t>年产600万只真空离子镀膜玻璃瓶与6000万只水性玻璃釉酒瓶项目</w:t>
                  </w:r>
                </w:p>
              </w:tc>
              <w:tc>
                <w:tcPr>
                  <w:tcW w:w="1200" w:type="dxa"/>
                  <w:vAlign w:val="center"/>
                </w:tcPr>
                <w:p w14:paraId="160A30F8">
                  <w:pPr>
                    <w:jc w:val="center"/>
                    <w:rPr>
                      <w:color w:val="auto"/>
                      <w:szCs w:val="21"/>
                    </w:rPr>
                  </w:pPr>
                  <w:r>
                    <w:rPr>
                      <w:rFonts w:hint="eastAsia"/>
                      <w:color w:val="auto"/>
                      <w:szCs w:val="21"/>
                    </w:rPr>
                    <w:t>颗粒物</w:t>
                  </w:r>
                </w:p>
              </w:tc>
              <w:tc>
                <w:tcPr>
                  <w:tcW w:w="2637" w:type="dxa"/>
                  <w:vMerge w:val="restart"/>
                  <w:vAlign w:val="center"/>
                </w:tcPr>
                <w:p w14:paraId="20055823">
                  <w:pPr>
                    <w:jc w:val="center"/>
                    <w:rPr>
                      <w:color w:val="auto"/>
                      <w:szCs w:val="21"/>
                    </w:rPr>
                  </w:pPr>
                  <w:r>
                    <w:rPr>
                      <w:rFonts w:hint="eastAsia"/>
                      <w:color w:val="auto"/>
                    </w:rPr>
                    <w:t>水喷淋+二级干式过滤+</w:t>
                  </w:r>
                  <w:r>
                    <w:rPr>
                      <w:rFonts w:hint="eastAsia"/>
                      <w:color w:val="auto"/>
                      <w:szCs w:val="21"/>
                    </w:rPr>
                    <w:t>活性炭吸附脱附+催化燃烧装置</w:t>
                  </w:r>
                </w:p>
              </w:tc>
              <w:tc>
                <w:tcPr>
                  <w:tcW w:w="1180" w:type="dxa"/>
                  <w:vMerge w:val="restart"/>
                  <w:vAlign w:val="center"/>
                </w:tcPr>
                <w:p w14:paraId="0812F97B">
                  <w:pPr>
                    <w:pStyle w:val="10"/>
                    <w:spacing w:before="0" w:after="0" w:line="240" w:lineRule="auto"/>
                    <w:ind w:right="0"/>
                    <w:jc w:val="center"/>
                    <w:rPr>
                      <w:color w:val="auto"/>
                      <w:sz w:val="21"/>
                      <w:szCs w:val="21"/>
                    </w:rPr>
                  </w:pPr>
                  <w:r>
                    <w:rPr>
                      <w:rFonts w:hint="eastAsia"/>
                      <w:color w:val="auto"/>
                      <w:sz w:val="21"/>
                      <w:szCs w:val="21"/>
                    </w:rPr>
                    <w:t>DA002</w:t>
                  </w:r>
                </w:p>
              </w:tc>
            </w:tr>
            <w:tr w14:paraId="1BC04E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253" w:type="dxa"/>
                  <w:vMerge w:val="continue"/>
                  <w:vAlign w:val="center"/>
                </w:tcPr>
                <w:p w14:paraId="333FFC0B">
                  <w:pPr>
                    <w:jc w:val="center"/>
                    <w:rPr>
                      <w:color w:val="auto"/>
                      <w:szCs w:val="21"/>
                    </w:rPr>
                  </w:pPr>
                </w:p>
              </w:tc>
              <w:tc>
                <w:tcPr>
                  <w:tcW w:w="1675" w:type="dxa"/>
                  <w:vMerge w:val="continue"/>
                  <w:vAlign w:val="center"/>
                </w:tcPr>
                <w:p w14:paraId="38B4FFEC">
                  <w:pPr>
                    <w:jc w:val="center"/>
                    <w:rPr>
                      <w:color w:val="auto"/>
                      <w:szCs w:val="21"/>
                    </w:rPr>
                  </w:pPr>
                </w:p>
              </w:tc>
              <w:tc>
                <w:tcPr>
                  <w:tcW w:w="1200" w:type="dxa"/>
                  <w:vAlign w:val="center"/>
                </w:tcPr>
                <w:p w14:paraId="12CAD6FB">
                  <w:pPr>
                    <w:jc w:val="center"/>
                    <w:rPr>
                      <w:color w:val="auto"/>
                      <w:szCs w:val="21"/>
                    </w:rPr>
                  </w:pPr>
                  <w:r>
                    <w:rPr>
                      <w:rFonts w:hint="eastAsia"/>
                      <w:color w:val="auto"/>
                      <w:szCs w:val="21"/>
                    </w:rPr>
                    <w:t>VOCs</w:t>
                  </w:r>
                </w:p>
              </w:tc>
              <w:tc>
                <w:tcPr>
                  <w:tcW w:w="2637" w:type="dxa"/>
                  <w:vMerge w:val="continue"/>
                  <w:vAlign w:val="center"/>
                </w:tcPr>
                <w:p w14:paraId="0AA61149">
                  <w:pPr>
                    <w:jc w:val="center"/>
                    <w:rPr>
                      <w:color w:val="auto"/>
                      <w:szCs w:val="21"/>
                    </w:rPr>
                  </w:pPr>
                </w:p>
              </w:tc>
              <w:tc>
                <w:tcPr>
                  <w:tcW w:w="1180" w:type="dxa"/>
                  <w:vMerge w:val="continue"/>
                  <w:vAlign w:val="center"/>
                </w:tcPr>
                <w:p w14:paraId="1FF1D68B">
                  <w:pPr>
                    <w:pStyle w:val="10"/>
                    <w:spacing w:before="0" w:after="0" w:line="240" w:lineRule="auto"/>
                    <w:ind w:right="0"/>
                    <w:jc w:val="center"/>
                    <w:rPr>
                      <w:color w:val="auto"/>
                      <w:sz w:val="21"/>
                      <w:szCs w:val="21"/>
                    </w:rPr>
                  </w:pPr>
                </w:p>
              </w:tc>
            </w:tr>
            <w:tr w14:paraId="214CFF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253" w:type="dxa"/>
                  <w:vMerge w:val="restart"/>
                  <w:vAlign w:val="center"/>
                </w:tcPr>
                <w:p w14:paraId="3B998400">
                  <w:pPr>
                    <w:keepNext/>
                    <w:jc w:val="center"/>
                    <w:rPr>
                      <w:color w:val="auto"/>
                      <w:szCs w:val="21"/>
                    </w:rPr>
                  </w:pPr>
                  <w:r>
                    <w:rPr>
                      <w:rFonts w:hint="eastAsia"/>
                      <w:color w:val="auto"/>
                    </w:rPr>
                    <w:t>2</w:t>
                  </w:r>
                  <w:r>
                    <w:rPr>
                      <w:color w:val="auto"/>
                    </w:rPr>
                    <w:t>#</w:t>
                  </w:r>
                  <w:r>
                    <w:rPr>
                      <w:rFonts w:hint="eastAsia"/>
                      <w:color w:val="auto"/>
                    </w:rPr>
                    <w:t>喷漆车间</w:t>
                  </w:r>
                </w:p>
              </w:tc>
              <w:tc>
                <w:tcPr>
                  <w:tcW w:w="1675" w:type="dxa"/>
                  <w:vMerge w:val="continue"/>
                  <w:vAlign w:val="center"/>
                </w:tcPr>
                <w:p w14:paraId="0B69B797">
                  <w:pPr>
                    <w:jc w:val="center"/>
                    <w:rPr>
                      <w:color w:val="auto"/>
                      <w:szCs w:val="21"/>
                    </w:rPr>
                  </w:pPr>
                </w:p>
              </w:tc>
              <w:tc>
                <w:tcPr>
                  <w:tcW w:w="1200" w:type="dxa"/>
                  <w:vAlign w:val="center"/>
                </w:tcPr>
                <w:p w14:paraId="71B4C92F">
                  <w:pPr>
                    <w:jc w:val="center"/>
                    <w:rPr>
                      <w:color w:val="auto"/>
                      <w:szCs w:val="21"/>
                    </w:rPr>
                  </w:pPr>
                  <w:r>
                    <w:rPr>
                      <w:rFonts w:hint="eastAsia"/>
                      <w:color w:val="auto"/>
                      <w:szCs w:val="21"/>
                    </w:rPr>
                    <w:t>颗粒物</w:t>
                  </w:r>
                </w:p>
              </w:tc>
              <w:tc>
                <w:tcPr>
                  <w:tcW w:w="2637" w:type="dxa"/>
                  <w:vMerge w:val="restart"/>
                  <w:vAlign w:val="center"/>
                </w:tcPr>
                <w:p w14:paraId="3F970C28">
                  <w:pPr>
                    <w:jc w:val="center"/>
                    <w:rPr>
                      <w:color w:val="auto"/>
                      <w:szCs w:val="21"/>
                    </w:rPr>
                  </w:pPr>
                  <w:r>
                    <w:rPr>
                      <w:rFonts w:hint="eastAsia"/>
                      <w:color w:val="auto"/>
                    </w:rPr>
                    <w:t>水喷淋+二级干式过滤+</w:t>
                  </w:r>
                  <w:r>
                    <w:rPr>
                      <w:rFonts w:hint="eastAsia"/>
                      <w:color w:val="auto"/>
                      <w:szCs w:val="21"/>
                    </w:rPr>
                    <w:t>活性炭吸附脱附+催化燃烧装置</w:t>
                  </w:r>
                </w:p>
              </w:tc>
              <w:tc>
                <w:tcPr>
                  <w:tcW w:w="1180" w:type="dxa"/>
                  <w:vMerge w:val="restart"/>
                  <w:vAlign w:val="center"/>
                </w:tcPr>
                <w:p w14:paraId="20BA2C94">
                  <w:pPr>
                    <w:pStyle w:val="10"/>
                    <w:spacing w:before="0" w:after="0" w:line="240" w:lineRule="auto"/>
                    <w:ind w:right="0"/>
                    <w:jc w:val="center"/>
                    <w:rPr>
                      <w:color w:val="auto"/>
                      <w:sz w:val="21"/>
                      <w:szCs w:val="21"/>
                    </w:rPr>
                  </w:pPr>
                  <w:r>
                    <w:rPr>
                      <w:rFonts w:hint="eastAsia"/>
                      <w:color w:val="auto"/>
                      <w:sz w:val="21"/>
                      <w:szCs w:val="21"/>
                    </w:rPr>
                    <w:t>DA003</w:t>
                  </w:r>
                </w:p>
              </w:tc>
            </w:tr>
            <w:tr w14:paraId="67818A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253" w:type="dxa"/>
                  <w:vMerge w:val="continue"/>
                  <w:vAlign w:val="center"/>
                </w:tcPr>
                <w:p w14:paraId="21F7C9D6">
                  <w:pPr>
                    <w:jc w:val="center"/>
                    <w:rPr>
                      <w:color w:val="auto"/>
                      <w:szCs w:val="21"/>
                    </w:rPr>
                  </w:pPr>
                </w:p>
              </w:tc>
              <w:tc>
                <w:tcPr>
                  <w:tcW w:w="1675" w:type="dxa"/>
                  <w:vMerge w:val="continue"/>
                  <w:vAlign w:val="center"/>
                </w:tcPr>
                <w:p w14:paraId="3A06E45E">
                  <w:pPr>
                    <w:jc w:val="center"/>
                    <w:rPr>
                      <w:color w:val="auto"/>
                      <w:szCs w:val="21"/>
                    </w:rPr>
                  </w:pPr>
                </w:p>
              </w:tc>
              <w:tc>
                <w:tcPr>
                  <w:tcW w:w="1200" w:type="dxa"/>
                  <w:vAlign w:val="center"/>
                </w:tcPr>
                <w:p w14:paraId="3573CAE2">
                  <w:pPr>
                    <w:jc w:val="center"/>
                    <w:rPr>
                      <w:color w:val="auto"/>
                      <w:szCs w:val="21"/>
                    </w:rPr>
                  </w:pPr>
                  <w:r>
                    <w:rPr>
                      <w:rFonts w:hint="eastAsia"/>
                      <w:color w:val="auto"/>
                      <w:szCs w:val="21"/>
                    </w:rPr>
                    <w:t>VOCs</w:t>
                  </w:r>
                </w:p>
              </w:tc>
              <w:tc>
                <w:tcPr>
                  <w:tcW w:w="2637" w:type="dxa"/>
                  <w:vMerge w:val="continue"/>
                  <w:vAlign w:val="center"/>
                </w:tcPr>
                <w:p w14:paraId="363B06AF">
                  <w:pPr>
                    <w:jc w:val="center"/>
                    <w:rPr>
                      <w:color w:val="auto"/>
                      <w:szCs w:val="21"/>
                    </w:rPr>
                  </w:pPr>
                </w:p>
              </w:tc>
              <w:tc>
                <w:tcPr>
                  <w:tcW w:w="1180" w:type="dxa"/>
                  <w:vMerge w:val="continue"/>
                  <w:vAlign w:val="center"/>
                </w:tcPr>
                <w:p w14:paraId="117C4576">
                  <w:pPr>
                    <w:pStyle w:val="10"/>
                    <w:spacing w:before="0" w:after="0" w:line="240" w:lineRule="auto"/>
                    <w:ind w:right="0"/>
                    <w:jc w:val="center"/>
                    <w:rPr>
                      <w:color w:val="auto"/>
                      <w:sz w:val="21"/>
                      <w:szCs w:val="21"/>
                    </w:rPr>
                  </w:pPr>
                </w:p>
              </w:tc>
            </w:tr>
            <w:tr w14:paraId="2C385B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253" w:type="dxa"/>
                  <w:vMerge w:val="restart"/>
                  <w:vAlign w:val="center"/>
                </w:tcPr>
                <w:p w14:paraId="6F9F8132">
                  <w:pPr>
                    <w:jc w:val="center"/>
                    <w:rPr>
                      <w:color w:val="auto"/>
                      <w:szCs w:val="21"/>
                    </w:rPr>
                  </w:pPr>
                  <w:r>
                    <w:rPr>
                      <w:rFonts w:hint="eastAsia"/>
                      <w:color w:val="auto"/>
                      <w:szCs w:val="21"/>
                    </w:rPr>
                    <w:t>洗瓶车间</w:t>
                  </w:r>
                </w:p>
              </w:tc>
              <w:tc>
                <w:tcPr>
                  <w:tcW w:w="1675" w:type="dxa"/>
                  <w:vMerge w:val="continue"/>
                  <w:vAlign w:val="center"/>
                </w:tcPr>
                <w:p w14:paraId="552C3D9E">
                  <w:pPr>
                    <w:jc w:val="center"/>
                    <w:rPr>
                      <w:color w:val="auto"/>
                      <w:szCs w:val="21"/>
                    </w:rPr>
                  </w:pPr>
                </w:p>
              </w:tc>
              <w:tc>
                <w:tcPr>
                  <w:tcW w:w="1200" w:type="dxa"/>
                  <w:vAlign w:val="center"/>
                </w:tcPr>
                <w:p w14:paraId="1D44CA51">
                  <w:pPr>
                    <w:pStyle w:val="75"/>
                    <w:rPr>
                      <w:rFonts w:hint="eastAsia"/>
                      <w:color w:val="auto"/>
                      <w:sz w:val="21"/>
                      <w:szCs w:val="21"/>
                      <w:lang w:eastAsia="zh-CN"/>
                    </w:rPr>
                  </w:pPr>
                  <w:r>
                    <w:rPr>
                      <w:rFonts w:hint="eastAsia" w:ascii="Times New Roman" w:hAnsi="Times New Roman" w:cs="Times New Roman"/>
                      <w:color w:val="auto"/>
                      <w:sz w:val="21"/>
                      <w:szCs w:val="21"/>
                      <w:lang w:eastAsia="zh-CN"/>
                    </w:rPr>
                    <w:t>氯化氢</w:t>
                  </w:r>
                </w:p>
              </w:tc>
              <w:tc>
                <w:tcPr>
                  <w:tcW w:w="2637" w:type="dxa"/>
                  <w:vMerge w:val="restart"/>
                  <w:vAlign w:val="center"/>
                </w:tcPr>
                <w:p w14:paraId="731238D3">
                  <w:pPr>
                    <w:jc w:val="center"/>
                    <w:rPr>
                      <w:color w:val="auto"/>
                      <w:szCs w:val="21"/>
                    </w:rPr>
                  </w:pPr>
                  <w:r>
                    <w:rPr>
                      <w:rFonts w:hint="eastAsia"/>
                      <w:color w:val="auto"/>
                    </w:rPr>
                    <w:t>二级碱喷淋装置</w:t>
                  </w:r>
                </w:p>
              </w:tc>
              <w:tc>
                <w:tcPr>
                  <w:tcW w:w="1180" w:type="dxa"/>
                  <w:vMerge w:val="restart"/>
                  <w:vAlign w:val="center"/>
                </w:tcPr>
                <w:p w14:paraId="1D1AE7B9">
                  <w:pPr>
                    <w:pStyle w:val="10"/>
                    <w:spacing w:before="0" w:after="0" w:line="240" w:lineRule="auto"/>
                    <w:ind w:right="0"/>
                    <w:jc w:val="center"/>
                    <w:rPr>
                      <w:color w:val="auto"/>
                      <w:sz w:val="21"/>
                      <w:szCs w:val="21"/>
                    </w:rPr>
                  </w:pPr>
                  <w:r>
                    <w:rPr>
                      <w:rFonts w:hint="eastAsia"/>
                      <w:color w:val="auto"/>
                      <w:sz w:val="21"/>
                      <w:szCs w:val="21"/>
                    </w:rPr>
                    <w:t>DA004</w:t>
                  </w:r>
                </w:p>
              </w:tc>
            </w:tr>
            <w:tr w14:paraId="508A50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253" w:type="dxa"/>
                  <w:vMerge w:val="continue"/>
                  <w:vAlign w:val="center"/>
                </w:tcPr>
                <w:p w14:paraId="09185FC9">
                  <w:pPr>
                    <w:jc w:val="center"/>
                    <w:rPr>
                      <w:color w:val="auto"/>
                      <w:szCs w:val="21"/>
                    </w:rPr>
                  </w:pPr>
                </w:p>
              </w:tc>
              <w:tc>
                <w:tcPr>
                  <w:tcW w:w="1675" w:type="dxa"/>
                  <w:vMerge w:val="continue"/>
                  <w:vAlign w:val="center"/>
                </w:tcPr>
                <w:p w14:paraId="071F46D0">
                  <w:pPr>
                    <w:jc w:val="center"/>
                    <w:rPr>
                      <w:color w:val="auto"/>
                      <w:szCs w:val="21"/>
                    </w:rPr>
                  </w:pPr>
                </w:p>
              </w:tc>
              <w:tc>
                <w:tcPr>
                  <w:tcW w:w="1200" w:type="dxa"/>
                  <w:vAlign w:val="center"/>
                </w:tcPr>
                <w:p w14:paraId="55EC5428">
                  <w:pPr>
                    <w:pStyle w:val="75"/>
                    <w:rPr>
                      <w:rFonts w:hint="eastAsia"/>
                      <w:color w:val="auto"/>
                      <w:sz w:val="21"/>
                      <w:szCs w:val="21"/>
                      <w:lang w:eastAsia="zh-CN"/>
                    </w:rPr>
                  </w:pPr>
                  <w:r>
                    <w:rPr>
                      <w:rFonts w:hint="eastAsia" w:ascii="Times New Roman" w:hAnsi="Times New Roman" w:cs="Times New Roman"/>
                      <w:color w:val="auto"/>
                      <w:sz w:val="21"/>
                      <w:szCs w:val="21"/>
                      <w:lang w:eastAsia="zh-CN"/>
                    </w:rPr>
                    <w:t>硫酸雾</w:t>
                  </w:r>
                </w:p>
              </w:tc>
              <w:tc>
                <w:tcPr>
                  <w:tcW w:w="2637" w:type="dxa"/>
                  <w:vMerge w:val="continue"/>
                  <w:vAlign w:val="center"/>
                </w:tcPr>
                <w:p w14:paraId="66655E04">
                  <w:pPr>
                    <w:jc w:val="center"/>
                    <w:rPr>
                      <w:color w:val="auto"/>
                      <w:szCs w:val="21"/>
                    </w:rPr>
                  </w:pPr>
                </w:p>
              </w:tc>
              <w:tc>
                <w:tcPr>
                  <w:tcW w:w="1180" w:type="dxa"/>
                  <w:vMerge w:val="continue"/>
                  <w:vAlign w:val="center"/>
                </w:tcPr>
                <w:p w14:paraId="59D4B756">
                  <w:pPr>
                    <w:pStyle w:val="10"/>
                    <w:spacing w:before="0" w:after="0" w:line="240" w:lineRule="auto"/>
                    <w:ind w:right="0"/>
                    <w:jc w:val="center"/>
                    <w:rPr>
                      <w:color w:val="auto"/>
                      <w:sz w:val="21"/>
                      <w:szCs w:val="21"/>
                    </w:rPr>
                  </w:pPr>
                </w:p>
              </w:tc>
            </w:tr>
          </w:tbl>
          <w:p w14:paraId="652E25EA">
            <w:pPr>
              <w:spacing w:before="120" w:beforeLines="50" w:line="360" w:lineRule="auto"/>
              <w:ind w:firstLine="420" w:firstLineChars="200"/>
              <w:rPr>
                <w:color w:val="auto"/>
              </w:rPr>
            </w:pPr>
            <w:r>
              <w:rPr>
                <w:color w:val="auto"/>
              </w:rPr>
              <w:t>①有组织废气：</w:t>
            </w:r>
          </w:p>
          <w:p w14:paraId="36717360">
            <w:pPr>
              <w:spacing w:line="360" w:lineRule="auto"/>
              <w:ind w:firstLine="420" w:firstLineChars="200"/>
              <w:rPr>
                <w:color w:val="auto"/>
              </w:rPr>
            </w:pPr>
            <w:r>
              <w:rPr>
                <w:color w:val="auto"/>
              </w:rPr>
              <w:t>监测结果表明，</w:t>
            </w:r>
            <w:r>
              <w:rPr>
                <w:rFonts w:hint="eastAsia"/>
                <w:color w:val="auto"/>
              </w:rPr>
              <w:t>现有项目</w:t>
            </w:r>
            <w:r>
              <w:rPr>
                <w:rFonts w:hint="eastAsia"/>
                <w:color w:val="auto"/>
                <w:szCs w:val="22"/>
              </w:rPr>
              <w:t>玻璃窑炉燃烧</w:t>
            </w:r>
            <w:r>
              <w:rPr>
                <w:rFonts w:hint="eastAsia"/>
                <w:color w:val="auto"/>
              </w:rPr>
              <w:t>废气、</w:t>
            </w:r>
            <w:r>
              <w:rPr>
                <w:rFonts w:hint="eastAsia"/>
                <w:color w:val="auto"/>
                <w:szCs w:val="21"/>
              </w:rPr>
              <w:t>烤花废气、酸洗废气、漆雾颗粒和喷漆烘干有机废气</w:t>
            </w:r>
            <w:r>
              <w:rPr>
                <w:rFonts w:hint="eastAsia"/>
                <w:color w:val="auto"/>
              </w:rPr>
              <w:t>在监测期间，</w:t>
            </w:r>
            <w:r>
              <w:rPr>
                <w:color w:val="auto"/>
              </w:rPr>
              <w:t>排放浓度和排放速率均满足</w:t>
            </w:r>
            <w:r>
              <w:rPr>
                <w:rFonts w:hint="eastAsia"/>
                <w:color w:val="auto"/>
              </w:rPr>
              <w:t>《</w:t>
            </w:r>
            <w:r>
              <w:rPr>
                <w:color w:val="auto"/>
                <w:szCs w:val="21"/>
              </w:rPr>
              <w:t>玻璃工业大气污染物排放标准</w:t>
            </w:r>
            <w:r>
              <w:rPr>
                <w:rFonts w:hint="eastAsia"/>
                <w:color w:val="auto"/>
              </w:rPr>
              <w:t>》（GB26453-2022）</w:t>
            </w:r>
            <w:r>
              <w:rPr>
                <w:color w:val="auto"/>
                <w:szCs w:val="21"/>
              </w:rPr>
              <w:t>表1标准</w:t>
            </w:r>
            <w:r>
              <w:rPr>
                <w:rFonts w:hint="eastAsia"/>
                <w:color w:val="auto"/>
              </w:rPr>
              <w:t>，具体监测结果见表2-</w:t>
            </w:r>
            <w:r>
              <w:rPr>
                <w:rFonts w:hint="eastAsia"/>
                <w:color w:val="auto"/>
                <w:lang w:val="en-US" w:eastAsia="zh-CN"/>
              </w:rPr>
              <w:t>12、2-13</w:t>
            </w:r>
            <w:r>
              <w:rPr>
                <w:rFonts w:hint="eastAsia"/>
                <w:color w:val="auto"/>
              </w:rPr>
              <w:t>。</w:t>
            </w:r>
          </w:p>
          <w:p w14:paraId="3963FCE5">
            <w:pPr>
              <w:spacing w:before="120" w:beforeLines="50"/>
              <w:jc w:val="center"/>
              <w:rPr>
                <w:b/>
                <w:bCs/>
                <w:color w:val="auto"/>
                <w:szCs w:val="21"/>
              </w:rPr>
            </w:pPr>
            <w:r>
              <w:rPr>
                <w:rFonts w:hint="eastAsia"/>
                <w:b/>
                <w:bCs/>
                <w:color w:val="auto"/>
                <w:szCs w:val="21"/>
              </w:rPr>
              <w:t>表2-</w:t>
            </w:r>
            <w:r>
              <w:rPr>
                <w:rFonts w:hint="eastAsia"/>
                <w:b/>
                <w:bCs/>
                <w:color w:val="auto"/>
                <w:szCs w:val="21"/>
                <w:lang w:val="en-US" w:eastAsia="zh-CN"/>
              </w:rPr>
              <w:t>12</w:t>
            </w:r>
            <w:r>
              <w:rPr>
                <w:rFonts w:hint="eastAsia"/>
                <w:b/>
                <w:bCs/>
                <w:color w:val="auto"/>
                <w:szCs w:val="21"/>
              </w:rPr>
              <w:t xml:space="preserve"> 现有项目玻璃窑炉有组织废气监测结果与评价</w:t>
            </w:r>
          </w:p>
          <w:tbl>
            <w:tblPr>
              <w:tblStyle w:val="3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078"/>
              <w:gridCol w:w="1150"/>
              <w:gridCol w:w="625"/>
              <w:gridCol w:w="912"/>
              <w:gridCol w:w="1013"/>
              <w:gridCol w:w="975"/>
              <w:gridCol w:w="1050"/>
              <w:gridCol w:w="1142"/>
            </w:tblGrid>
            <w:tr w14:paraId="08241D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tcBorders>
                    <w:tl2br w:val="nil"/>
                    <w:tr2bl w:val="nil"/>
                  </w:tcBorders>
                  <w:vAlign w:val="center"/>
                </w:tcPr>
                <w:p w14:paraId="4BE9C0EC">
                  <w:pPr>
                    <w:widowControl/>
                    <w:jc w:val="center"/>
                    <w:rPr>
                      <w:b/>
                      <w:bCs/>
                      <w:color w:val="auto"/>
                      <w:szCs w:val="21"/>
                    </w:rPr>
                  </w:pPr>
                  <w:r>
                    <w:rPr>
                      <w:rFonts w:hint="eastAsia"/>
                      <w:b/>
                      <w:bCs/>
                      <w:color w:val="auto"/>
                      <w:szCs w:val="21"/>
                    </w:rPr>
                    <w:t>采样日期</w:t>
                  </w:r>
                </w:p>
              </w:tc>
              <w:tc>
                <w:tcPr>
                  <w:tcW w:w="1150" w:type="dxa"/>
                  <w:tcBorders>
                    <w:tl2br w:val="nil"/>
                    <w:tr2bl w:val="nil"/>
                  </w:tcBorders>
                  <w:vAlign w:val="center"/>
                </w:tcPr>
                <w:p w14:paraId="619AEE81">
                  <w:pPr>
                    <w:widowControl/>
                    <w:jc w:val="center"/>
                    <w:rPr>
                      <w:b/>
                      <w:bCs/>
                      <w:color w:val="auto"/>
                      <w:szCs w:val="21"/>
                    </w:rPr>
                  </w:pPr>
                  <w:r>
                    <w:rPr>
                      <w:rFonts w:hint="eastAsia"/>
                      <w:b/>
                      <w:bCs/>
                      <w:color w:val="auto"/>
                      <w:szCs w:val="21"/>
                    </w:rPr>
                    <w:t>采样点位/高度</w:t>
                  </w:r>
                </w:p>
              </w:tc>
              <w:tc>
                <w:tcPr>
                  <w:tcW w:w="625" w:type="dxa"/>
                  <w:tcBorders>
                    <w:tl2br w:val="nil"/>
                    <w:tr2bl w:val="nil"/>
                  </w:tcBorders>
                  <w:vAlign w:val="center"/>
                </w:tcPr>
                <w:p w14:paraId="0FBCC3BA">
                  <w:pPr>
                    <w:widowControl/>
                    <w:jc w:val="center"/>
                    <w:rPr>
                      <w:b/>
                      <w:bCs/>
                      <w:color w:val="auto"/>
                      <w:szCs w:val="21"/>
                    </w:rPr>
                  </w:pPr>
                  <w:r>
                    <w:rPr>
                      <w:rFonts w:hint="eastAsia"/>
                      <w:b/>
                      <w:bCs/>
                      <w:color w:val="auto"/>
                      <w:szCs w:val="21"/>
                    </w:rPr>
                    <w:t>检测项目</w:t>
                  </w:r>
                </w:p>
              </w:tc>
              <w:tc>
                <w:tcPr>
                  <w:tcW w:w="912" w:type="dxa"/>
                  <w:tcBorders>
                    <w:tl2br w:val="nil"/>
                    <w:tr2bl w:val="nil"/>
                  </w:tcBorders>
                  <w:vAlign w:val="center"/>
                </w:tcPr>
                <w:p w14:paraId="57AD6985">
                  <w:pPr>
                    <w:widowControl/>
                    <w:jc w:val="center"/>
                    <w:rPr>
                      <w:b/>
                      <w:bCs/>
                      <w:color w:val="auto"/>
                      <w:szCs w:val="21"/>
                    </w:rPr>
                  </w:pPr>
                  <w:r>
                    <w:rPr>
                      <w:rFonts w:hint="eastAsia"/>
                      <w:b/>
                      <w:bCs/>
                      <w:color w:val="auto"/>
                      <w:szCs w:val="21"/>
                    </w:rPr>
                    <w:t>采样频次</w:t>
                  </w:r>
                </w:p>
              </w:tc>
              <w:tc>
                <w:tcPr>
                  <w:tcW w:w="1013" w:type="dxa"/>
                  <w:tcBorders>
                    <w:tl2br w:val="nil"/>
                    <w:tr2bl w:val="nil"/>
                  </w:tcBorders>
                  <w:vAlign w:val="center"/>
                </w:tcPr>
                <w:p w14:paraId="32B600F0">
                  <w:pPr>
                    <w:widowControl/>
                    <w:jc w:val="center"/>
                    <w:rPr>
                      <w:b/>
                      <w:bCs/>
                      <w:color w:val="auto"/>
                      <w:szCs w:val="21"/>
                    </w:rPr>
                  </w:pPr>
                  <w:r>
                    <w:rPr>
                      <w:rFonts w:hint="eastAsia"/>
                      <w:b/>
                      <w:bCs/>
                      <w:color w:val="auto"/>
                      <w:kern w:val="0"/>
                      <w:szCs w:val="21"/>
                    </w:rPr>
                    <w:t>标干</w:t>
                  </w:r>
                  <w:r>
                    <w:rPr>
                      <w:b/>
                      <w:bCs/>
                      <w:color w:val="auto"/>
                      <w:kern w:val="0"/>
                      <w:szCs w:val="21"/>
                    </w:rPr>
                    <w:t>流量m</w:t>
                  </w:r>
                  <w:r>
                    <w:rPr>
                      <w:b/>
                      <w:bCs/>
                      <w:color w:val="auto"/>
                      <w:kern w:val="0"/>
                      <w:szCs w:val="21"/>
                      <w:vertAlign w:val="superscript"/>
                    </w:rPr>
                    <w:t>3</w:t>
                  </w:r>
                  <w:r>
                    <w:rPr>
                      <w:b/>
                      <w:bCs/>
                      <w:color w:val="auto"/>
                      <w:kern w:val="0"/>
                      <w:szCs w:val="21"/>
                    </w:rPr>
                    <w:t>/h</w:t>
                  </w:r>
                </w:p>
              </w:tc>
              <w:tc>
                <w:tcPr>
                  <w:tcW w:w="975" w:type="dxa"/>
                  <w:tcBorders>
                    <w:tl2br w:val="nil"/>
                    <w:tr2bl w:val="nil"/>
                  </w:tcBorders>
                  <w:vAlign w:val="center"/>
                </w:tcPr>
                <w:p w14:paraId="0B4EC711">
                  <w:pPr>
                    <w:widowControl/>
                    <w:jc w:val="center"/>
                    <w:rPr>
                      <w:b/>
                      <w:bCs/>
                      <w:color w:val="auto"/>
                      <w:szCs w:val="21"/>
                    </w:rPr>
                  </w:pPr>
                  <w:r>
                    <w:rPr>
                      <w:rFonts w:hint="eastAsia"/>
                      <w:b/>
                      <w:bCs/>
                      <w:color w:val="auto"/>
                      <w:kern w:val="0"/>
                      <w:szCs w:val="21"/>
                    </w:rPr>
                    <w:t>实测</w:t>
                  </w:r>
                  <w:r>
                    <w:rPr>
                      <w:b/>
                      <w:bCs/>
                      <w:color w:val="auto"/>
                      <w:kern w:val="0"/>
                      <w:szCs w:val="21"/>
                    </w:rPr>
                    <w:t>浓度mg/m</w:t>
                  </w:r>
                  <w:r>
                    <w:rPr>
                      <w:b/>
                      <w:bCs/>
                      <w:color w:val="auto"/>
                      <w:kern w:val="0"/>
                      <w:szCs w:val="21"/>
                      <w:vertAlign w:val="superscript"/>
                    </w:rPr>
                    <w:t>3</w:t>
                  </w:r>
                </w:p>
              </w:tc>
              <w:tc>
                <w:tcPr>
                  <w:tcW w:w="1050" w:type="dxa"/>
                  <w:tcBorders>
                    <w:tl2br w:val="nil"/>
                    <w:tr2bl w:val="nil"/>
                  </w:tcBorders>
                  <w:vAlign w:val="center"/>
                </w:tcPr>
                <w:p w14:paraId="68377C6A">
                  <w:pPr>
                    <w:widowControl/>
                    <w:jc w:val="center"/>
                    <w:rPr>
                      <w:b/>
                      <w:bCs/>
                      <w:color w:val="auto"/>
                      <w:szCs w:val="21"/>
                    </w:rPr>
                  </w:pPr>
                  <w:r>
                    <w:rPr>
                      <w:rFonts w:hint="eastAsia"/>
                      <w:b/>
                      <w:bCs/>
                      <w:color w:val="auto"/>
                      <w:kern w:val="0"/>
                      <w:szCs w:val="21"/>
                      <w:lang w:val="en-US" w:eastAsia="zh-CN"/>
                    </w:rPr>
                    <w:t>折算</w:t>
                  </w:r>
                  <w:r>
                    <w:rPr>
                      <w:b/>
                      <w:bCs/>
                      <w:color w:val="auto"/>
                      <w:kern w:val="0"/>
                      <w:szCs w:val="21"/>
                    </w:rPr>
                    <w:t>浓度mg/m</w:t>
                  </w:r>
                  <w:r>
                    <w:rPr>
                      <w:b/>
                      <w:bCs/>
                      <w:color w:val="auto"/>
                      <w:kern w:val="0"/>
                      <w:szCs w:val="21"/>
                      <w:vertAlign w:val="superscript"/>
                    </w:rPr>
                    <w:t>3</w:t>
                  </w:r>
                </w:p>
              </w:tc>
              <w:tc>
                <w:tcPr>
                  <w:tcW w:w="1142" w:type="dxa"/>
                  <w:tcBorders>
                    <w:tl2br w:val="nil"/>
                    <w:tr2bl w:val="nil"/>
                  </w:tcBorders>
                  <w:vAlign w:val="center"/>
                </w:tcPr>
                <w:p w14:paraId="33ACD2EA">
                  <w:pPr>
                    <w:widowControl/>
                    <w:jc w:val="center"/>
                    <w:rPr>
                      <w:b/>
                      <w:bCs/>
                      <w:color w:val="auto"/>
                      <w:szCs w:val="21"/>
                    </w:rPr>
                  </w:pPr>
                  <w:r>
                    <w:rPr>
                      <w:b/>
                      <w:bCs/>
                      <w:color w:val="auto"/>
                      <w:kern w:val="0"/>
                      <w:szCs w:val="21"/>
                    </w:rPr>
                    <w:t>排放速率</w:t>
                  </w:r>
                  <w:r>
                    <w:rPr>
                      <w:rFonts w:hint="eastAsia"/>
                      <w:b/>
                      <w:bCs/>
                      <w:color w:val="auto"/>
                      <w:kern w:val="0"/>
                      <w:szCs w:val="21"/>
                    </w:rPr>
                    <w:t>kg</w:t>
                  </w:r>
                  <w:r>
                    <w:rPr>
                      <w:b/>
                      <w:bCs/>
                      <w:color w:val="auto"/>
                      <w:kern w:val="0"/>
                      <w:szCs w:val="21"/>
                    </w:rPr>
                    <w:t>/h</w:t>
                  </w:r>
                </w:p>
              </w:tc>
            </w:tr>
            <w:tr w14:paraId="7710BE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restart"/>
                  <w:tcBorders>
                    <w:tl2br w:val="nil"/>
                    <w:tr2bl w:val="nil"/>
                  </w:tcBorders>
                  <w:vAlign w:val="center"/>
                </w:tcPr>
                <w:p w14:paraId="6C96E255">
                  <w:pPr>
                    <w:widowControl/>
                    <w:jc w:val="center"/>
                    <w:rPr>
                      <w:color w:val="auto"/>
                      <w:szCs w:val="21"/>
                    </w:rPr>
                  </w:pPr>
                  <w:r>
                    <w:rPr>
                      <w:rFonts w:hint="eastAsia"/>
                      <w:color w:val="auto"/>
                      <w:szCs w:val="21"/>
                    </w:rPr>
                    <w:t>202</w:t>
                  </w:r>
                  <w:r>
                    <w:rPr>
                      <w:rFonts w:hint="eastAsia"/>
                      <w:color w:val="auto"/>
                      <w:szCs w:val="21"/>
                      <w:lang w:val="en-US" w:eastAsia="zh-CN"/>
                    </w:rPr>
                    <w:t>4</w:t>
                  </w:r>
                  <w:r>
                    <w:rPr>
                      <w:rFonts w:hint="eastAsia"/>
                      <w:color w:val="auto"/>
                      <w:szCs w:val="21"/>
                    </w:rPr>
                    <w:t>.</w:t>
                  </w:r>
                  <w:r>
                    <w:rPr>
                      <w:rFonts w:hint="eastAsia"/>
                      <w:color w:val="auto"/>
                      <w:szCs w:val="21"/>
                      <w:lang w:val="en-US" w:eastAsia="zh-CN"/>
                    </w:rPr>
                    <w:t>10</w:t>
                  </w:r>
                  <w:r>
                    <w:rPr>
                      <w:rFonts w:hint="eastAsia"/>
                      <w:color w:val="auto"/>
                      <w:szCs w:val="21"/>
                    </w:rPr>
                    <w:t>.10</w:t>
                  </w:r>
                </w:p>
              </w:tc>
              <w:tc>
                <w:tcPr>
                  <w:tcW w:w="1150" w:type="dxa"/>
                  <w:vMerge w:val="restart"/>
                  <w:tcBorders>
                    <w:tl2br w:val="nil"/>
                    <w:tr2bl w:val="nil"/>
                  </w:tcBorders>
                  <w:vAlign w:val="center"/>
                </w:tcPr>
                <w:p w14:paraId="7375D9ED">
                  <w:pPr>
                    <w:widowControl/>
                    <w:jc w:val="center"/>
                    <w:rPr>
                      <w:color w:val="auto"/>
                      <w:szCs w:val="21"/>
                    </w:rPr>
                  </w:pPr>
                  <w:r>
                    <w:rPr>
                      <w:rFonts w:hint="eastAsia"/>
                      <w:color w:val="auto"/>
                      <w:szCs w:val="21"/>
                    </w:rPr>
                    <w:t>DA001</w:t>
                  </w:r>
                </w:p>
                <w:p w14:paraId="3D468527">
                  <w:pPr>
                    <w:widowControl/>
                    <w:jc w:val="center"/>
                    <w:rPr>
                      <w:rFonts w:hint="default" w:eastAsia="宋体"/>
                      <w:color w:val="auto"/>
                      <w:szCs w:val="21"/>
                      <w:lang w:val="en-US" w:eastAsia="zh-CN"/>
                    </w:rPr>
                  </w:pPr>
                  <w:r>
                    <w:rPr>
                      <w:rFonts w:hint="eastAsia"/>
                      <w:color w:val="auto"/>
                      <w:szCs w:val="21"/>
                      <w:lang w:val="en-US" w:eastAsia="zh-CN"/>
                    </w:rPr>
                    <w:t>排气筒出口</w:t>
                  </w:r>
                </w:p>
              </w:tc>
              <w:tc>
                <w:tcPr>
                  <w:tcW w:w="625" w:type="dxa"/>
                  <w:vMerge w:val="restart"/>
                  <w:tcBorders>
                    <w:tl2br w:val="nil"/>
                    <w:tr2bl w:val="nil"/>
                  </w:tcBorders>
                  <w:vAlign w:val="center"/>
                </w:tcPr>
                <w:p w14:paraId="556F087A">
                  <w:pPr>
                    <w:widowControl/>
                    <w:jc w:val="center"/>
                    <w:rPr>
                      <w:color w:val="auto"/>
                      <w:szCs w:val="21"/>
                    </w:rPr>
                  </w:pPr>
                  <w:r>
                    <w:rPr>
                      <w:rFonts w:hint="eastAsia"/>
                      <w:color w:val="auto"/>
                      <w:szCs w:val="21"/>
                    </w:rPr>
                    <w:t>低浓度颗粒物</w:t>
                  </w:r>
                </w:p>
              </w:tc>
              <w:tc>
                <w:tcPr>
                  <w:tcW w:w="912" w:type="dxa"/>
                  <w:tcBorders>
                    <w:tl2br w:val="nil"/>
                    <w:tr2bl w:val="nil"/>
                  </w:tcBorders>
                  <w:vAlign w:val="center"/>
                </w:tcPr>
                <w:p w14:paraId="1FA50BF6">
                  <w:pPr>
                    <w:jc w:val="center"/>
                    <w:rPr>
                      <w:color w:val="auto"/>
                      <w:szCs w:val="21"/>
                    </w:rPr>
                  </w:pPr>
                  <w:r>
                    <w:rPr>
                      <w:color w:val="auto"/>
                      <w:szCs w:val="21"/>
                    </w:rPr>
                    <w:t>第一次</w:t>
                  </w:r>
                </w:p>
              </w:tc>
              <w:tc>
                <w:tcPr>
                  <w:tcW w:w="1013" w:type="dxa"/>
                  <w:tcBorders>
                    <w:tl2br w:val="nil"/>
                    <w:tr2bl w:val="nil"/>
                  </w:tcBorders>
                  <w:vAlign w:val="center"/>
                </w:tcPr>
                <w:p w14:paraId="19C89577">
                  <w:pPr>
                    <w:widowControl/>
                    <w:jc w:val="center"/>
                    <w:rPr>
                      <w:rFonts w:hint="default" w:eastAsia="宋体"/>
                      <w:color w:val="auto"/>
                      <w:szCs w:val="21"/>
                      <w:lang w:val="en-US" w:eastAsia="zh-CN"/>
                    </w:rPr>
                  </w:pPr>
                  <w:r>
                    <w:rPr>
                      <w:rFonts w:hint="eastAsia"/>
                      <w:color w:val="auto"/>
                      <w:szCs w:val="21"/>
                      <w:lang w:val="en-US" w:eastAsia="zh-CN"/>
                    </w:rPr>
                    <w:t>33591</w:t>
                  </w:r>
                </w:p>
              </w:tc>
              <w:tc>
                <w:tcPr>
                  <w:tcW w:w="975" w:type="dxa"/>
                  <w:tcBorders>
                    <w:tl2br w:val="nil"/>
                    <w:tr2bl w:val="nil"/>
                  </w:tcBorders>
                  <w:vAlign w:val="center"/>
                </w:tcPr>
                <w:p w14:paraId="3F1AB971">
                  <w:pPr>
                    <w:widowControl/>
                    <w:jc w:val="center"/>
                    <w:rPr>
                      <w:rFonts w:hint="default" w:eastAsia="宋体"/>
                      <w:color w:val="auto"/>
                      <w:szCs w:val="21"/>
                      <w:lang w:val="en-US" w:eastAsia="zh-CN"/>
                    </w:rPr>
                  </w:pPr>
                  <w:r>
                    <w:rPr>
                      <w:rFonts w:hint="eastAsia" w:eastAsia="微软雅黑"/>
                      <w:color w:val="auto"/>
                      <w:szCs w:val="21"/>
                      <w:lang w:val="en-US" w:eastAsia="zh-CN"/>
                    </w:rPr>
                    <w:t>3.1</w:t>
                  </w:r>
                </w:p>
              </w:tc>
              <w:tc>
                <w:tcPr>
                  <w:tcW w:w="1050" w:type="dxa"/>
                  <w:tcBorders>
                    <w:tl2br w:val="nil"/>
                    <w:tr2bl w:val="nil"/>
                  </w:tcBorders>
                  <w:vAlign w:val="center"/>
                </w:tcPr>
                <w:p w14:paraId="7F48FB44">
                  <w:pPr>
                    <w:widowControl/>
                    <w:jc w:val="center"/>
                    <w:rPr>
                      <w:rFonts w:hint="default" w:eastAsia="宋体"/>
                      <w:color w:val="auto"/>
                      <w:szCs w:val="21"/>
                      <w:lang w:val="en-US" w:eastAsia="zh-CN"/>
                    </w:rPr>
                  </w:pPr>
                  <w:r>
                    <w:rPr>
                      <w:rFonts w:hint="eastAsia" w:eastAsia="微软雅黑"/>
                      <w:color w:val="auto"/>
                      <w:szCs w:val="21"/>
                      <w:lang w:val="en-US" w:eastAsia="zh-CN"/>
                    </w:rPr>
                    <w:t>4.5</w:t>
                  </w:r>
                </w:p>
              </w:tc>
              <w:tc>
                <w:tcPr>
                  <w:tcW w:w="1142" w:type="dxa"/>
                  <w:tcBorders>
                    <w:tl2br w:val="nil"/>
                    <w:tr2bl w:val="nil"/>
                  </w:tcBorders>
                  <w:vAlign w:val="center"/>
                </w:tcPr>
                <w:p w14:paraId="2DDC4A07">
                  <w:pPr>
                    <w:widowControl/>
                    <w:jc w:val="center"/>
                    <w:rPr>
                      <w:rFonts w:hint="default" w:eastAsia="宋体"/>
                      <w:color w:val="auto"/>
                      <w:szCs w:val="21"/>
                      <w:lang w:val="en-US" w:eastAsia="zh-CN"/>
                    </w:rPr>
                  </w:pPr>
                  <w:r>
                    <w:rPr>
                      <w:rFonts w:hint="eastAsia"/>
                      <w:color w:val="auto"/>
                      <w:szCs w:val="21"/>
                      <w:lang w:val="en-US" w:eastAsia="zh-CN"/>
                    </w:rPr>
                    <w:t>0.104</w:t>
                  </w:r>
                </w:p>
              </w:tc>
            </w:tr>
            <w:tr w14:paraId="39060A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587439D3">
                  <w:pPr>
                    <w:widowControl/>
                    <w:jc w:val="center"/>
                    <w:rPr>
                      <w:color w:val="auto"/>
                      <w:szCs w:val="21"/>
                    </w:rPr>
                  </w:pPr>
                </w:p>
              </w:tc>
              <w:tc>
                <w:tcPr>
                  <w:tcW w:w="1150" w:type="dxa"/>
                  <w:vMerge w:val="continue"/>
                  <w:tcBorders>
                    <w:tl2br w:val="nil"/>
                    <w:tr2bl w:val="nil"/>
                  </w:tcBorders>
                  <w:vAlign w:val="center"/>
                </w:tcPr>
                <w:p w14:paraId="7DDB49F6">
                  <w:pPr>
                    <w:widowControl/>
                    <w:jc w:val="center"/>
                    <w:rPr>
                      <w:color w:val="auto"/>
                      <w:szCs w:val="21"/>
                    </w:rPr>
                  </w:pPr>
                </w:p>
              </w:tc>
              <w:tc>
                <w:tcPr>
                  <w:tcW w:w="625" w:type="dxa"/>
                  <w:vMerge w:val="continue"/>
                  <w:tcBorders>
                    <w:tl2br w:val="nil"/>
                    <w:tr2bl w:val="nil"/>
                  </w:tcBorders>
                  <w:vAlign w:val="center"/>
                </w:tcPr>
                <w:p w14:paraId="60B15B4D">
                  <w:pPr>
                    <w:widowControl/>
                    <w:jc w:val="center"/>
                    <w:rPr>
                      <w:color w:val="auto"/>
                      <w:szCs w:val="21"/>
                    </w:rPr>
                  </w:pPr>
                </w:p>
              </w:tc>
              <w:tc>
                <w:tcPr>
                  <w:tcW w:w="912" w:type="dxa"/>
                  <w:tcBorders>
                    <w:tl2br w:val="nil"/>
                    <w:tr2bl w:val="nil"/>
                  </w:tcBorders>
                  <w:vAlign w:val="center"/>
                </w:tcPr>
                <w:p w14:paraId="0F087969">
                  <w:pPr>
                    <w:jc w:val="center"/>
                    <w:rPr>
                      <w:color w:val="auto"/>
                      <w:szCs w:val="21"/>
                    </w:rPr>
                  </w:pPr>
                  <w:r>
                    <w:rPr>
                      <w:color w:val="auto"/>
                      <w:szCs w:val="21"/>
                    </w:rPr>
                    <w:t>第二次</w:t>
                  </w:r>
                </w:p>
              </w:tc>
              <w:tc>
                <w:tcPr>
                  <w:tcW w:w="1013" w:type="dxa"/>
                  <w:tcBorders>
                    <w:tl2br w:val="nil"/>
                    <w:tr2bl w:val="nil"/>
                  </w:tcBorders>
                  <w:vAlign w:val="center"/>
                </w:tcPr>
                <w:p w14:paraId="53265BDA">
                  <w:pPr>
                    <w:widowControl/>
                    <w:jc w:val="center"/>
                    <w:rPr>
                      <w:rFonts w:hint="default" w:eastAsia="宋体"/>
                      <w:color w:val="auto"/>
                      <w:szCs w:val="21"/>
                      <w:lang w:val="en-US" w:eastAsia="zh-CN"/>
                    </w:rPr>
                  </w:pPr>
                  <w:r>
                    <w:rPr>
                      <w:rFonts w:hint="eastAsia"/>
                      <w:color w:val="auto"/>
                      <w:szCs w:val="21"/>
                      <w:lang w:val="en-US" w:eastAsia="zh-CN"/>
                    </w:rPr>
                    <w:t>36597</w:t>
                  </w:r>
                </w:p>
              </w:tc>
              <w:tc>
                <w:tcPr>
                  <w:tcW w:w="975" w:type="dxa"/>
                  <w:tcBorders>
                    <w:tl2br w:val="nil"/>
                    <w:tr2bl w:val="nil"/>
                  </w:tcBorders>
                  <w:vAlign w:val="center"/>
                </w:tcPr>
                <w:p w14:paraId="019EA892">
                  <w:pPr>
                    <w:widowControl/>
                    <w:jc w:val="center"/>
                    <w:rPr>
                      <w:rFonts w:hint="default" w:eastAsia="宋体"/>
                      <w:color w:val="auto"/>
                      <w:szCs w:val="21"/>
                      <w:lang w:val="en-US" w:eastAsia="zh-CN"/>
                    </w:rPr>
                  </w:pPr>
                  <w:r>
                    <w:rPr>
                      <w:rFonts w:hint="eastAsia" w:eastAsia="微软雅黑"/>
                      <w:color w:val="auto"/>
                      <w:szCs w:val="21"/>
                      <w:lang w:val="en-US" w:eastAsia="zh-CN"/>
                    </w:rPr>
                    <w:t>2.5</w:t>
                  </w:r>
                </w:p>
              </w:tc>
              <w:tc>
                <w:tcPr>
                  <w:tcW w:w="1050" w:type="dxa"/>
                  <w:tcBorders>
                    <w:tl2br w:val="nil"/>
                    <w:tr2bl w:val="nil"/>
                  </w:tcBorders>
                  <w:vAlign w:val="center"/>
                </w:tcPr>
                <w:p w14:paraId="3EB58B82">
                  <w:pPr>
                    <w:widowControl/>
                    <w:jc w:val="center"/>
                    <w:rPr>
                      <w:rFonts w:hint="default" w:eastAsia="宋体"/>
                      <w:color w:val="auto"/>
                      <w:szCs w:val="21"/>
                      <w:lang w:val="en-US" w:eastAsia="zh-CN"/>
                    </w:rPr>
                  </w:pPr>
                  <w:r>
                    <w:rPr>
                      <w:rFonts w:hint="eastAsia" w:eastAsia="微软雅黑"/>
                      <w:color w:val="auto"/>
                      <w:szCs w:val="21"/>
                      <w:lang w:val="en-US" w:eastAsia="zh-CN"/>
                    </w:rPr>
                    <w:t>4.5</w:t>
                  </w:r>
                </w:p>
              </w:tc>
              <w:tc>
                <w:tcPr>
                  <w:tcW w:w="1142" w:type="dxa"/>
                  <w:tcBorders>
                    <w:tl2br w:val="nil"/>
                    <w:tr2bl w:val="nil"/>
                  </w:tcBorders>
                  <w:vAlign w:val="center"/>
                </w:tcPr>
                <w:p w14:paraId="55B5C2FB">
                  <w:pPr>
                    <w:widowControl/>
                    <w:jc w:val="center"/>
                    <w:rPr>
                      <w:color w:val="auto"/>
                      <w:szCs w:val="21"/>
                    </w:rPr>
                  </w:pPr>
                  <w:r>
                    <w:rPr>
                      <w:rFonts w:hint="eastAsia"/>
                      <w:color w:val="auto"/>
                      <w:szCs w:val="21"/>
                      <w:lang w:val="en-US" w:eastAsia="zh-CN"/>
                    </w:rPr>
                    <w:t>9.15</w:t>
                  </w:r>
                  <w:r>
                    <w:rPr>
                      <w:rFonts w:ascii="Arial" w:hAnsi="Arial" w:cs="Arial"/>
                      <w:color w:val="auto"/>
                      <w:szCs w:val="21"/>
                    </w:rPr>
                    <w:t>×</w:t>
                  </w:r>
                  <w:r>
                    <w:rPr>
                      <w:rFonts w:hint="eastAsia"/>
                      <w:color w:val="auto"/>
                      <w:szCs w:val="21"/>
                    </w:rPr>
                    <w:t>10</w:t>
                  </w:r>
                  <w:r>
                    <w:rPr>
                      <w:rFonts w:hint="eastAsia"/>
                      <w:color w:val="auto"/>
                      <w:szCs w:val="21"/>
                      <w:vertAlign w:val="superscript"/>
                    </w:rPr>
                    <w:t>-2</w:t>
                  </w:r>
                </w:p>
              </w:tc>
            </w:tr>
            <w:tr w14:paraId="38E10F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37D9185D">
                  <w:pPr>
                    <w:widowControl/>
                    <w:jc w:val="center"/>
                    <w:rPr>
                      <w:color w:val="auto"/>
                      <w:szCs w:val="21"/>
                    </w:rPr>
                  </w:pPr>
                </w:p>
              </w:tc>
              <w:tc>
                <w:tcPr>
                  <w:tcW w:w="1150" w:type="dxa"/>
                  <w:vMerge w:val="continue"/>
                  <w:tcBorders>
                    <w:tl2br w:val="nil"/>
                    <w:tr2bl w:val="nil"/>
                  </w:tcBorders>
                  <w:vAlign w:val="center"/>
                </w:tcPr>
                <w:p w14:paraId="1E8882FA">
                  <w:pPr>
                    <w:widowControl/>
                    <w:jc w:val="center"/>
                    <w:rPr>
                      <w:color w:val="auto"/>
                      <w:szCs w:val="21"/>
                    </w:rPr>
                  </w:pPr>
                </w:p>
              </w:tc>
              <w:tc>
                <w:tcPr>
                  <w:tcW w:w="625" w:type="dxa"/>
                  <w:vMerge w:val="continue"/>
                  <w:tcBorders>
                    <w:tl2br w:val="nil"/>
                    <w:tr2bl w:val="nil"/>
                  </w:tcBorders>
                  <w:vAlign w:val="center"/>
                </w:tcPr>
                <w:p w14:paraId="76156677">
                  <w:pPr>
                    <w:widowControl/>
                    <w:jc w:val="center"/>
                    <w:rPr>
                      <w:color w:val="auto"/>
                      <w:szCs w:val="21"/>
                    </w:rPr>
                  </w:pPr>
                </w:p>
              </w:tc>
              <w:tc>
                <w:tcPr>
                  <w:tcW w:w="912" w:type="dxa"/>
                  <w:tcBorders>
                    <w:tl2br w:val="nil"/>
                    <w:tr2bl w:val="nil"/>
                  </w:tcBorders>
                  <w:vAlign w:val="center"/>
                </w:tcPr>
                <w:p w14:paraId="2E08E588">
                  <w:pPr>
                    <w:jc w:val="center"/>
                    <w:rPr>
                      <w:color w:val="auto"/>
                      <w:szCs w:val="21"/>
                    </w:rPr>
                  </w:pPr>
                  <w:r>
                    <w:rPr>
                      <w:color w:val="auto"/>
                      <w:szCs w:val="21"/>
                    </w:rPr>
                    <w:t>第三次</w:t>
                  </w:r>
                </w:p>
              </w:tc>
              <w:tc>
                <w:tcPr>
                  <w:tcW w:w="1013" w:type="dxa"/>
                  <w:tcBorders>
                    <w:tl2br w:val="nil"/>
                    <w:tr2bl w:val="nil"/>
                  </w:tcBorders>
                  <w:vAlign w:val="center"/>
                </w:tcPr>
                <w:p w14:paraId="265A6774">
                  <w:pPr>
                    <w:widowControl/>
                    <w:jc w:val="center"/>
                    <w:rPr>
                      <w:rFonts w:hint="default" w:eastAsia="宋体"/>
                      <w:color w:val="auto"/>
                      <w:szCs w:val="21"/>
                      <w:lang w:val="en-US" w:eastAsia="zh-CN"/>
                    </w:rPr>
                  </w:pPr>
                  <w:r>
                    <w:rPr>
                      <w:rFonts w:hint="eastAsia"/>
                      <w:color w:val="auto"/>
                      <w:szCs w:val="21"/>
                      <w:lang w:val="en-US" w:eastAsia="zh-CN"/>
                    </w:rPr>
                    <w:t>29773</w:t>
                  </w:r>
                </w:p>
              </w:tc>
              <w:tc>
                <w:tcPr>
                  <w:tcW w:w="975" w:type="dxa"/>
                  <w:tcBorders>
                    <w:tl2br w:val="nil"/>
                    <w:tr2bl w:val="nil"/>
                  </w:tcBorders>
                  <w:vAlign w:val="center"/>
                </w:tcPr>
                <w:p w14:paraId="753F86D5">
                  <w:pPr>
                    <w:widowControl/>
                    <w:jc w:val="center"/>
                    <w:rPr>
                      <w:rFonts w:hint="default" w:eastAsia="宋体"/>
                      <w:color w:val="auto"/>
                      <w:szCs w:val="21"/>
                      <w:lang w:val="en-US" w:eastAsia="zh-CN"/>
                    </w:rPr>
                  </w:pPr>
                  <w:r>
                    <w:rPr>
                      <w:rFonts w:hint="eastAsia" w:eastAsia="微软雅黑"/>
                      <w:color w:val="auto"/>
                      <w:szCs w:val="21"/>
                      <w:lang w:val="en-US" w:eastAsia="zh-CN"/>
                    </w:rPr>
                    <w:t>2.8</w:t>
                  </w:r>
                </w:p>
              </w:tc>
              <w:tc>
                <w:tcPr>
                  <w:tcW w:w="1050" w:type="dxa"/>
                  <w:tcBorders>
                    <w:tl2br w:val="nil"/>
                    <w:tr2bl w:val="nil"/>
                  </w:tcBorders>
                  <w:vAlign w:val="center"/>
                </w:tcPr>
                <w:p w14:paraId="21249457">
                  <w:pPr>
                    <w:widowControl/>
                    <w:jc w:val="center"/>
                    <w:rPr>
                      <w:rFonts w:hint="default" w:eastAsia="宋体"/>
                      <w:color w:val="auto"/>
                      <w:szCs w:val="21"/>
                      <w:lang w:val="en-US" w:eastAsia="zh-CN"/>
                    </w:rPr>
                  </w:pPr>
                  <w:r>
                    <w:rPr>
                      <w:rFonts w:hint="eastAsia" w:eastAsia="微软雅黑"/>
                      <w:color w:val="auto"/>
                      <w:szCs w:val="21"/>
                      <w:lang w:val="en-US" w:eastAsia="zh-CN"/>
                    </w:rPr>
                    <w:t>4.3</w:t>
                  </w:r>
                </w:p>
              </w:tc>
              <w:tc>
                <w:tcPr>
                  <w:tcW w:w="1142" w:type="dxa"/>
                  <w:tcBorders>
                    <w:tl2br w:val="nil"/>
                    <w:tr2bl w:val="nil"/>
                  </w:tcBorders>
                  <w:vAlign w:val="center"/>
                </w:tcPr>
                <w:p w14:paraId="135B83EE">
                  <w:pPr>
                    <w:widowControl/>
                    <w:jc w:val="center"/>
                    <w:rPr>
                      <w:rFonts w:hint="default" w:eastAsia="宋体"/>
                      <w:color w:val="auto"/>
                      <w:szCs w:val="21"/>
                      <w:lang w:val="en-US" w:eastAsia="zh-CN"/>
                    </w:rPr>
                  </w:pPr>
                  <w:r>
                    <w:rPr>
                      <w:rFonts w:hint="eastAsia"/>
                      <w:color w:val="auto"/>
                      <w:szCs w:val="21"/>
                      <w:lang w:val="en-US" w:eastAsia="zh-CN"/>
                    </w:rPr>
                    <w:t>8.34</w:t>
                  </w:r>
                  <w:r>
                    <w:rPr>
                      <w:rFonts w:ascii="Arial" w:hAnsi="Arial" w:cs="Arial"/>
                      <w:color w:val="auto"/>
                      <w:szCs w:val="21"/>
                    </w:rPr>
                    <w:t>×</w:t>
                  </w:r>
                  <w:r>
                    <w:rPr>
                      <w:rFonts w:hint="eastAsia"/>
                      <w:color w:val="auto"/>
                      <w:szCs w:val="21"/>
                    </w:rPr>
                    <w:t>10</w:t>
                  </w:r>
                  <w:r>
                    <w:rPr>
                      <w:rFonts w:hint="eastAsia"/>
                      <w:color w:val="auto"/>
                      <w:szCs w:val="21"/>
                      <w:vertAlign w:val="superscript"/>
                    </w:rPr>
                    <w:t>-2</w:t>
                  </w:r>
                </w:p>
              </w:tc>
            </w:tr>
            <w:tr w14:paraId="3A4556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4C4DECD9">
                  <w:pPr>
                    <w:widowControl/>
                    <w:jc w:val="center"/>
                    <w:rPr>
                      <w:color w:val="auto"/>
                      <w:szCs w:val="21"/>
                    </w:rPr>
                  </w:pPr>
                </w:p>
              </w:tc>
              <w:tc>
                <w:tcPr>
                  <w:tcW w:w="1150" w:type="dxa"/>
                  <w:vMerge w:val="continue"/>
                  <w:tcBorders>
                    <w:tl2br w:val="nil"/>
                    <w:tr2bl w:val="nil"/>
                  </w:tcBorders>
                  <w:vAlign w:val="center"/>
                </w:tcPr>
                <w:p w14:paraId="648419C5">
                  <w:pPr>
                    <w:widowControl/>
                    <w:jc w:val="center"/>
                    <w:rPr>
                      <w:color w:val="auto"/>
                      <w:szCs w:val="21"/>
                    </w:rPr>
                  </w:pPr>
                </w:p>
              </w:tc>
              <w:tc>
                <w:tcPr>
                  <w:tcW w:w="625" w:type="dxa"/>
                  <w:vMerge w:val="restart"/>
                  <w:tcBorders>
                    <w:tl2br w:val="nil"/>
                    <w:tr2bl w:val="nil"/>
                  </w:tcBorders>
                  <w:vAlign w:val="center"/>
                </w:tcPr>
                <w:p w14:paraId="3ADD8BB5">
                  <w:pPr>
                    <w:widowControl/>
                    <w:jc w:val="center"/>
                    <w:rPr>
                      <w:color w:val="auto"/>
                      <w:szCs w:val="21"/>
                    </w:rPr>
                  </w:pPr>
                  <w:r>
                    <w:rPr>
                      <w:rFonts w:hint="eastAsia"/>
                      <w:color w:val="auto"/>
                      <w:szCs w:val="21"/>
                    </w:rPr>
                    <w:t>二氧化硫</w:t>
                  </w:r>
                </w:p>
              </w:tc>
              <w:tc>
                <w:tcPr>
                  <w:tcW w:w="912" w:type="dxa"/>
                  <w:tcBorders>
                    <w:tl2br w:val="nil"/>
                    <w:tr2bl w:val="nil"/>
                  </w:tcBorders>
                  <w:vAlign w:val="center"/>
                </w:tcPr>
                <w:p w14:paraId="6045833B">
                  <w:pPr>
                    <w:jc w:val="center"/>
                    <w:rPr>
                      <w:color w:val="auto"/>
                      <w:szCs w:val="21"/>
                    </w:rPr>
                  </w:pPr>
                  <w:r>
                    <w:rPr>
                      <w:color w:val="auto"/>
                      <w:szCs w:val="21"/>
                    </w:rPr>
                    <w:t>第一次</w:t>
                  </w:r>
                </w:p>
              </w:tc>
              <w:tc>
                <w:tcPr>
                  <w:tcW w:w="1013" w:type="dxa"/>
                  <w:tcBorders>
                    <w:tl2br w:val="nil"/>
                    <w:tr2bl w:val="nil"/>
                  </w:tcBorders>
                  <w:shd w:val="clear" w:color="auto" w:fill="auto"/>
                  <w:vAlign w:val="center"/>
                </w:tcPr>
                <w:p w14:paraId="65C85E86">
                  <w:pPr>
                    <w:widowControl/>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33591</w:t>
                  </w:r>
                </w:p>
              </w:tc>
              <w:tc>
                <w:tcPr>
                  <w:tcW w:w="975" w:type="dxa"/>
                  <w:tcBorders>
                    <w:tl2br w:val="nil"/>
                    <w:tr2bl w:val="nil"/>
                  </w:tcBorders>
                  <w:vAlign w:val="center"/>
                </w:tcPr>
                <w:p w14:paraId="52DF30B1">
                  <w:pPr>
                    <w:widowControl/>
                    <w:jc w:val="center"/>
                    <w:rPr>
                      <w:rFonts w:hint="default" w:eastAsia="宋体"/>
                      <w:color w:val="auto"/>
                      <w:szCs w:val="21"/>
                      <w:lang w:val="en-US" w:eastAsia="zh-CN"/>
                    </w:rPr>
                  </w:pPr>
                  <w:r>
                    <w:rPr>
                      <w:rFonts w:hint="eastAsia"/>
                      <w:color w:val="auto"/>
                      <w:szCs w:val="21"/>
                      <w:lang w:val="en-US" w:eastAsia="zh-CN"/>
                    </w:rPr>
                    <w:t>ND</w:t>
                  </w:r>
                </w:p>
              </w:tc>
              <w:tc>
                <w:tcPr>
                  <w:tcW w:w="1050" w:type="dxa"/>
                  <w:tcBorders>
                    <w:tl2br w:val="nil"/>
                    <w:tr2bl w:val="nil"/>
                  </w:tcBorders>
                  <w:vAlign w:val="center"/>
                </w:tcPr>
                <w:p w14:paraId="575BD35C">
                  <w:pPr>
                    <w:widowControl/>
                    <w:jc w:val="center"/>
                    <w:rPr>
                      <w:color w:val="auto"/>
                      <w:szCs w:val="21"/>
                    </w:rPr>
                  </w:pPr>
                  <w:r>
                    <w:rPr>
                      <w:rFonts w:hint="eastAsia"/>
                      <w:color w:val="auto"/>
                      <w:szCs w:val="21"/>
                      <w:lang w:val="en-US" w:eastAsia="zh-CN"/>
                    </w:rPr>
                    <w:t>ND</w:t>
                  </w:r>
                </w:p>
              </w:tc>
              <w:tc>
                <w:tcPr>
                  <w:tcW w:w="1142" w:type="dxa"/>
                  <w:tcBorders>
                    <w:tl2br w:val="nil"/>
                    <w:tr2bl w:val="nil"/>
                  </w:tcBorders>
                  <w:vAlign w:val="center"/>
                </w:tcPr>
                <w:p w14:paraId="78C86130">
                  <w:pPr>
                    <w:widowControl/>
                    <w:jc w:val="center"/>
                    <w:rPr>
                      <w:rFonts w:hint="eastAsia" w:eastAsia="宋体"/>
                      <w:color w:val="auto"/>
                      <w:szCs w:val="21"/>
                      <w:lang w:eastAsia="zh-CN"/>
                    </w:rPr>
                  </w:pPr>
                  <w:r>
                    <w:rPr>
                      <w:rFonts w:hint="eastAsia"/>
                      <w:color w:val="auto"/>
                      <w:szCs w:val="21"/>
                      <w:lang w:val="en-US" w:eastAsia="zh-CN"/>
                    </w:rPr>
                    <w:t>/</w:t>
                  </w:r>
                </w:p>
              </w:tc>
            </w:tr>
            <w:tr w14:paraId="2C76D7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1111E507">
                  <w:pPr>
                    <w:widowControl/>
                    <w:jc w:val="center"/>
                    <w:rPr>
                      <w:color w:val="auto"/>
                      <w:szCs w:val="21"/>
                    </w:rPr>
                  </w:pPr>
                </w:p>
              </w:tc>
              <w:tc>
                <w:tcPr>
                  <w:tcW w:w="1150" w:type="dxa"/>
                  <w:vMerge w:val="continue"/>
                  <w:tcBorders>
                    <w:tl2br w:val="nil"/>
                    <w:tr2bl w:val="nil"/>
                  </w:tcBorders>
                  <w:vAlign w:val="center"/>
                </w:tcPr>
                <w:p w14:paraId="768BE4F4">
                  <w:pPr>
                    <w:widowControl/>
                    <w:jc w:val="center"/>
                    <w:rPr>
                      <w:color w:val="auto"/>
                      <w:szCs w:val="21"/>
                    </w:rPr>
                  </w:pPr>
                </w:p>
              </w:tc>
              <w:tc>
                <w:tcPr>
                  <w:tcW w:w="625" w:type="dxa"/>
                  <w:vMerge w:val="continue"/>
                  <w:tcBorders>
                    <w:tl2br w:val="nil"/>
                    <w:tr2bl w:val="nil"/>
                  </w:tcBorders>
                  <w:vAlign w:val="center"/>
                </w:tcPr>
                <w:p w14:paraId="6FDB534F">
                  <w:pPr>
                    <w:widowControl/>
                    <w:jc w:val="center"/>
                    <w:rPr>
                      <w:color w:val="auto"/>
                      <w:szCs w:val="21"/>
                    </w:rPr>
                  </w:pPr>
                </w:p>
              </w:tc>
              <w:tc>
                <w:tcPr>
                  <w:tcW w:w="912" w:type="dxa"/>
                  <w:tcBorders>
                    <w:tl2br w:val="nil"/>
                    <w:tr2bl w:val="nil"/>
                  </w:tcBorders>
                  <w:vAlign w:val="center"/>
                </w:tcPr>
                <w:p w14:paraId="4C17E27A">
                  <w:pPr>
                    <w:jc w:val="center"/>
                    <w:rPr>
                      <w:color w:val="auto"/>
                      <w:szCs w:val="21"/>
                    </w:rPr>
                  </w:pPr>
                  <w:r>
                    <w:rPr>
                      <w:color w:val="auto"/>
                      <w:szCs w:val="21"/>
                    </w:rPr>
                    <w:t>第二次</w:t>
                  </w:r>
                </w:p>
              </w:tc>
              <w:tc>
                <w:tcPr>
                  <w:tcW w:w="1013" w:type="dxa"/>
                  <w:tcBorders>
                    <w:tl2br w:val="nil"/>
                    <w:tr2bl w:val="nil"/>
                  </w:tcBorders>
                  <w:shd w:val="clear" w:color="auto" w:fill="auto"/>
                  <w:vAlign w:val="center"/>
                </w:tcPr>
                <w:p w14:paraId="4B5847FF">
                  <w:pPr>
                    <w:widowControl/>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36597</w:t>
                  </w:r>
                </w:p>
              </w:tc>
              <w:tc>
                <w:tcPr>
                  <w:tcW w:w="975" w:type="dxa"/>
                  <w:tcBorders>
                    <w:tl2br w:val="nil"/>
                    <w:tr2bl w:val="nil"/>
                  </w:tcBorders>
                  <w:shd w:val="clear" w:color="auto" w:fill="auto"/>
                  <w:vAlign w:val="center"/>
                </w:tcPr>
                <w:p w14:paraId="14CEEE23">
                  <w:pPr>
                    <w:widowControl/>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ND</w:t>
                  </w:r>
                </w:p>
              </w:tc>
              <w:tc>
                <w:tcPr>
                  <w:tcW w:w="1050" w:type="dxa"/>
                  <w:tcBorders>
                    <w:tl2br w:val="nil"/>
                    <w:tr2bl w:val="nil"/>
                  </w:tcBorders>
                  <w:shd w:val="clear" w:color="auto" w:fill="auto"/>
                  <w:vAlign w:val="center"/>
                </w:tcPr>
                <w:p w14:paraId="619268CA">
                  <w:pPr>
                    <w:widowControl/>
                    <w:jc w:val="center"/>
                    <w:rPr>
                      <w:rFonts w:ascii="Times New Roman" w:hAnsi="Times New Roman" w:eastAsia="宋体" w:cs="Times New Roman"/>
                      <w:color w:val="auto"/>
                      <w:kern w:val="2"/>
                      <w:sz w:val="21"/>
                      <w:szCs w:val="21"/>
                      <w:lang w:val="en-US" w:eastAsia="zh-CN" w:bidi="ar-SA"/>
                    </w:rPr>
                  </w:pPr>
                  <w:r>
                    <w:rPr>
                      <w:rFonts w:hint="eastAsia"/>
                      <w:color w:val="auto"/>
                      <w:szCs w:val="21"/>
                      <w:lang w:val="en-US" w:eastAsia="zh-CN"/>
                    </w:rPr>
                    <w:t>ND</w:t>
                  </w:r>
                </w:p>
              </w:tc>
              <w:tc>
                <w:tcPr>
                  <w:tcW w:w="1142" w:type="dxa"/>
                  <w:tcBorders>
                    <w:tl2br w:val="nil"/>
                    <w:tr2bl w:val="nil"/>
                  </w:tcBorders>
                  <w:vAlign w:val="center"/>
                </w:tcPr>
                <w:p w14:paraId="48CAF070">
                  <w:pPr>
                    <w:widowControl/>
                    <w:jc w:val="center"/>
                    <w:rPr>
                      <w:rFonts w:hint="eastAsia" w:eastAsia="宋体"/>
                      <w:color w:val="auto"/>
                      <w:szCs w:val="21"/>
                      <w:lang w:eastAsia="zh-CN"/>
                    </w:rPr>
                  </w:pPr>
                  <w:r>
                    <w:rPr>
                      <w:rFonts w:hint="eastAsia" w:eastAsia="微软雅黑"/>
                      <w:color w:val="auto"/>
                      <w:szCs w:val="21"/>
                      <w:lang w:val="en-US" w:eastAsia="zh-CN"/>
                    </w:rPr>
                    <w:t>/</w:t>
                  </w:r>
                </w:p>
              </w:tc>
            </w:tr>
            <w:tr w14:paraId="2FDAFF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66350E2D">
                  <w:pPr>
                    <w:widowControl/>
                    <w:jc w:val="center"/>
                    <w:rPr>
                      <w:color w:val="auto"/>
                      <w:szCs w:val="21"/>
                    </w:rPr>
                  </w:pPr>
                </w:p>
              </w:tc>
              <w:tc>
                <w:tcPr>
                  <w:tcW w:w="1150" w:type="dxa"/>
                  <w:vMerge w:val="continue"/>
                  <w:tcBorders>
                    <w:tl2br w:val="nil"/>
                    <w:tr2bl w:val="nil"/>
                  </w:tcBorders>
                  <w:vAlign w:val="center"/>
                </w:tcPr>
                <w:p w14:paraId="1C6DD0A8">
                  <w:pPr>
                    <w:widowControl/>
                    <w:jc w:val="center"/>
                    <w:rPr>
                      <w:color w:val="auto"/>
                      <w:szCs w:val="21"/>
                    </w:rPr>
                  </w:pPr>
                </w:p>
              </w:tc>
              <w:tc>
                <w:tcPr>
                  <w:tcW w:w="625" w:type="dxa"/>
                  <w:vMerge w:val="continue"/>
                  <w:tcBorders>
                    <w:tl2br w:val="nil"/>
                    <w:tr2bl w:val="nil"/>
                  </w:tcBorders>
                  <w:vAlign w:val="center"/>
                </w:tcPr>
                <w:p w14:paraId="3BEA7D9F">
                  <w:pPr>
                    <w:widowControl/>
                    <w:jc w:val="center"/>
                    <w:rPr>
                      <w:color w:val="auto"/>
                      <w:szCs w:val="21"/>
                    </w:rPr>
                  </w:pPr>
                </w:p>
              </w:tc>
              <w:tc>
                <w:tcPr>
                  <w:tcW w:w="912" w:type="dxa"/>
                  <w:tcBorders>
                    <w:tl2br w:val="nil"/>
                    <w:tr2bl w:val="nil"/>
                  </w:tcBorders>
                  <w:vAlign w:val="center"/>
                </w:tcPr>
                <w:p w14:paraId="2DE20645">
                  <w:pPr>
                    <w:jc w:val="center"/>
                    <w:rPr>
                      <w:color w:val="auto"/>
                      <w:szCs w:val="21"/>
                    </w:rPr>
                  </w:pPr>
                  <w:r>
                    <w:rPr>
                      <w:color w:val="auto"/>
                      <w:szCs w:val="21"/>
                    </w:rPr>
                    <w:t>第三次</w:t>
                  </w:r>
                </w:p>
              </w:tc>
              <w:tc>
                <w:tcPr>
                  <w:tcW w:w="1013" w:type="dxa"/>
                  <w:tcBorders>
                    <w:tl2br w:val="nil"/>
                    <w:tr2bl w:val="nil"/>
                  </w:tcBorders>
                  <w:shd w:val="clear" w:color="auto" w:fill="auto"/>
                  <w:vAlign w:val="center"/>
                </w:tcPr>
                <w:p w14:paraId="53173FCF">
                  <w:pPr>
                    <w:widowControl/>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29773</w:t>
                  </w:r>
                </w:p>
              </w:tc>
              <w:tc>
                <w:tcPr>
                  <w:tcW w:w="975" w:type="dxa"/>
                  <w:tcBorders>
                    <w:tl2br w:val="nil"/>
                    <w:tr2bl w:val="nil"/>
                  </w:tcBorders>
                  <w:shd w:val="clear" w:color="auto" w:fill="auto"/>
                  <w:vAlign w:val="center"/>
                </w:tcPr>
                <w:p w14:paraId="3DF7D1A0">
                  <w:pPr>
                    <w:widowControl/>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ND</w:t>
                  </w:r>
                </w:p>
              </w:tc>
              <w:tc>
                <w:tcPr>
                  <w:tcW w:w="1050" w:type="dxa"/>
                  <w:tcBorders>
                    <w:tl2br w:val="nil"/>
                    <w:tr2bl w:val="nil"/>
                  </w:tcBorders>
                  <w:shd w:val="clear" w:color="auto" w:fill="auto"/>
                  <w:vAlign w:val="center"/>
                </w:tcPr>
                <w:p w14:paraId="6731B067">
                  <w:pPr>
                    <w:widowControl/>
                    <w:jc w:val="center"/>
                    <w:rPr>
                      <w:rFonts w:ascii="Times New Roman" w:hAnsi="Times New Roman" w:eastAsia="宋体" w:cs="Times New Roman"/>
                      <w:color w:val="auto"/>
                      <w:kern w:val="2"/>
                      <w:sz w:val="21"/>
                      <w:szCs w:val="21"/>
                      <w:lang w:val="en-US" w:eastAsia="zh-CN" w:bidi="ar-SA"/>
                    </w:rPr>
                  </w:pPr>
                  <w:r>
                    <w:rPr>
                      <w:rFonts w:hint="eastAsia"/>
                      <w:color w:val="auto"/>
                      <w:szCs w:val="21"/>
                      <w:lang w:val="en-US" w:eastAsia="zh-CN"/>
                    </w:rPr>
                    <w:t>ND</w:t>
                  </w:r>
                </w:p>
              </w:tc>
              <w:tc>
                <w:tcPr>
                  <w:tcW w:w="1142" w:type="dxa"/>
                  <w:tcBorders>
                    <w:tl2br w:val="nil"/>
                    <w:tr2bl w:val="nil"/>
                  </w:tcBorders>
                  <w:vAlign w:val="center"/>
                </w:tcPr>
                <w:p w14:paraId="784951FB">
                  <w:pPr>
                    <w:widowControl/>
                    <w:jc w:val="center"/>
                    <w:rPr>
                      <w:rFonts w:hint="eastAsia" w:eastAsia="宋体"/>
                      <w:color w:val="auto"/>
                      <w:szCs w:val="21"/>
                      <w:lang w:eastAsia="zh-CN"/>
                    </w:rPr>
                  </w:pPr>
                  <w:r>
                    <w:rPr>
                      <w:rFonts w:hint="eastAsia" w:eastAsia="微软雅黑"/>
                      <w:color w:val="auto"/>
                      <w:szCs w:val="21"/>
                      <w:lang w:val="en-US" w:eastAsia="zh-CN"/>
                    </w:rPr>
                    <w:t>/</w:t>
                  </w:r>
                </w:p>
              </w:tc>
            </w:tr>
            <w:tr w14:paraId="49B029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2DB2FB54">
                  <w:pPr>
                    <w:widowControl/>
                    <w:jc w:val="center"/>
                    <w:rPr>
                      <w:color w:val="auto"/>
                      <w:szCs w:val="21"/>
                    </w:rPr>
                  </w:pPr>
                </w:p>
              </w:tc>
              <w:tc>
                <w:tcPr>
                  <w:tcW w:w="1150" w:type="dxa"/>
                  <w:vMerge w:val="continue"/>
                  <w:tcBorders>
                    <w:tl2br w:val="nil"/>
                    <w:tr2bl w:val="nil"/>
                  </w:tcBorders>
                  <w:vAlign w:val="center"/>
                </w:tcPr>
                <w:p w14:paraId="466093E4">
                  <w:pPr>
                    <w:widowControl/>
                    <w:jc w:val="center"/>
                    <w:rPr>
                      <w:color w:val="auto"/>
                      <w:szCs w:val="21"/>
                    </w:rPr>
                  </w:pPr>
                </w:p>
              </w:tc>
              <w:tc>
                <w:tcPr>
                  <w:tcW w:w="625" w:type="dxa"/>
                  <w:vMerge w:val="restart"/>
                  <w:tcBorders>
                    <w:tl2br w:val="nil"/>
                    <w:tr2bl w:val="nil"/>
                  </w:tcBorders>
                  <w:vAlign w:val="center"/>
                </w:tcPr>
                <w:p w14:paraId="02166B85">
                  <w:pPr>
                    <w:widowControl/>
                    <w:jc w:val="center"/>
                    <w:rPr>
                      <w:color w:val="auto"/>
                      <w:szCs w:val="21"/>
                    </w:rPr>
                  </w:pPr>
                  <w:r>
                    <w:rPr>
                      <w:rFonts w:hint="eastAsia"/>
                      <w:color w:val="auto"/>
                      <w:szCs w:val="21"/>
                    </w:rPr>
                    <w:t>氮氧化物</w:t>
                  </w:r>
                </w:p>
              </w:tc>
              <w:tc>
                <w:tcPr>
                  <w:tcW w:w="912" w:type="dxa"/>
                  <w:tcBorders>
                    <w:tl2br w:val="nil"/>
                    <w:tr2bl w:val="nil"/>
                  </w:tcBorders>
                  <w:vAlign w:val="center"/>
                </w:tcPr>
                <w:p w14:paraId="3127910E">
                  <w:pPr>
                    <w:jc w:val="center"/>
                    <w:rPr>
                      <w:color w:val="auto"/>
                      <w:szCs w:val="21"/>
                    </w:rPr>
                  </w:pPr>
                  <w:r>
                    <w:rPr>
                      <w:color w:val="auto"/>
                      <w:szCs w:val="21"/>
                    </w:rPr>
                    <w:t>第一次</w:t>
                  </w:r>
                </w:p>
              </w:tc>
              <w:tc>
                <w:tcPr>
                  <w:tcW w:w="1013" w:type="dxa"/>
                  <w:tcBorders>
                    <w:tl2br w:val="nil"/>
                    <w:tr2bl w:val="nil"/>
                  </w:tcBorders>
                  <w:shd w:val="clear" w:color="auto" w:fill="auto"/>
                  <w:vAlign w:val="center"/>
                </w:tcPr>
                <w:p w14:paraId="55F4815B">
                  <w:pPr>
                    <w:widowControl/>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33591</w:t>
                  </w:r>
                </w:p>
              </w:tc>
              <w:tc>
                <w:tcPr>
                  <w:tcW w:w="975" w:type="dxa"/>
                  <w:tcBorders>
                    <w:tl2br w:val="nil"/>
                    <w:tr2bl w:val="nil"/>
                  </w:tcBorders>
                  <w:vAlign w:val="center"/>
                </w:tcPr>
                <w:p w14:paraId="2013648A">
                  <w:pPr>
                    <w:widowControl/>
                    <w:jc w:val="center"/>
                    <w:rPr>
                      <w:rFonts w:hint="default" w:eastAsia="宋体"/>
                      <w:color w:val="auto"/>
                      <w:szCs w:val="21"/>
                      <w:lang w:val="en-US" w:eastAsia="zh-CN"/>
                    </w:rPr>
                  </w:pPr>
                  <w:r>
                    <w:rPr>
                      <w:rFonts w:hint="eastAsia"/>
                      <w:color w:val="auto"/>
                      <w:szCs w:val="21"/>
                      <w:lang w:val="en-US" w:eastAsia="zh-CN"/>
                    </w:rPr>
                    <w:t>11</w:t>
                  </w:r>
                </w:p>
              </w:tc>
              <w:tc>
                <w:tcPr>
                  <w:tcW w:w="1050" w:type="dxa"/>
                  <w:tcBorders>
                    <w:tl2br w:val="nil"/>
                    <w:tr2bl w:val="nil"/>
                  </w:tcBorders>
                  <w:vAlign w:val="center"/>
                </w:tcPr>
                <w:p w14:paraId="2304CBDD">
                  <w:pPr>
                    <w:widowControl/>
                    <w:jc w:val="center"/>
                    <w:rPr>
                      <w:rFonts w:hint="default" w:eastAsia="宋体"/>
                      <w:color w:val="auto"/>
                      <w:szCs w:val="21"/>
                      <w:lang w:val="en-US" w:eastAsia="zh-CN"/>
                    </w:rPr>
                  </w:pPr>
                  <w:r>
                    <w:rPr>
                      <w:rFonts w:hint="eastAsia"/>
                      <w:color w:val="auto"/>
                      <w:szCs w:val="21"/>
                      <w:lang w:val="en-US" w:eastAsia="zh-CN"/>
                    </w:rPr>
                    <w:t>16</w:t>
                  </w:r>
                </w:p>
              </w:tc>
              <w:tc>
                <w:tcPr>
                  <w:tcW w:w="1142" w:type="dxa"/>
                  <w:tcBorders>
                    <w:tl2br w:val="nil"/>
                    <w:tr2bl w:val="nil"/>
                  </w:tcBorders>
                  <w:vAlign w:val="center"/>
                </w:tcPr>
                <w:p w14:paraId="0A0DACF0">
                  <w:pPr>
                    <w:widowControl/>
                    <w:jc w:val="center"/>
                    <w:rPr>
                      <w:rFonts w:hint="default" w:eastAsia="宋体"/>
                      <w:color w:val="auto"/>
                      <w:szCs w:val="21"/>
                      <w:lang w:val="en-US" w:eastAsia="zh-CN"/>
                    </w:rPr>
                  </w:pPr>
                  <w:r>
                    <w:rPr>
                      <w:rFonts w:hint="eastAsia"/>
                      <w:color w:val="auto"/>
                      <w:szCs w:val="21"/>
                      <w:lang w:val="en-US" w:eastAsia="zh-CN"/>
                    </w:rPr>
                    <w:t>0.370</w:t>
                  </w:r>
                </w:p>
              </w:tc>
            </w:tr>
            <w:tr w14:paraId="1135C1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0643B3DF">
                  <w:pPr>
                    <w:widowControl/>
                    <w:jc w:val="center"/>
                    <w:rPr>
                      <w:color w:val="auto"/>
                      <w:szCs w:val="21"/>
                    </w:rPr>
                  </w:pPr>
                </w:p>
              </w:tc>
              <w:tc>
                <w:tcPr>
                  <w:tcW w:w="1150" w:type="dxa"/>
                  <w:vMerge w:val="continue"/>
                  <w:tcBorders>
                    <w:tl2br w:val="nil"/>
                    <w:tr2bl w:val="nil"/>
                  </w:tcBorders>
                  <w:vAlign w:val="center"/>
                </w:tcPr>
                <w:p w14:paraId="6E5833A5">
                  <w:pPr>
                    <w:widowControl/>
                    <w:jc w:val="center"/>
                    <w:rPr>
                      <w:color w:val="auto"/>
                      <w:szCs w:val="21"/>
                    </w:rPr>
                  </w:pPr>
                </w:p>
              </w:tc>
              <w:tc>
                <w:tcPr>
                  <w:tcW w:w="625" w:type="dxa"/>
                  <w:vMerge w:val="continue"/>
                  <w:tcBorders>
                    <w:tl2br w:val="nil"/>
                    <w:tr2bl w:val="nil"/>
                  </w:tcBorders>
                  <w:vAlign w:val="center"/>
                </w:tcPr>
                <w:p w14:paraId="48C245A4">
                  <w:pPr>
                    <w:widowControl/>
                    <w:jc w:val="center"/>
                    <w:rPr>
                      <w:color w:val="auto"/>
                      <w:szCs w:val="21"/>
                    </w:rPr>
                  </w:pPr>
                </w:p>
              </w:tc>
              <w:tc>
                <w:tcPr>
                  <w:tcW w:w="912" w:type="dxa"/>
                  <w:tcBorders>
                    <w:tl2br w:val="nil"/>
                    <w:tr2bl w:val="nil"/>
                  </w:tcBorders>
                  <w:vAlign w:val="center"/>
                </w:tcPr>
                <w:p w14:paraId="5FF6726D">
                  <w:pPr>
                    <w:jc w:val="center"/>
                    <w:rPr>
                      <w:color w:val="auto"/>
                      <w:szCs w:val="21"/>
                    </w:rPr>
                  </w:pPr>
                  <w:r>
                    <w:rPr>
                      <w:color w:val="auto"/>
                      <w:szCs w:val="21"/>
                    </w:rPr>
                    <w:t>第二次</w:t>
                  </w:r>
                </w:p>
              </w:tc>
              <w:tc>
                <w:tcPr>
                  <w:tcW w:w="1013" w:type="dxa"/>
                  <w:tcBorders>
                    <w:tl2br w:val="nil"/>
                    <w:tr2bl w:val="nil"/>
                  </w:tcBorders>
                  <w:shd w:val="clear" w:color="auto" w:fill="auto"/>
                  <w:vAlign w:val="center"/>
                </w:tcPr>
                <w:p w14:paraId="0C90B53D">
                  <w:pPr>
                    <w:widowControl/>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36597</w:t>
                  </w:r>
                </w:p>
              </w:tc>
              <w:tc>
                <w:tcPr>
                  <w:tcW w:w="975" w:type="dxa"/>
                  <w:tcBorders>
                    <w:tl2br w:val="nil"/>
                    <w:tr2bl w:val="nil"/>
                  </w:tcBorders>
                  <w:vAlign w:val="center"/>
                </w:tcPr>
                <w:p w14:paraId="26859F62">
                  <w:pPr>
                    <w:widowControl/>
                    <w:jc w:val="center"/>
                    <w:rPr>
                      <w:rFonts w:hint="default" w:eastAsia="宋体"/>
                      <w:color w:val="auto"/>
                      <w:szCs w:val="21"/>
                      <w:lang w:val="en-US" w:eastAsia="zh-CN"/>
                    </w:rPr>
                  </w:pPr>
                  <w:r>
                    <w:rPr>
                      <w:rFonts w:hint="eastAsia"/>
                      <w:color w:val="auto"/>
                      <w:szCs w:val="21"/>
                      <w:lang w:val="en-US" w:eastAsia="zh-CN"/>
                    </w:rPr>
                    <w:t>11</w:t>
                  </w:r>
                </w:p>
              </w:tc>
              <w:tc>
                <w:tcPr>
                  <w:tcW w:w="1050" w:type="dxa"/>
                  <w:tcBorders>
                    <w:tl2br w:val="nil"/>
                    <w:tr2bl w:val="nil"/>
                  </w:tcBorders>
                  <w:vAlign w:val="center"/>
                </w:tcPr>
                <w:p w14:paraId="6F402B3F">
                  <w:pPr>
                    <w:widowControl/>
                    <w:jc w:val="center"/>
                    <w:rPr>
                      <w:rFonts w:hint="default" w:eastAsia="宋体"/>
                      <w:color w:val="auto"/>
                      <w:szCs w:val="21"/>
                      <w:lang w:val="en-US" w:eastAsia="zh-CN"/>
                    </w:rPr>
                  </w:pPr>
                  <w:r>
                    <w:rPr>
                      <w:rFonts w:hint="eastAsia"/>
                      <w:color w:val="auto"/>
                      <w:szCs w:val="21"/>
                      <w:lang w:val="en-US" w:eastAsia="zh-CN"/>
                    </w:rPr>
                    <w:t>20</w:t>
                  </w:r>
                </w:p>
              </w:tc>
              <w:tc>
                <w:tcPr>
                  <w:tcW w:w="1142" w:type="dxa"/>
                  <w:tcBorders>
                    <w:tl2br w:val="nil"/>
                    <w:tr2bl w:val="nil"/>
                  </w:tcBorders>
                  <w:vAlign w:val="center"/>
                </w:tcPr>
                <w:p w14:paraId="0BC7F604">
                  <w:pPr>
                    <w:widowControl/>
                    <w:jc w:val="center"/>
                    <w:rPr>
                      <w:rFonts w:hint="default" w:eastAsia="宋体"/>
                      <w:color w:val="auto"/>
                      <w:szCs w:val="21"/>
                      <w:lang w:val="en-US" w:eastAsia="zh-CN"/>
                    </w:rPr>
                  </w:pPr>
                  <w:r>
                    <w:rPr>
                      <w:rFonts w:hint="eastAsia"/>
                      <w:color w:val="auto"/>
                      <w:szCs w:val="21"/>
                      <w:lang w:val="en-US" w:eastAsia="zh-CN"/>
                    </w:rPr>
                    <w:t>0.403</w:t>
                  </w:r>
                </w:p>
              </w:tc>
            </w:tr>
            <w:tr w14:paraId="784F5E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563E17DA">
                  <w:pPr>
                    <w:widowControl/>
                    <w:jc w:val="center"/>
                    <w:rPr>
                      <w:color w:val="auto"/>
                      <w:szCs w:val="21"/>
                    </w:rPr>
                  </w:pPr>
                </w:p>
              </w:tc>
              <w:tc>
                <w:tcPr>
                  <w:tcW w:w="1150" w:type="dxa"/>
                  <w:vMerge w:val="continue"/>
                  <w:tcBorders>
                    <w:tl2br w:val="nil"/>
                    <w:tr2bl w:val="nil"/>
                  </w:tcBorders>
                  <w:vAlign w:val="center"/>
                </w:tcPr>
                <w:p w14:paraId="2725E761">
                  <w:pPr>
                    <w:widowControl/>
                    <w:jc w:val="center"/>
                    <w:rPr>
                      <w:color w:val="auto"/>
                      <w:szCs w:val="21"/>
                    </w:rPr>
                  </w:pPr>
                </w:p>
              </w:tc>
              <w:tc>
                <w:tcPr>
                  <w:tcW w:w="625" w:type="dxa"/>
                  <w:vMerge w:val="continue"/>
                  <w:tcBorders>
                    <w:tl2br w:val="nil"/>
                    <w:tr2bl w:val="nil"/>
                  </w:tcBorders>
                  <w:vAlign w:val="center"/>
                </w:tcPr>
                <w:p w14:paraId="742A3E44">
                  <w:pPr>
                    <w:widowControl/>
                    <w:jc w:val="center"/>
                    <w:rPr>
                      <w:color w:val="auto"/>
                      <w:szCs w:val="21"/>
                    </w:rPr>
                  </w:pPr>
                </w:p>
              </w:tc>
              <w:tc>
                <w:tcPr>
                  <w:tcW w:w="912" w:type="dxa"/>
                  <w:tcBorders>
                    <w:tl2br w:val="nil"/>
                    <w:tr2bl w:val="nil"/>
                  </w:tcBorders>
                  <w:vAlign w:val="center"/>
                </w:tcPr>
                <w:p w14:paraId="13A3A23A">
                  <w:pPr>
                    <w:jc w:val="center"/>
                    <w:rPr>
                      <w:color w:val="auto"/>
                      <w:szCs w:val="21"/>
                    </w:rPr>
                  </w:pPr>
                  <w:r>
                    <w:rPr>
                      <w:color w:val="auto"/>
                      <w:szCs w:val="21"/>
                    </w:rPr>
                    <w:t>第三次</w:t>
                  </w:r>
                </w:p>
              </w:tc>
              <w:tc>
                <w:tcPr>
                  <w:tcW w:w="1013" w:type="dxa"/>
                  <w:tcBorders>
                    <w:tl2br w:val="nil"/>
                    <w:tr2bl w:val="nil"/>
                  </w:tcBorders>
                  <w:shd w:val="clear" w:color="auto" w:fill="auto"/>
                  <w:vAlign w:val="center"/>
                </w:tcPr>
                <w:p w14:paraId="079357BA">
                  <w:pPr>
                    <w:widowControl/>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29773</w:t>
                  </w:r>
                </w:p>
              </w:tc>
              <w:tc>
                <w:tcPr>
                  <w:tcW w:w="975" w:type="dxa"/>
                  <w:tcBorders>
                    <w:tl2br w:val="nil"/>
                    <w:tr2bl w:val="nil"/>
                  </w:tcBorders>
                  <w:vAlign w:val="center"/>
                </w:tcPr>
                <w:p w14:paraId="3A992714">
                  <w:pPr>
                    <w:widowControl/>
                    <w:jc w:val="center"/>
                    <w:rPr>
                      <w:rFonts w:hint="default" w:eastAsia="宋体"/>
                      <w:color w:val="auto"/>
                      <w:szCs w:val="21"/>
                      <w:lang w:val="en-US" w:eastAsia="zh-CN"/>
                    </w:rPr>
                  </w:pPr>
                  <w:r>
                    <w:rPr>
                      <w:rFonts w:hint="eastAsia"/>
                      <w:color w:val="auto"/>
                      <w:szCs w:val="21"/>
                      <w:lang w:val="en-US" w:eastAsia="zh-CN"/>
                    </w:rPr>
                    <w:t>10</w:t>
                  </w:r>
                </w:p>
              </w:tc>
              <w:tc>
                <w:tcPr>
                  <w:tcW w:w="1050" w:type="dxa"/>
                  <w:tcBorders>
                    <w:tl2br w:val="nil"/>
                    <w:tr2bl w:val="nil"/>
                  </w:tcBorders>
                  <w:vAlign w:val="center"/>
                </w:tcPr>
                <w:p w14:paraId="207D0010">
                  <w:pPr>
                    <w:widowControl/>
                    <w:jc w:val="center"/>
                    <w:rPr>
                      <w:rFonts w:hint="default" w:eastAsia="宋体"/>
                      <w:color w:val="auto"/>
                      <w:szCs w:val="21"/>
                      <w:lang w:val="en-US" w:eastAsia="zh-CN"/>
                    </w:rPr>
                  </w:pPr>
                  <w:r>
                    <w:rPr>
                      <w:rFonts w:hint="eastAsia"/>
                      <w:color w:val="auto"/>
                      <w:szCs w:val="21"/>
                      <w:lang w:val="en-US" w:eastAsia="zh-CN"/>
                    </w:rPr>
                    <w:t>15</w:t>
                  </w:r>
                </w:p>
              </w:tc>
              <w:tc>
                <w:tcPr>
                  <w:tcW w:w="1142" w:type="dxa"/>
                  <w:tcBorders>
                    <w:tl2br w:val="nil"/>
                    <w:tr2bl w:val="nil"/>
                  </w:tcBorders>
                  <w:vAlign w:val="center"/>
                </w:tcPr>
                <w:p w14:paraId="76781876">
                  <w:pPr>
                    <w:widowControl/>
                    <w:jc w:val="center"/>
                    <w:rPr>
                      <w:rFonts w:hint="default" w:eastAsia="宋体"/>
                      <w:color w:val="auto"/>
                      <w:szCs w:val="21"/>
                      <w:lang w:val="en-US" w:eastAsia="zh-CN"/>
                    </w:rPr>
                  </w:pPr>
                  <w:r>
                    <w:rPr>
                      <w:rFonts w:hint="eastAsia"/>
                      <w:color w:val="auto"/>
                      <w:szCs w:val="21"/>
                      <w:lang w:val="en-US" w:eastAsia="zh-CN"/>
                    </w:rPr>
                    <w:t>0.298</w:t>
                  </w:r>
                </w:p>
              </w:tc>
            </w:tr>
            <w:tr w14:paraId="5FAA98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restart"/>
                  <w:tcBorders>
                    <w:tl2br w:val="nil"/>
                    <w:tr2bl w:val="nil"/>
                  </w:tcBorders>
                  <w:shd w:val="clear" w:color="auto" w:fill="auto"/>
                  <w:vAlign w:val="center"/>
                </w:tcPr>
                <w:p w14:paraId="356096EB">
                  <w:pPr>
                    <w:widowControl/>
                    <w:jc w:val="center"/>
                    <w:rPr>
                      <w:color w:val="auto"/>
                      <w:szCs w:val="21"/>
                    </w:rPr>
                  </w:pPr>
                  <w:r>
                    <w:rPr>
                      <w:rFonts w:hint="eastAsia"/>
                      <w:color w:val="auto"/>
                      <w:szCs w:val="21"/>
                    </w:rPr>
                    <w:t>202</w:t>
                  </w:r>
                  <w:r>
                    <w:rPr>
                      <w:rFonts w:hint="eastAsia"/>
                      <w:color w:val="auto"/>
                      <w:szCs w:val="21"/>
                      <w:lang w:val="en-US" w:eastAsia="zh-CN"/>
                    </w:rPr>
                    <w:t>4</w:t>
                  </w:r>
                  <w:r>
                    <w:rPr>
                      <w:rFonts w:hint="eastAsia"/>
                      <w:color w:val="auto"/>
                      <w:szCs w:val="21"/>
                    </w:rPr>
                    <w:t>.</w:t>
                  </w:r>
                  <w:r>
                    <w:rPr>
                      <w:rFonts w:hint="eastAsia"/>
                      <w:color w:val="auto"/>
                      <w:szCs w:val="21"/>
                      <w:lang w:val="en-US" w:eastAsia="zh-CN"/>
                    </w:rPr>
                    <w:t>10</w:t>
                  </w:r>
                  <w:r>
                    <w:rPr>
                      <w:rFonts w:hint="eastAsia"/>
                      <w:color w:val="auto"/>
                      <w:szCs w:val="21"/>
                    </w:rPr>
                    <w:t>.1</w:t>
                  </w:r>
                  <w:r>
                    <w:rPr>
                      <w:rFonts w:hint="eastAsia"/>
                      <w:color w:val="auto"/>
                      <w:szCs w:val="21"/>
                      <w:lang w:val="en-US" w:eastAsia="zh-CN"/>
                    </w:rPr>
                    <w:t>1</w:t>
                  </w:r>
                </w:p>
              </w:tc>
              <w:tc>
                <w:tcPr>
                  <w:tcW w:w="1150" w:type="dxa"/>
                  <w:vMerge w:val="restart"/>
                  <w:tcBorders>
                    <w:tl2br w:val="nil"/>
                    <w:tr2bl w:val="nil"/>
                  </w:tcBorders>
                  <w:shd w:val="clear" w:color="auto" w:fill="auto"/>
                  <w:vAlign w:val="center"/>
                </w:tcPr>
                <w:p w14:paraId="37A3F879">
                  <w:pPr>
                    <w:widowControl/>
                    <w:jc w:val="center"/>
                    <w:rPr>
                      <w:color w:val="auto"/>
                      <w:szCs w:val="21"/>
                    </w:rPr>
                  </w:pPr>
                  <w:r>
                    <w:rPr>
                      <w:rFonts w:hint="eastAsia"/>
                      <w:color w:val="auto"/>
                      <w:szCs w:val="21"/>
                    </w:rPr>
                    <w:t>DA001</w:t>
                  </w:r>
                </w:p>
                <w:p w14:paraId="3D4A604D">
                  <w:pPr>
                    <w:widowControl/>
                    <w:jc w:val="center"/>
                    <w:rPr>
                      <w:color w:val="auto"/>
                      <w:szCs w:val="21"/>
                    </w:rPr>
                  </w:pPr>
                  <w:r>
                    <w:rPr>
                      <w:rFonts w:hint="eastAsia"/>
                      <w:color w:val="auto"/>
                      <w:szCs w:val="21"/>
                      <w:lang w:val="en-US" w:eastAsia="zh-CN"/>
                    </w:rPr>
                    <w:t>排气筒出口</w:t>
                  </w:r>
                </w:p>
              </w:tc>
              <w:tc>
                <w:tcPr>
                  <w:tcW w:w="625" w:type="dxa"/>
                  <w:vMerge w:val="restart"/>
                  <w:tcBorders>
                    <w:tl2br w:val="nil"/>
                    <w:tr2bl w:val="nil"/>
                  </w:tcBorders>
                  <w:shd w:val="clear" w:color="auto" w:fill="auto"/>
                  <w:vAlign w:val="center"/>
                </w:tcPr>
                <w:p w14:paraId="05F83B65">
                  <w:pPr>
                    <w:widowControl/>
                    <w:jc w:val="center"/>
                    <w:rPr>
                      <w:color w:val="auto"/>
                      <w:szCs w:val="21"/>
                    </w:rPr>
                  </w:pPr>
                  <w:r>
                    <w:rPr>
                      <w:rFonts w:hint="eastAsia"/>
                      <w:color w:val="auto"/>
                      <w:szCs w:val="21"/>
                    </w:rPr>
                    <w:t>低浓度颗粒物</w:t>
                  </w:r>
                </w:p>
              </w:tc>
              <w:tc>
                <w:tcPr>
                  <w:tcW w:w="912" w:type="dxa"/>
                  <w:tcBorders>
                    <w:tl2br w:val="nil"/>
                    <w:tr2bl w:val="nil"/>
                  </w:tcBorders>
                  <w:shd w:val="clear" w:color="auto" w:fill="auto"/>
                  <w:vAlign w:val="center"/>
                </w:tcPr>
                <w:p w14:paraId="0AF5CB6F">
                  <w:pPr>
                    <w:jc w:val="center"/>
                    <w:rPr>
                      <w:rFonts w:ascii="Times New Roman" w:hAnsi="Times New Roman" w:eastAsia="宋体" w:cs="Times New Roman"/>
                      <w:color w:val="auto"/>
                      <w:kern w:val="2"/>
                      <w:sz w:val="21"/>
                      <w:szCs w:val="21"/>
                      <w:lang w:val="en-US" w:eastAsia="zh-CN" w:bidi="ar-SA"/>
                    </w:rPr>
                  </w:pPr>
                  <w:r>
                    <w:rPr>
                      <w:color w:val="auto"/>
                      <w:szCs w:val="21"/>
                    </w:rPr>
                    <w:t>第一次</w:t>
                  </w:r>
                </w:p>
              </w:tc>
              <w:tc>
                <w:tcPr>
                  <w:tcW w:w="1013" w:type="dxa"/>
                  <w:tcBorders>
                    <w:tl2br w:val="nil"/>
                    <w:tr2bl w:val="nil"/>
                  </w:tcBorders>
                  <w:vAlign w:val="center"/>
                </w:tcPr>
                <w:p w14:paraId="640CE664">
                  <w:pPr>
                    <w:widowControl/>
                    <w:jc w:val="center"/>
                    <w:rPr>
                      <w:rFonts w:hint="default" w:eastAsia="宋体"/>
                      <w:color w:val="auto"/>
                      <w:szCs w:val="21"/>
                      <w:lang w:val="en-US" w:eastAsia="zh-CN"/>
                    </w:rPr>
                  </w:pPr>
                  <w:r>
                    <w:rPr>
                      <w:rFonts w:hint="eastAsia"/>
                      <w:color w:val="auto"/>
                      <w:szCs w:val="21"/>
                      <w:lang w:val="en-US" w:eastAsia="zh-CN"/>
                    </w:rPr>
                    <w:t>34328</w:t>
                  </w:r>
                </w:p>
              </w:tc>
              <w:tc>
                <w:tcPr>
                  <w:tcW w:w="975" w:type="dxa"/>
                  <w:tcBorders>
                    <w:tl2br w:val="nil"/>
                    <w:tr2bl w:val="nil"/>
                  </w:tcBorders>
                  <w:vAlign w:val="center"/>
                </w:tcPr>
                <w:p w14:paraId="050821D0">
                  <w:pPr>
                    <w:widowControl/>
                    <w:jc w:val="center"/>
                    <w:rPr>
                      <w:rFonts w:hint="default" w:eastAsia="宋体"/>
                      <w:color w:val="auto"/>
                      <w:szCs w:val="21"/>
                      <w:lang w:val="en-US" w:eastAsia="zh-CN"/>
                    </w:rPr>
                  </w:pPr>
                  <w:r>
                    <w:rPr>
                      <w:rFonts w:hint="eastAsia"/>
                      <w:color w:val="auto"/>
                      <w:szCs w:val="21"/>
                      <w:lang w:val="en-US" w:eastAsia="zh-CN"/>
                    </w:rPr>
                    <w:t>3.4</w:t>
                  </w:r>
                </w:p>
              </w:tc>
              <w:tc>
                <w:tcPr>
                  <w:tcW w:w="1050" w:type="dxa"/>
                  <w:tcBorders>
                    <w:tl2br w:val="nil"/>
                    <w:tr2bl w:val="nil"/>
                  </w:tcBorders>
                  <w:vAlign w:val="center"/>
                </w:tcPr>
                <w:p w14:paraId="75AEEEB9">
                  <w:pPr>
                    <w:widowControl/>
                    <w:jc w:val="center"/>
                    <w:rPr>
                      <w:rFonts w:hint="default" w:eastAsia="宋体"/>
                      <w:color w:val="auto"/>
                      <w:szCs w:val="21"/>
                      <w:lang w:val="en-US" w:eastAsia="zh-CN"/>
                    </w:rPr>
                  </w:pPr>
                  <w:r>
                    <w:rPr>
                      <w:rFonts w:hint="eastAsia"/>
                      <w:color w:val="auto"/>
                      <w:szCs w:val="21"/>
                      <w:lang w:val="en-US" w:eastAsia="zh-CN"/>
                    </w:rPr>
                    <w:t>4.5</w:t>
                  </w:r>
                </w:p>
              </w:tc>
              <w:tc>
                <w:tcPr>
                  <w:tcW w:w="1142" w:type="dxa"/>
                  <w:tcBorders>
                    <w:tl2br w:val="nil"/>
                    <w:tr2bl w:val="nil"/>
                  </w:tcBorders>
                  <w:vAlign w:val="center"/>
                </w:tcPr>
                <w:p w14:paraId="636580EE">
                  <w:pPr>
                    <w:widowControl/>
                    <w:jc w:val="center"/>
                    <w:rPr>
                      <w:rFonts w:hint="default" w:eastAsia="宋体"/>
                      <w:color w:val="auto"/>
                      <w:szCs w:val="21"/>
                      <w:lang w:val="en-US" w:eastAsia="zh-CN"/>
                    </w:rPr>
                  </w:pPr>
                  <w:r>
                    <w:rPr>
                      <w:rFonts w:hint="eastAsia"/>
                      <w:color w:val="auto"/>
                      <w:szCs w:val="21"/>
                      <w:lang w:val="en-US" w:eastAsia="zh-CN"/>
                    </w:rPr>
                    <w:t>0.117</w:t>
                  </w:r>
                </w:p>
              </w:tc>
            </w:tr>
            <w:tr w14:paraId="782D13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0987A687">
                  <w:pPr>
                    <w:widowControl/>
                    <w:jc w:val="center"/>
                    <w:rPr>
                      <w:color w:val="auto"/>
                      <w:szCs w:val="21"/>
                    </w:rPr>
                  </w:pPr>
                </w:p>
              </w:tc>
              <w:tc>
                <w:tcPr>
                  <w:tcW w:w="1150" w:type="dxa"/>
                  <w:vMerge w:val="continue"/>
                  <w:tcBorders>
                    <w:tl2br w:val="nil"/>
                    <w:tr2bl w:val="nil"/>
                  </w:tcBorders>
                  <w:vAlign w:val="center"/>
                </w:tcPr>
                <w:p w14:paraId="5ED70192">
                  <w:pPr>
                    <w:widowControl/>
                    <w:jc w:val="center"/>
                    <w:rPr>
                      <w:color w:val="auto"/>
                      <w:szCs w:val="21"/>
                    </w:rPr>
                  </w:pPr>
                </w:p>
              </w:tc>
              <w:tc>
                <w:tcPr>
                  <w:tcW w:w="625" w:type="dxa"/>
                  <w:vMerge w:val="continue"/>
                  <w:tcBorders>
                    <w:tl2br w:val="nil"/>
                    <w:tr2bl w:val="nil"/>
                  </w:tcBorders>
                  <w:vAlign w:val="center"/>
                </w:tcPr>
                <w:p w14:paraId="1C8FAB5E">
                  <w:pPr>
                    <w:widowControl/>
                    <w:jc w:val="center"/>
                    <w:rPr>
                      <w:color w:val="auto"/>
                      <w:szCs w:val="21"/>
                    </w:rPr>
                  </w:pPr>
                </w:p>
              </w:tc>
              <w:tc>
                <w:tcPr>
                  <w:tcW w:w="912" w:type="dxa"/>
                  <w:tcBorders>
                    <w:tl2br w:val="nil"/>
                    <w:tr2bl w:val="nil"/>
                  </w:tcBorders>
                  <w:shd w:val="clear" w:color="auto" w:fill="auto"/>
                  <w:vAlign w:val="center"/>
                </w:tcPr>
                <w:p w14:paraId="61FEC2BF">
                  <w:pPr>
                    <w:jc w:val="center"/>
                    <w:rPr>
                      <w:rFonts w:ascii="Times New Roman" w:hAnsi="Times New Roman" w:eastAsia="宋体" w:cs="Times New Roman"/>
                      <w:color w:val="auto"/>
                      <w:kern w:val="2"/>
                      <w:sz w:val="21"/>
                      <w:szCs w:val="21"/>
                      <w:lang w:val="en-US" w:eastAsia="zh-CN" w:bidi="ar-SA"/>
                    </w:rPr>
                  </w:pPr>
                  <w:r>
                    <w:rPr>
                      <w:color w:val="auto"/>
                      <w:szCs w:val="21"/>
                    </w:rPr>
                    <w:t>第二次</w:t>
                  </w:r>
                </w:p>
              </w:tc>
              <w:tc>
                <w:tcPr>
                  <w:tcW w:w="1013" w:type="dxa"/>
                  <w:tcBorders>
                    <w:tl2br w:val="nil"/>
                    <w:tr2bl w:val="nil"/>
                  </w:tcBorders>
                  <w:vAlign w:val="center"/>
                </w:tcPr>
                <w:p w14:paraId="3933010A">
                  <w:pPr>
                    <w:widowControl/>
                    <w:jc w:val="center"/>
                    <w:rPr>
                      <w:rFonts w:hint="default" w:eastAsia="宋体"/>
                      <w:color w:val="auto"/>
                      <w:szCs w:val="21"/>
                      <w:lang w:val="en-US" w:eastAsia="zh-CN"/>
                    </w:rPr>
                  </w:pPr>
                  <w:r>
                    <w:rPr>
                      <w:rFonts w:hint="eastAsia"/>
                      <w:color w:val="auto"/>
                      <w:szCs w:val="21"/>
                      <w:lang w:val="en-US" w:eastAsia="zh-CN"/>
                    </w:rPr>
                    <w:t>33211</w:t>
                  </w:r>
                </w:p>
              </w:tc>
              <w:tc>
                <w:tcPr>
                  <w:tcW w:w="975" w:type="dxa"/>
                  <w:tcBorders>
                    <w:tl2br w:val="nil"/>
                    <w:tr2bl w:val="nil"/>
                  </w:tcBorders>
                  <w:vAlign w:val="center"/>
                </w:tcPr>
                <w:p w14:paraId="755571E9">
                  <w:pPr>
                    <w:widowControl/>
                    <w:jc w:val="center"/>
                    <w:rPr>
                      <w:rFonts w:hint="default" w:eastAsia="宋体"/>
                      <w:color w:val="auto"/>
                      <w:szCs w:val="21"/>
                      <w:lang w:val="en-US" w:eastAsia="zh-CN"/>
                    </w:rPr>
                  </w:pPr>
                  <w:r>
                    <w:rPr>
                      <w:rFonts w:hint="eastAsia"/>
                      <w:color w:val="auto"/>
                      <w:szCs w:val="21"/>
                      <w:lang w:val="en-US" w:eastAsia="zh-CN"/>
                    </w:rPr>
                    <w:t>2.8</w:t>
                  </w:r>
                </w:p>
              </w:tc>
              <w:tc>
                <w:tcPr>
                  <w:tcW w:w="1050" w:type="dxa"/>
                  <w:tcBorders>
                    <w:tl2br w:val="nil"/>
                    <w:tr2bl w:val="nil"/>
                  </w:tcBorders>
                  <w:vAlign w:val="center"/>
                </w:tcPr>
                <w:p w14:paraId="38E2C651">
                  <w:pPr>
                    <w:widowControl/>
                    <w:jc w:val="center"/>
                    <w:rPr>
                      <w:rFonts w:hint="default" w:eastAsia="宋体"/>
                      <w:color w:val="auto"/>
                      <w:szCs w:val="21"/>
                      <w:lang w:val="en-US" w:eastAsia="zh-CN"/>
                    </w:rPr>
                  </w:pPr>
                  <w:r>
                    <w:rPr>
                      <w:rFonts w:hint="eastAsia"/>
                      <w:color w:val="auto"/>
                      <w:szCs w:val="21"/>
                      <w:lang w:val="en-US" w:eastAsia="zh-CN"/>
                    </w:rPr>
                    <w:t>4.4</w:t>
                  </w:r>
                </w:p>
              </w:tc>
              <w:tc>
                <w:tcPr>
                  <w:tcW w:w="1142" w:type="dxa"/>
                  <w:tcBorders>
                    <w:tl2br w:val="nil"/>
                    <w:tr2bl w:val="nil"/>
                  </w:tcBorders>
                  <w:vAlign w:val="center"/>
                </w:tcPr>
                <w:p w14:paraId="170465F2">
                  <w:pPr>
                    <w:widowControl/>
                    <w:jc w:val="center"/>
                    <w:rPr>
                      <w:rFonts w:hint="default" w:eastAsia="宋体"/>
                      <w:color w:val="auto"/>
                      <w:szCs w:val="21"/>
                      <w:lang w:val="en-US" w:eastAsia="zh-CN"/>
                    </w:rPr>
                  </w:pPr>
                  <w:r>
                    <w:rPr>
                      <w:rFonts w:hint="eastAsia"/>
                      <w:color w:val="auto"/>
                      <w:szCs w:val="21"/>
                      <w:lang w:val="en-US" w:eastAsia="zh-CN"/>
                    </w:rPr>
                    <w:t>9.30</w:t>
                  </w:r>
                  <w:r>
                    <w:rPr>
                      <w:rFonts w:ascii="Arial" w:hAnsi="Arial" w:cs="Arial"/>
                      <w:color w:val="auto"/>
                      <w:szCs w:val="21"/>
                    </w:rPr>
                    <w:t>×</w:t>
                  </w:r>
                  <w:r>
                    <w:rPr>
                      <w:rFonts w:hint="eastAsia"/>
                      <w:color w:val="auto"/>
                      <w:szCs w:val="21"/>
                    </w:rPr>
                    <w:t>10</w:t>
                  </w:r>
                  <w:r>
                    <w:rPr>
                      <w:rFonts w:hint="eastAsia"/>
                      <w:color w:val="auto"/>
                      <w:szCs w:val="21"/>
                      <w:vertAlign w:val="superscript"/>
                    </w:rPr>
                    <w:t>-2</w:t>
                  </w:r>
                </w:p>
              </w:tc>
            </w:tr>
            <w:tr w14:paraId="4282F1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7C27D958">
                  <w:pPr>
                    <w:widowControl/>
                    <w:jc w:val="center"/>
                    <w:rPr>
                      <w:color w:val="auto"/>
                      <w:szCs w:val="21"/>
                    </w:rPr>
                  </w:pPr>
                </w:p>
              </w:tc>
              <w:tc>
                <w:tcPr>
                  <w:tcW w:w="1150" w:type="dxa"/>
                  <w:vMerge w:val="continue"/>
                  <w:tcBorders>
                    <w:tl2br w:val="nil"/>
                    <w:tr2bl w:val="nil"/>
                  </w:tcBorders>
                  <w:vAlign w:val="center"/>
                </w:tcPr>
                <w:p w14:paraId="2A033AFC">
                  <w:pPr>
                    <w:widowControl/>
                    <w:jc w:val="center"/>
                    <w:rPr>
                      <w:color w:val="auto"/>
                      <w:szCs w:val="21"/>
                    </w:rPr>
                  </w:pPr>
                </w:p>
              </w:tc>
              <w:tc>
                <w:tcPr>
                  <w:tcW w:w="625" w:type="dxa"/>
                  <w:vMerge w:val="continue"/>
                  <w:tcBorders>
                    <w:tl2br w:val="nil"/>
                    <w:tr2bl w:val="nil"/>
                  </w:tcBorders>
                  <w:vAlign w:val="center"/>
                </w:tcPr>
                <w:p w14:paraId="6966547B">
                  <w:pPr>
                    <w:widowControl/>
                    <w:jc w:val="center"/>
                    <w:rPr>
                      <w:color w:val="auto"/>
                      <w:szCs w:val="21"/>
                    </w:rPr>
                  </w:pPr>
                </w:p>
              </w:tc>
              <w:tc>
                <w:tcPr>
                  <w:tcW w:w="912" w:type="dxa"/>
                  <w:tcBorders>
                    <w:tl2br w:val="nil"/>
                    <w:tr2bl w:val="nil"/>
                  </w:tcBorders>
                  <w:shd w:val="clear" w:color="auto" w:fill="auto"/>
                  <w:vAlign w:val="center"/>
                </w:tcPr>
                <w:p w14:paraId="31C534B3">
                  <w:pPr>
                    <w:jc w:val="center"/>
                    <w:rPr>
                      <w:rFonts w:ascii="Times New Roman" w:hAnsi="Times New Roman" w:eastAsia="宋体" w:cs="Times New Roman"/>
                      <w:color w:val="auto"/>
                      <w:kern w:val="2"/>
                      <w:sz w:val="21"/>
                      <w:szCs w:val="21"/>
                      <w:lang w:val="en-US" w:eastAsia="zh-CN" w:bidi="ar-SA"/>
                    </w:rPr>
                  </w:pPr>
                  <w:r>
                    <w:rPr>
                      <w:color w:val="auto"/>
                      <w:szCs w:val="21"/>
                    </w:rPr>
                    <w:t>第三次</w:t>
                  </w:r>
                </w:p>
              </w:tc>
              <w:tc>
                <w:tcPr>
                  <w:tcW w:w="1013" w:type="dxa"/>
                  <w:tcBorders>
                    <w:tl2br w:val="nil"/>
                    <w:tr2bl w:val="nil"/>
                  </w:tcBorders>
                  <w:vAlign w:val="center"/>
                </w:tcPr>
                <w:p w14:paraId="345DEBC0">
                  <w:pPr>
                    <w:widowControl/>
                    <w:jc w:val="center"/>
                    <w:rPr>
                      <w:rFonts w:hint="default" w:eastAsia="宋体"/>
                      <w:color w:val="auto"/>
                      <w:szCs w:val="21"/>
                      <w:lang w:val="en-US" w:eastAsia="zh-CN"/>
                    </w:rPr>
                  </w:pPr>
                  <w:r>
                    <w:rPr>
                      <w:rFonts w:hint="eastAsia"/>
                      <w:color w:val="auto"/>
                      <w:szCs w:val="21"/>
                      <w:lang w:val="en-US" w:eastAsia="zh-CN"/>
                    </w:rPr>
                    <w:t>37695</w:t>
                  </w:r>
                </w:p>
              </w:tc>
              <w:tc>
                <w:tcPr>
                  <w:tcW w:w="975" w:type="dxa"/>
                  <w:tcBorders>
                    <w:tl2br w:val="nil"/>
                    <w:tr2bl w:val="nil"/>
                  </w:tcBorders>
                  <w:vAlign w:val="center"/>
                </w:tcPr>
                <w:p w14:paraId="3F19F7D1">
                  <w:pPr>
                    <w:widowControl/>
                    <w:jc w:val="center"/>
                    <w:rPr>
                      <w:rFonts w:hint="default" w:eastAsia="宋体"/>
                      <w:color w:val="auto"/>
                      <w:szCs w:val="21"/>
                      <w:lang w:val="en-US" w:eastAsia="zh-CN"/>
                    </w:rPr>
                  </w:pPr>
                  <w:r>
                    <w:rPr>
                      <w:rFonts w:hint="eastAsia"/>
                      <w:color w:val="auto"/>
                      <w:szCs w:val="21"/>
                      <w:lang w:val="en-US" w:eastAsia="zh-CN"/>
                    </w:rPr>
                    <w:t>3.1</w:t>
                  </w:r>
                </w:p>
              </w:tc>
              <w:tc>
                <w:tcPr>
                  <w:tcW w:w="1050" w:type="dxa"/>
                  <w:tcBorders>
                    <w:tl2br w:val="nil"/>
                    <w:tr2bl w:val="nil"/>
                  </w:tcBorders>
                  <w:vAlign w:val="center"/>
                </w:tcPr>
                <w:p w14:paraId="1350B0A8">
                  <w:pPr>
                    <w:widowControl/>
                    <w:jc w:val="center"/>
                    <w:rPr>
                      <w:rFonts w:hint="default" w:eastAsia="宋体"/>
                      <w:color w:val="auto"/>
                      <w:szCs w:val="21"/>
                      <w:lang w:val="en-US" w:eastAsia="zh-CN"/>
                    </w:rPr>
                  </w:pPr>
                  <w:r>
                    <w:rPr>
                      <w:rFonts w:hint="eastAsia"/>
                      <w:color w:val="auto"/>
                      <w:szCs w:val="21"/>
                      <w:lang w:val="en-US" w:eastAsia="zh-CN"/>
                    </w:rPr>
                    <w:t>4.5</w:t>
                  </w:r>
                </w:p>
              </w:tc>
              <w:tc>
                <w:tcPr>
                  <w:tcW w:w="1142" w:type="dxa"/>
                  <w:tcBorders>
                    <w:tl2br w:val="nil"/>
                    <w:tr2bl w:val="nil"/>
                  </w:tcBorders>
                  <w:vAlign w:val="center"/>
                </w:tcPr>
                <w:p w14:paraId="6B134BD7">
                  <w:pPr>
                    <w:widowControl/>
                    <w:jc w:val="center"/>
                    <w:rPr>
                      <w:rFonts w:hint="default" w:eastAsia="宋体"/>
                      <w:color w:val="auto"/>
                      <w:szCs w:val="21"/>
                      <w:lang w:val="en-US" w:eastAsia="zh-CN"/>
                    </w:rPr>
                  </w:pPr>
                  <w:r>
                    <w:rPr>
                      <w:rFonts w:hint="eastAsia"/>
                      <w:color w:val="auto"/>
                      <w:szCs w:val="21"/>
                      <w:lang w:val="en-US" w:eastAsia="zh-CN"/>
                    </w:rPr>
                    <w:t>0.117</w:t>
                  </w:r>
                </w:p>
              </w:tc>
            </w:tr>
            <w:tr w14:paraId="73D593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50C1A3A3">
                  <w:pPr>
                    <w:widowControl/>
                    <w:jc w:val="center"/>
                    <w:rPr>
                      <w:color w:val="auto"/>
                      <w:szCs w:val="21"/>
                    </w:rPr>
                  </w:pPr>
                </w:p>
              </w:tc>
              <w:tc>
                <w:tcPr>
                  <w:tcW w:w="1150" w:type="dxa"/>
                  <w:vMerge w:val="continue"/>
                  <w:tcBorders>
                    <w:tl2br w:val="nil"/>
                    <w:tr2bl w:val="nil"/>
                  </w:tcBorders>
                  <w:vAlign w:val="center"/>
                </w:tcPr>
                <w:p w14:paraId="1A83D8EA">
                  <w:pPr>
                    <w:widowControl/>
                    <w:jc w:val="center"/>
                    <w:rPr>
                      <w:color w:val="auto"/>
                      <w:szCs w:val="21"/>
                    </w:rPr>
                  </w:pPr>
                </w:p>
              </w:tc>
              <w:tc>
                <w:tcPr>
                  <w:tcW w:w="625" w:type="dxa"/>
                  <w:vMerge w:val="restart"/>
                  <w:tcBorders>
                    <w:tl2br w:val="nil"/>
                    <w:tr2bl w:val="nil"/>
                  </w:tcBorders>
                  <w:shd w:val="clear" w:color="auto" w:fill="auto"/>
                  <w:vAlign w:val="center"/>
                </w:tcPr>
                <w:p w14:paraId="676E0C37">
                  <w:pPr>
                    <w:widowControl/>
                    <w:jc w:val="center"/>
                    <w:rPr>
                      <w:color w:val="auto"/>
                      <w:szCs w:val="21"/>
                    </w:rPr>
                  </w:pPr>
                  <w:r>
                    <w:rPr>
                      <w:rFonts w:hint="eastAsia"/>
                      <w:color w:val="auto"/>
                      <w:szCs w:val="21"/>
                    </w:rPr>
                    <w:t>二氧化硫</w:t>
                  </w:r>
                </w:p>
              </w:tc>
              <w:tc>
                <w:tcPr>
                  <w:tcW w:w="912" w:type="dxa"/>
                  <w:tcBorders>
                    <w:tl2br w:val="nil"/>
                    <w:tr2bl w:val="nil"/>
                  </w:tcBorders>
                  <w:shd w:val="clear" w:color="auto" w:fill="auto"/>
                  <w:vAlign w:val="center"/>
                </w:tcPr>
                <w:p w14:paraId="647CA7CE">
                  <w:pPr>
                    <w:jc w:val="center"/>
                    <w:rPr>
                      <w:rFonts w:ascii="Times New Roman" w:hAnsi="Times New Roman" w:eastAsia="宋体" w:cs="Times New Roman"/>
                      <w:color w:val="auto"/>
                      <w:kern w:val="2"/>
                      <w:sz w:val="21"/>
                      <w:szCs w:val="21"/>
                      <w:lang w:val="en-US" w:eastAsia="zh-CN" w:bidi="ar-SA"/>
                    </w:rPr>
                  </w:pPr>
                  <w:r>
                    <w:rPr>
                      <w:color w:val="auto"/>
                      <w:szCs w:val="21"/>
                    </w:rPr>
                    <w:t>第一次</w:t>
                  </w:r>
                </w:p>
              </w:tc>
              <w:tc>
                <w:tcPr>
                  <w:tcW w:w="1013" w:type="dxa"/>
                  <w:tcBorders>
                    <w:tl2br w:val="nil"/>
                    <w:tr2bl w:val="nil"/>
                  </w:tcBorders>
                  <w:shd w:val="clear" w:color="auto" w:fill="auto"/>
                  <w:vAlign w:val="center"/>
                </w:tcPr>
                <w:p w14:paraId="183E596F">
                  <w:pPr>
                    <w:widowControl/>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34328</w:t>
                  </w:r>
                </w:p>
              </w:tc>
              <w:tc>
                <w:tcPr>
                  <w:tcW w:w="975" w:type="dxa"/>
                  <w:tcBorders>
                    <w:tl2br w:val="nil"/>
                    <w:tr2bl w:val="nil"/>
                  </w:tcBorders>
                  <w:shd w:val="clear" w:color="auto" w:fill="auto"/>
                  <w:vAlign w:val="center"/>
                </w:tcPr>
                <w:p w14:paraId="71BC567E">
                  <w:pPr>
                    <w:widowControl/>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ND</w:t>
                  </w:r>
                </w:p>
              </w:tc>
              <w:tc>
                <w:tcPr>
                  <w:tcW w:w="1050" w:type="dxa"/>
                  <w:tcBorders>
                    <w:tl2br w:val="nil"/>
                    <w:tr2bl w:val="nil"/>
                  </w:tcBorders>
                  <w:shd w:val="clear" w:color="auto" w:fill="auto"/>
                  <w:vAlign w:val="center"/>
                </w:tcPr>
                <w:p w14:paraId="2A3D7ECB">
                  <w:pPr>
                    <w:widowControl/>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ND</w:t>
                  </w:r>
                </w:p>
              </w:tc>
              <w:tc>
                <w:tcPr>
                  <w:tcW w:w="1142" w:type="dxa"/>
                  <w:tcBorders>
                    <w:tl2br w:val="nil"/>
                    <w:tr2bl w:val="nil"/>
                  </w:tcBorders>
                  <w:shd w:val="clear" w:color="auto" w:fill="auto"/>
                  <w:vAlign w:val="center"/>
                </w:tcPr>
                <w:p w14:paraId="480E41D3">
                  <w:pPr>
                    <w:widowControl/>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w:t>
                  </w:r>
                </w:p>
              </w:tc>
            </w:tr>
            <w:tr w14:paraId="686C66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6F0BAC5A">
                  <w:pPr>
                    <w:widowControl/>
                    <w:jc w:val="center"/>
                    <w:rPr>
                      <w:color w:val="auto"/>
                      <w:szCs w:val="21"/>
                    </w:rPr>
                  </w:pPr>
                </w:p>
              </w:tc>
              <w:tc>
                <w:tcPr>
                  <w:tcW w:w="1150" w:type="dxa"/>
                  <w:vMerge w:val="continue"/>
                  <w:tcBorders>
                    <w:tl2br w:val="nil"/>
                    <w:tr2bl w:val="nil"/>
                  </w:tcBorders>
                  <w:vAlign w:val="center"/>
                </w:tcPr>
                <w:p w14:paraId="414D96D3">
                  <w:pPr>
                    <w:widowControl/>
                    <w:jc w:val="center"/>
                    <w:rPr>
                      <w:color w:val="auto"/>
                      <w:szCs w:val="21"/>
                    </w:rPr>
                  </w:pPr>
                </w:p>
              </w:tc>
              <w:tc>
                <w:tcPr>
                  <w:tcW w:w="625" w:type="dxa"/>
                  <w:vMerge w:val="continue"/>
                  <w:tcBorders>
                    <w:tl2br w:val="nil"/>
                    <w:tr2bl w:val="nil"/>
                  </w:tcBorders>
                  <w:vAlign w:val="center"/>
                </w:tcPr>
                <w:p w14:paraId="587E6581">
                  <w:pPr>
                    <w:widowControl/>
                    <w:jc w:val="center"/>
                    <w:rPr>
                      <w:color w:val="auto"/>
                      <w:szCs w:val="21"/>
                    </w:rPr>
                  </w:pPr>
                </w:p>
              </w:tc>
              <w:tc>
                <w:tcPr>
                  <w:tcW w:w="912" w:type="dxa"/>
                  <w:tcBorders>
                    <w:tl2br w:val="nil"/>
                    <w:tr2bl w:val="nil"/>
                  </w:tcBorders>
                  <w:shd w:val="clear" w:color="auto" w:fill="auto"/>
                  <w:vAlign w:val="center"/>
                </w:tcPr>
                <w:p w14:paraId="31294AEA">
                  <w:pPr>
                    <w:jc w:val="center"/>
                    <w:rPr>
                      <w:rFonts w:ascii="Times New Roman" w:hAnsi="Times New Roman" w:eastAsia="宋体" w:cs="Times New Roman"/>
                      <w:color w:val="auto"/>
                      <w:kern w:val="2"/>
                      <w:sz w:val="21"/>
                      <w:szCs w:val="21"/>
                      <w:lang w:val="en-US" w:eastAsia="zh-CN" w:bidi="ar-SA"/>
                    </w:rPr>
                  </w:pPr>
                  <w:r>
                    <w:rPr>
                      <w:color w:val="auto"/>
                      <w:szCs w:val="21"/>
                    </w:rPr>
                    <w:t>第二次</w:t>
                  </w:r>
                </w:p>
              </w:tc>
              <w:tc>
                <w:tcPr>
                  <w:tcW w:w="1013" w:type="dxa"/>
                  <w:tcBorders>
                    <w:tl2br w:val="nil"/>
                    <w:tr2bl w:val="nil"/>
                  </w:tcBorders>
                  <w:shd w:val="clear" w:color="auto" w:fill="auto"/>
                  <w:vAlign w:val="center"/>
                </w:tcPr>
                <w:p w14:paraId="1A58F520">
                  <w:pPr>
                    <w:widowControl/>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33211</w:t>
                  </w:r>
                </w:p>
              </w:tc>
              <w:tc>
                <w:tcPr>
                  <w:tcW w:w="975" w:type="dxa"/>
                  <w:tcBorders>
                    <w:tl2br w:val="nil"/>
                    <w:tr2bl w:val="nil"/>
                  </w:tcBorders>
                  <w:shd w:val="clear" w:color="auto" w:fill="auto"/>
                  <w:vAlign w:val="center"/>
                </w:tcPr>
                <w:p w14:paraId="1B7178AC">
                  <w:pPr>
                    <w:widowControl/>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ND</w:t>
                  </w:r>
                </w:p>
              </w:tc>
              <w:tc>
                <w:tcPr>
                  <w:tcW w:w="1050" w:type="dxa"/>
                  <w:tcBorders>
                    <w:tl2br w:val="nil"/>
                    <w:tr2bl w:val="nil"/>
                  </w:tcBorders>
                  <w:shd w:val="clear" w:color="auto" w:fill="auto"/>
                  <w:vAlign w:val="center"/>
                </w:tcPr>
                <w:p w14:paraId="0C5C6076">
                  <w:pPr>
                    <w:widowControl/>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ND</w:t>
                  </w:r>
                </w:p>
              </w:tc>
              <w:tc>
                <w:tcPr>
                  <w:tcW w:w="1142" w:type="dxa"/>
                  <w:tcBorders>
                    <w:tl2br w:val="nil"/>
                    <w:tr2bl w:val="nil"/>
                  </w:tcBorders>
                  <w:shd w:val="clear" w:color="auto" w:fill="auto"/>
                  <w:vAlign w:val="center"/>
                </w:tcPr>
                <w:p w14:paraId="138E554D">
                  <w:pPr>
                    <w:widowControl/>
                    <w:jc w:val="center"/>
                    <w:rPr>
                      <w:rFonts w:hint="eastAsia" w:ascii="Times New Roman" w:hAnsi="Times New Roman" w:eastAsia="宋体" w:cs="Times New Roman"/>
                      <w:color w:val="auto"/>
                      <w:kern w:val="2"/>
                      <w:sz w:val="21"/>
                      <w:szCs w:val="21"/>
                      <w:lang w:val="en-US" w:eastAsia="zh-CN" w:bidi="ar-SA"/>
                    </w:rPr>
                  </w:pPr>
                  <w:r>
                    <w:rPr>
                      <w:rFonts w:hint="eastAsia" w:eastAsia="微软雅黑"/>
                      <w:color w:val="auto"/>
                      <w:szCs w:val="21"/>
                      <w:lang w:val="en-US" w:eastAsia="zh-CN"/>
                    </w:rPr>
                    <w:t>/</w:t>
                  </w:r>
                </w:p>
              </w:tc>
            </w:tr>
            <w:tr w14:paraId="3A3CC1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43240B09">
                  <w:pPr>
                    <w:widowControl/>
                    <w:jc w:val="center"/>
                    <w:rPr>
                      <w:color w:val="auto"/>
                      <w:szCs w:val="21"/>
                    </w:rPr>
                  </w:pPr>
                </w:p>
              </w:tc>
              <w:tc>
                <w:tcPr>
                  <w:tcW w:w="1150" w:type="dxa"/>
                  <w:vMerge w:val="continue"/>
                  <w:tcBorders>
                    <w:tl2br w:val="nil"/>
                    <w:tr2bl w:val="nil"/>
                  </w:tcBorders>
                  <w:vAlign w:val="center"/>
                </w:tcPr>
                <w:p w14:paraId="52E5D3B9">
                  <w:pPr>
                    <w:widowControl/>
                    <w:jc w:val="center"/>
                    <w:rPr>
                      <w:color w:val="auto"/>
                      <w:szCs w:val="21"/>
                    </w:rPr>
                  </w:pPr>
                </w:p>
              </w:tc>
              <w:tc>
                <w:tcPr>
                  <w:tcW w:w="625" w:type="dxa"/>
                  <w:vMerge w:val="continue"/>
                  <w:tcBorders>
                    <w:tl2br w:val="nil"/>
                    <w:tr2bl w:val="nil"/>
                  </w:tcBorders>
                  <w:vAlign w:val="center"/>
                </w:tcPr>
                <w:p w14:paraId="3E770A64">
                  <w:pPr>
                    <w:widowControl/>
                    <w:jc w:val="center"/>
                    <w:rPr>
                      <w:color w:val="auto"/>
                      <w:szCs w:val="21"/>
                    </w:rPr>
                  </w:pPr>
                </w:p>
              </w:tc>
              <w:tc>
                <w:tcPr>
                  <w:tcW w:w="912" w:type="dxa"/>
                  <w:tcBorders>
                    <w:tl2br w:val="nil"/>
                    <w:tr2bl w:val="nil"/>
                  </w:tcBorders>
                  <w:shd w:val="clear" w:color="auto" w:fill="auto"/>
                  <w:vAlign w:val="center"/>
                </w:tcPr>
                <w:p w14:paraId="369B819C">
                  <w:pPr>
                    <w:jc w:val="center"/>
                    <w:rPr>
                      <w:rFonts w:ascii="Times New Roman" w:hAnsi="Times New Roman" w:eastAsia="宋体" w:cs="Times New Roman"/>
                      <w:color w:val="auto"/>
                      <w:kern w:val="2"/>
                      <w:sz w:val="21"/>
                      <w:szCs w:val="21"/>
                      <w:lang w:val="en-US" w:eastAsia="zh-CN" w:bidi="ar-SA"/>
                    </w:rPr>
                  </w:pPr>
                  <w:r>
                    <w:rPr>
                      <w:color w:val="auto"/>
                      <w:szCs w:val="21"/>
                    </w:rPr>
                    <w:t>第三次</w:t>
                  </w:r>
                </w:p>
              </w:tc>
              <w:tc>
                <w:tcPr>
                  <w:tcW w:w="1013" w:type="dxa"/>
                  <w:tcBorders>
                    <w:tl2br w:val="nil"/>
                    <w:tr2bl w:val="nil"/>
                  </w:tcBorders>
                  <w:shd w:val="clear" w:color="auto" w:fill="auto"/>
                  <w:vAlign w:val="center"/>
                </w:tcPr>
                <w:p w14:paraId="16B125E7">
                  <w:pPr>
                    <w:widowControl/>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37695</w:t>
                  </w:r>
                </w:p>
              </w:tc>
              <w:tc>
                <w:tcPr>
                  <w:tcW w:w="975" w:type="dxa"/>
                  <w:tcBorders>
                    <w:tl2br w:val="nil"/>
                    <w:tr2bl w:val="nil"/>
                  </w:tcBorders>
                  <w:shd w:val="clear" w:color="auto" w:fill="auto"/>
                  <w:vAlign w:val="center"/>
                </w:tcPr>
                <w:p w14:paraId="275BAED3">
                  <w:pPr>
                    <w:widowControl/>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ND</w:t>
                  </w:r>
                </w:p>
              </w:tc>
              <w:tc>
                <w:tcPr>
                  <w:tcW w:w="1050" w:type="dxa"/>
                  <w:tcBorders>
                    <w:tl2br w:val="nil"/>
                    <w:tr2bl w:val="nil"/>
                  </w:tcBorders>
                  <w:shd w:val="clear" w:color="auto" w:fill="auto"/>
                  <w:vAlign w:val="center"/>
                </w:tcPr>
                <w:p w14:paraId="340A79BC">
                  <w:pPr>
                    <w:widowControl/>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ND</w:t>
                  </w:r>
                </w:p>
              </w:tc>
              <w:tc>
                <w:tcPr>
                  <w:tcW w:w="1142" w:type="dxa"/>
                  <w:tcBorders>
                    <w:tl2br w:val="nil"/>
                    <w:tr2bl w:val="nil"/>
                  </w:tcBorders>
                  <w:shd w:val="clear" w:color="auto" w:fill="auto"/>
                  <w:vAlign w:val="center"/>
                </w:tcPr>
                <w:p w14:paraId="137051F9">
                  <w:pPr>
                    <w:widowControl/>
                    <w:jc w:val="center"/>
                    <w:rPr>
                      <w:rFonts w:hint="eastAsia" w:ascii="Times New Roman" w:hAnsi="Times New Roman" w:eastAsia="宋体" w:cs="Times New Roman"/>
                      <w:color w:val="auto"/>
                      <w:kern w:val="2"/>
                      <w:sz w:val="21"/>
                      <w:szCs w:val="21"/>
                      <w:lang w:val="en-US" w:eastAsia="zh-CN" w:bidi="ar-SA"/>
                    </w:rPr>
                  </w:pPr>
                  <w:r>
                    <w:rPr>
                      <w:rFonts w:hint="eastAsia" w:eastAsia="微软雅黑"/>
                      <w:color w:val="auto"/>
                      <w:szCs w:val="21"/>
                      <w:lang w:val="en-US" w:eastAsia="zh-CN"/>
                    </w:rPr>
                    <w:t>/</w:t>
                  </w:r>
                </w:p>
              </w:tc>
            </w:tr>
            <w:tr w14:paraId="2F4672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2CA23BFA">
                  <w:pPr>
                    <w:widowControl/>
                    <w:jc w:val="center"/>
                    <w:rPr>
                      <w:color w:val="auto"/>
                      <w:szCs w:val="21"/>
                    </w:rPr>
                  </w:pPr>
                </w:p>
              </w:tc>
              <w:tc>
                <w:tcPr>
                  <w:tcW w:w="1150" w:type="dxa"/>
                  <w:vMerge w:val="continue"/>
                  <w:tcBorders>
                    <w:tl2br w:val="nil"/>
                    <w:tr2bl w:val="nil"/>
                  </w:tcBorders>
                  <w:vAlign w:val="center"/>
                </w:tcPr>
                <w:p w14:paraId="39382A99">
                  <w:pPr>
                    <w:widowControl/>
                    <w:jc w:val="center"/>
                    <w:rPr>
                      <w:color w:val="auto"/>
                      <w:szCs w:val="21"/>
                    </w:rPr>
                  </w:pPr>
                </w:p>
              </w:tc>
              <w:tc>
                <w:tcPr>
                  <w:tcW w:w="625" w:type="dxa"/>
                  <w:vMerge w:val="restart"/>
                  <w:tcBorders>
                    <w:tl2br w:val="nil"/>
                    <w:tr2bl w:val="nil"/>
                  </w:tcBorders>
                  <w:shd w:val="clear" w:color="auto" w:fill="auto"/>
                  <w:vAlign w:val="center"/>
                </w:tcPr>
                <w:p w14:paraId="2F4606B4">
                  <w:pPr>
                    <w:widowControl/>
                    <w:jc w:val="center"/>
                    <w:rPr>
                      <w:color w:val="auto"/>
                      <w:szCs w:val="21"/>
                    </w:rPr>
                  </w:pPr>
                  <w:r>
                    <w:rPr>
                      <w:rFonts w:hint="eastAsia"/>
                      <w:color w:val="auto"/>
                      <w:szCs w:val="21"/>
                    </w:rPr>
                    <w:t>氮氧化物</w:t>
                  </w:r>
                </w:p>
              </w:tc>
              <w:tc>
                <w:tcPr>
                  <w:tcW w:w="912" w:type="dxa"/>
                  <w:tcBorders>
                    <w:tl2br w:val="nil"/>
                    <w:tr2bl w:val="nil"/>
                  </w:tcBorders>
                  <w:shd w:val="clear" w:color="auto" w:fill="auto"/>
                  <w:vAlign w:val="center"/>
                </w:tcPr>
                <w:p w14:paraId="607E1FCC">
                  <w:pPr>
                    <w:jc w:val="center"/>
                    <w:rPr>
                      <w:rFonts w:ascii="Times New Roman" w:hAnsi="Times New Roman" w:eastAsia="宋体" w:cs="Times New Roman"/>
                      <w:color w:val="auto"/>
                      <w:kern w:val="2"/>
                      <w:sz w:val="21"/>
                      <w:szCs w:val="21"/>
                      <w:lang w:val="en-US" w:eastAsia="zh-CN" w:bidi="ar-SA"/>
                    </w:rPr>
                  </w:pPr>
                  <w:r>
                    <w:rPr>
                      <w:color w:val="auto"/>
                      <w:szCs w:val="21"/>
                    </w:rPr>
                    <w:t>第一次</w:t>
                  </w:r>
                </w:p>
              </w:tc>
              <w:tc>
                <w:tcPr>
                  <w:tcW w:w="1013" w:type="dxa"/>
                  <w:tcBorders>
                    <w:tl2br w:val="nil"/>
                    <w:tr2bl w:val="nil"/>
                  </w:tcBorders>
                  <w:shd w:val="clear" w:color="auto" w:fill="auto"/>
                  <w:vAlign w:val="center"/>
                </w:tcPr>
                <w:p w14:paraId="164B2F3E">
                  <w:pPr>
                    <w:widowControl/>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34328</w:t>
                  </w:r>
                </w:p>
              </w:tc>
              <w:tc>
                <w:tcPr>
                  <w:tcW w:w="975" w:type="dxa"/>
                  <w:tcBorders>
                    <w:tl2br w:val="nil"/>
                    <w:tr2bl w:val="nil"/>
                  </w:tcBorders>
                  <w:vAlign w:val="center"/>
                </w:tcPr>
                <w:p w14:paraId="1BFD74B5">
                  <w:pPr>
                    <w:widowControl/>
                    <w:jc w:val="center"/>
                    <w:rPr>
                      <w:rFonts w:hint="eastAsia" w:eastAsia="宋体"/>
                      <w:color w:val="auto"/>
                      <w:szCs w:val="21"/>
                      <w:lang w:val="en-US" w:eastAsia="zh-CN"/>
                    </w:rPr>
                  </w:pPr>
                  <w:r>
                    <w:rPr>
                      <w:rFonts w:hint="eastAsia"/>
                      <w:color w:val="auto"/>
                      <w:szCs w:val="21"/>
                      <w:lang w:val="en-US" w:eastAsia="zh-CN"/>
                    </w:rPr>
                    <w:t>7</w:t>
                  </w:r>
                </w:p>
              </w:tc>
              <w:tc>
                <w:tcPr>
                  <w:tcW w:w="1050" w:type="dxa"/>
                  <w:tcBorders>
                    <w:tl2br w:val="nil"/>
                    <w:tr2bl w:val="nil"/>
                  </w:tcBorders>
                  <w:vAlign w:val="center"/>
                </w:tcPr>
                <w:p w14:paraId="26440E81">
                  <w:pPr>
                    <w:widowControl/>
                    <w:jc w:val="center"/>
                    <w:rPr>
                      <w:rFonts w:hint="eastAsia" w:eastAsia="宋体"/>
                      <w:color w:val="auto"/>
                      <w:szCs w:val="21"/>
                      <w:lang w:val="en-US" w:eastAsia="zh-CN"/>
                    </w:rPr>
                  </w:pPr>
                  <w:r>
                    <w:rPr>
                      <w:rFonts w:hint="eastAsia"/>
                      <w:color w:val="auto"/>
                      <w:szCs w:val="21"/>
                      <w:lang w:val="en-US" w:eastAsia="zh-CN"/>
                    </w:rPr>
                    <w:t>9</w:t>
                  </w:r>
                </w:p>
              </w:tc>
              <w:tc>
                <w:tcPr>
                  <w:tcW w:w="1142" w:type="dxa"/>
                  <w:tcBorders>
                    <w:tl2br w:val="nil"/>
                    <w:tr2bl w:val="nil"/>
                  </w:tcBorders>
                  <w:vAlign w:val="center"/>
                </w:tcPr>
                <w:p w14:paraId="5C102C49">
                  <w:pPr>
                    <w:widowControl/>
                    <w:jc w:val="center"/>
                    <w:rPr>
                      <w:rFonts w:hint="default" w:eastAsia="宋体"/>
                      <w:color w:val="auto"/>
                      <w:szCs w:val="21"/>
                      <w:lang w:val="en-US" w:eastAsia="zh-CN"/>
                    </w:rPr>
                  </w:pPr>
                  <w:r>
                    <w:rPr>
                      <w:rFonts w:hint="eastAsia"/>
                      <w:color w:val="auto"/>
                      <w:szCs w:val="21"/>
                      <w:lang w:val="en-US" w:eastAsia="zh-CN"/>
                    </w:rPr>
                    <w:t>0.240</w:t>
                  </w:r>
                </w:p>
              </w:tc>
            </w:tr>
            <w:tr w14:paraId="0A564D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43EDE482">
                  <w:pPr>
                    <w:widowControl/>
                    <w:jc w:val="center"/>
                    <w:rPr>
                      <w:color w:val="auto"/>
                      <w:szCs w:val="21"/>
                    </w:rPr>
                  </w:pPr>
                </w:p>
              </w:tc>
              <w:tc>
                <w:tcPr>
                  <w:tcW w:w="1150" w:type="dxa"/>
                  <w:vMerge w:val="continue"/>
                  <w:tcBorders>
                    <w:tl2br w:val="nil"/>
                    <w:tr2bl w:val="nil"/>
                  </w:tcBorders>
                  <w:vAlign w:val="center"/>
                </w:tcPr>
                <w:p w14:paraId="76164179">
                  <w:pPr>
                    <w:widowControl/>
                    <w:jc w:val="center"/>
                    <w:rPr>
                      <w:color w:val="auto"/>
                      <w:szCs w:val="21"/>
                    </w:rPr>
                  </w:pPr>
                </w:p>
              </w:tc>
              <w:tc>
                <w:tcPr>
                  <w:tcW w:w="625" w:type="dxa"/>
                  <w:vMerge w:val="continue"/>
                  <w:tcBorders>
                    <w:tl2br w:val="nil"/>
                    <w:tr2bl w:val="nil"/>
                  </w:tcBorders>
                  <w:vAlign w:val="center"/>
                </w:tcPr>
                <w:p w14:paraId="773B0979">
                  <w:pPr>
                    <w:widowControl/>
                    <w:jc w:val="center"/>
                    <w:rPr>
                      <w:color w:val="auto"/>
                      <w:szCs w:val="21"/>
                    </w:rPr>
                  </w:pPr>
                </w:p>
              </w:tc>
              <w:tc>
                <w:tcPr>
                  <w:tcW w:w="912" w:type="dxa"/>
                  <w:tcBorders>
                    <w:tl2br w:val="nil"/>
                    <w:tr2bl w:val="nil"/>
                  </w:tcBorders>
                  <w:shd w:val="clear" w:color="auto" w:fill="auto"/>
                  <w:vAlign w:val="center"/>
                </w:tcPr>
                <w:p w14:paraId="7738AAC7">
                  <w:pPr>
                    <w:jc w:val="center"/>
                    <w:rPr>
                      <w:rFonts w:ascii="Times New Roman" w:hAnsi="Times New Roman" w:eastAsia="宋体" w:cs="Times New Roman"/>
                      <w:color w:val="auto"/>
                      <w:kern w:val="2"/>
                      <w:sz w:val="21"/>
                      <w:szCs w:val="21"/>
                      <w:lang w:val="en-US" w:eastAsia="zh-CN" w:bidi="ar-SA"/>
                    </w:rPr>
                  </w:pPr>
                  <w:r>
                    <w:rPr>
                      <w:color w:val="auto"/>
                      <w:szCs w:val="21"/>
                    </w:rPr>
                    <w:t>第二次</w:t>
                  </w:r>
                </w:p>
              </w:tc>
              <w:tc>
                <w:tcPr>
                  <w:tcW w:w="1013" w:type="dxa"/>
                  <w:tcBorders>
                    <w:tl2br w:val="nil"/>
                    <w:tr2bl w:val="nil"/>
                  </w:tcBorders>
                  <w:shd w:val="clear" w:color="auto" w:fill="auto"/>
                  <w:vAlign w:val="center"/>
                </w:tcPr>
                <w:p w14:paraId="1AB0721A">
                  <w:pPr>
                    <w:widowControl/>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33211</w:t>
                  </w:r>
                </w:p>
              </w:tc>
              <w:tc>
                <w:tcPr>
                  <w:tcW w:w="975" w:type="dxa"/>
                  <w:tcBorders>
                    <w:tl2br w:val="nil"/>
                    <w:tr2bl w:val="nil"/>
                  </w:tcBorders>
                  <w:vAlign w:val="center"/>
                </w:tcPr>
                <w:p w14:paraId="606DEF59">
                  <w:pPr>
                    <w:widowControl/>
                    <w:jc w:val="center"/>
                    <w:rPr>
                      <w:rFonts w:hint="eastAsia" w:eastAsia="宋体"/>
                      <w:color w:val="auto"/>
                      <w:szCs w:val="21"/>
                      <w:lang w:val="en-US" w:eastAsia="zh-CN"/>
                    </w:rPr>
                  </w:pPr>
                  <w:r>
                    <w:rPr>
                      <w:rFonts w:hint="eastAsia"/>
                      <w:color w:val="auto"/>
                      <w:szCs w:val="21"/>
                      <w:lang w:val="en-US" w:eastAsia="zh-CN"/>
                    </w:rPr>
                    <w:t>8</w:t>
                  </w:r>
                </w:p>
              </w:tc>
              <w:tc>
                <w:tcPr>
                  <w:tcW w:w="1050" w:type="dxa"/>
                  <w:tcBorders>
                    <w:tl2br w:val="nil"/>
                    <w:tr2bl w:val="nil"/>
                  </w:tcBorders>
                  <w:vAlign w:val="center"/>
                </w:tcPr>
                <w:p w14:paraId="2E237DF4">
                  <w:pPr>
                    <w:widowControl/>
                    <w:jc w:val="center"/>
                    <w:rPr>
                      <w:rFonts w:hint="default" w:eastAsia="宋体"/>
                      <w:color w:val="auto"/>
                      <w:szCs w:val="21"/>
                      <w:lang w:val="en-US" w:eastAsia="zh-CN"/>
                    </w:rPr>
                  </w:pPr>
                  <w:r>
                    <w:rPr>
                      <w:rFonts w:hint="eastAsia"/>
                      <w:color w:val="auto"/>
                      <w:szCs w:val="21"/>
                      <w:lang w:val="en-US" w:eastAsia="zh-CN"/>
                    </w:rPr>
                    <w:t>13</w:t>
                  </w:r>
                </w:p>
              </w:tc>
              <w:tc>
                <w:tcPr>
                  <w:tcW w:w="1142" w:type="dxa"/>
                  <w:tcBorders>
                    <w:tl2br w:val="nil"/>
                    <w:tr2bl w:val="nil"/>
                  </w:tcBorders>
                  <w:vAlign w:val="center"/>
                </w:tcPr>
                <w:p w14:paraId="0F88C436">
                  <w:pPr>
                    <w:widowControl/>
                    <w:jc w:val="center"/>
                    <w:rPr>
                      <w:rFonts w:hint="default" w:eastAsia="宋体"/>
                      <w:color w:val="auto"/>
                      <w:szCs w:val="21"/>
                      <w:lang w:val="en-US" w:eastAsia="zh-CN"/>
                    </w:rPr>
                  </w:pPr>
                  <w:r>
                    <w:rPr>
                      <w:rFonts w:hint="eastAsia"/>
                      <w:color w:val="auto"/>
                      <w:szCs w:val="21"/>
                      <w:lang w:val="en-US" w:eastAsia="zh-CN"/>
                    </w:rPr>
                    <w:t>0.266</w:t>
                  </w:r>
                </w:p>
              </w:tc>
            </w:tr>
            <w:tr w14:paraId="0A630C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21442256">
                  <w:pPr>
                    <w:widowControl/>
                    <w:jc w:val="center"/>
                    <w:rPr>
                      <w:color w:val="auto"/>
                      <w:szCs w:val="21"/>
                    </w:rPr>
                  </w:pPr>
                </w:p>
              </w:tc>
              <w:tc>
                <w:tcPr>
                  <w:tcW w:w="1150" w:type="dxa"/>
                  <w:vMerge w:val="continue"/>
                  <w:tcBorders>
                    <w:tl2br w:val="nil"/>
                    <w:tr2bl w:val="nil"/>
                  </w:tcBorders>
                  <w:vAlign w:val="center"/>
                </w:tcPr>
                <w:p w14:paraId="3491AFBF">
                  <w:pPr>
                    <w:widowControl/>
                    <w:jc w:val="center"/>
                    <w:rPr>
                      <w:color w:val="auto"/>
                      <w:szCs w:val="21"/>
                    </w:rPr>
                  </w:pPr>
                </w:p>
              </w:tc>
              <w:tc>
                <w:tcPr>
                  <w:tcW w:w="625" w:type="dxa"/>
                  <w:vMerge w:val="continue"/>
                  <w:tcBorders>
                    <w:tl2br w:val="nil"/>
                    <w:tr2bl w:val="nil"/>
                  </w:tcBorders>
                  <w:vAlign w:val="center"/>
                </w:tcPr>
                <w:p w14:paraId="065CF42F">
                  <w:pPr>
                    <w:widowControl/>
                    <w:jc w:val="center"/>
                    <w:rPr>
                      <w:color w:val="auto"/>
                      <w:szCs w:val="21"/>
                    </w:rPr>
                  </w:pPr>
                </w:p>
              </w:tc>
              <w:tc>
                <w:tcPr>
                  <w:tcW w:w="912" w:type="dxa"/>
                  <w:tcBorders>
                    <w:tl2br w:val="nil"/>
                    <w:tr2bl w:val="nil"/>
                  </w:tcBorders>
                  <w:shd w:val="clear" w:color="auto" w:fill="auto"/>
                  <w:vAlign w:val="center"/>
                </w:tcPr>
                <w:p w14:paraId="13432992">
                  <w:pPr>
                    <w:jc w:val="center"/>
                    <w:rPr>
                      <w:rFonts w:ascii="Times New Roman" w:hAnsi="Times New Roman" w:eastAsia="宋体" w:cs="Times New Roman"/>
                      <w:color w:val="auto"/>
                      <w:kern w:val="2"/>
                      <w:sz w:val="21"/>
                      <w:szCs w:val="21"/>
                      <w:lang w:val="en-US" w:eastAsia="zh-CN" w:bidi="ar-SA"/>
                    </w:rPr>
                  </w:pPr>
                  <w:r>
                    <w:rPr>
                      <w:color w:val="auto"/>
                      <w:szCs w:val="21"/>
                    </w:rPr>
                    <w:t>第三次</w:t>
                  </w:r>
                </w:p>
              </w:tc>
              <w:tc>
                <w:tcPr>
                  <w:tcW w:w="1013" w:type="dxa"/>
                  <w:tcBorders>
                    <w:tl2br w:val="nil"/>
                    <w:tr2bl w:val="nil"/>
                  </w:tcBorders>
                  <w:shd w:val="clear" w:color="auto" w:fill="auto"/>
                  <w:vAlign w:val="center"/>
                </w:tcPr>
                <w:p w14:paraId="32104811">
                  <w:pPr>
                    <w:widowControl/>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37695</w:t>
                  </w:r>
                </w:p>
              </w:tc>
              <w:tc>
                <w:tcPr>
                  <w:tcW w:w="975" w:type="dxa"/>
                  <w:tcBorders>
                    <w:tl2br w:val="nil"/>
                    <w:tr2bl w:val="nil"/>
                  </w:tcBorders>
                  <w:vAlign w:val="center"/>
                </w:tcPr>
                <w:p w14:paraId="3DE8EECE">
                  <w:pPr>
                    <w:widowControl/>
                    <w:jc w:val="center"/>
                    <w:rPr>
                      <w:rFonts w:hint="default" w:eastAsia="宋体"/>
                      <w:color w:val="auto"/>
                      <w:szCs w:val="21"/>
                      <w:lang w:val="en-US" w:eastAsia="zh-CN"/>
                    </w:rPr>
                  </w:pPr>
                  <w:r>
                    <w:rPr>
                      <w:rFonts w:hint="eastAsia"/>
                      <w:color w:val="auto"/>
                      <w:szCs w:val="21"/>
                      <w:lang w:val="en-US" w:eastAsia="zh-CN"/>
                    </w:rPr>
                    <w:t>13</w:t>
                  </w:r>
                </w:p>
              </w:tc>
              <w:tc>
                <w:tcPr>
                  <w:tcW w:w="1050" w:type="dxa"/>
                  <w:tcBorders>
                    <w:tl2br w:val="nil"/>
                    <w:tr2bl w:val="nil"/>
                  </w:tcBorders>
                  <w:vAlign w:val="center"/>
                </w:tcPr>
                <w:p w14:paraId="33EA804B">
                  <w:pPr>
                    <w:widowControl/>
                    <w:jc w:val="center"/>
                    <w:rPr>
                      <w:rFonts w:hint="default" w:eastAsia="宋体"/>
                      <w:color w:val="auto"/>
                      <w:szCs w:val="21"/>
                      <w:lang w:val="en-US" w:eastAsia="zh-CN"/>
                    </w:rPr>
                  </w:pPr>
                  <w:r>
                    <w:rPr>
                      <w:rFonts w:hint="eastAsia"/>
                      <w:color w:val="auto"/>
                      <w:szCs w:val="21"/>
                      <w:lang w:val="en-US" w:eastAsia="zh-CN"/>
                    </w:rPr>
                    <w:t>19</w:t>
                  </w:r>
                </w:p>
              </w:tc>
              <w:tc>
                <w:tcPr>
                  <w:tcW w:w="1142" w:type="dxa"/>
                  <w:tcBorders>
                    <w:tl2br w:val="nil"/>
                    <w:tr2bl w:val="nil"/>
                  </w:tcBorders>
                  <w:vAlign w:val="center"/>
                </w:tcPr>
                <w:p w14:paraId="3B3EDEEC">
                  <w:pPr>
                    <w:widowControl/>
                    <w:jc w:val="center"/>
                    <w:rPr>
                      <w:rFonts w:hint="default" w:eastAsia="宋体"/>
                      <w:color w:val="auto"/>
                      <w:szCs w:val="21"/>
                      <w:lang w:val="en-US" w:eastAsia="zh-CN"/>
                    </w:rPr>
                  </w:pPr>
                  <w:r>
                    <w:rPr>
                      <w:rFonts w:hint="eastAsia"/>
                      <w:color w:val="auto"/>
                      <w:szCs w:val="21"/>
                      <w:lang w:val="en-US" w:eastAsia="zh-CN"/>
                    </w:rPr>
                    <w:t>0.490</w:t>
                  </w:r>
                </w:p>
              </w:tc>
            </w:tr>
            <w:tr w14:paraId="15A478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tcBorders>
                    <w:tl2br w:val="nil"/>
                    <w:tr2bl w:val="nil"/>
                  </w:tcBorders>
                  <w:vAlign w:val="center"/>
                </w:tcPr>
                <w:p w14:paraId="5308D4C3">
                  <w:pPr>
                    <w:widowControl/>
                    <w:jc w:val="center"/>
                    <w:rPr>
                      <w:rFonts w:hint="eastAsia" w:eastAsia="宋体"/>
                      <w:color w:val="auto"/>
                      <w:szCs w:val="21"/>
                      <w:lang w:val="en-US" w:eastAsia="zh-CN"/>
                    </w:rPr>
                  </w:pPr>
                  <w:r>
                    <w:rPr>
                      <w:rFonts w:hint="eastAsia"/>
                      <w:color w:val="auto"/>
                      <w:szCs w:val="21"/>
                      <w:lang w:val="en-US" w:eastAsia="zh-CN"/>
                    </w:rPr>
                    <w:t>备注</w:t>
                  </w:r>
                </w:p>
              </w:tc>
              <w:tc>
                <w:tcPr>
                  <w:tcW w:w="6867" w:type="dxa"/>
                  <w:gridSpan w:val="7"/>
                  <w:tcBorders>
                    <w:tl2br w:val="nil"/>
                    <w:tr2bl w:val="nil"/>
                  </w:tcBorders>
                  <w:vAlign w:val="center"/>
                </w:tcPr>
                <w:p w14:paraId="05919B83">
                  <w:pPr>
                    <w:widowControl/>
                    <w:numPr>
                      <w:ilvl w:val="0"/>
                      <w:numId w:val="9"/>
                    </w:numPr>
                    <w:jc w:val="both"/>
                    <w:rPr>
                      <w:rFonts w:hint="eastAsia"/>
                      <w:color w:val="auto"/>
                      <w:szCs w:val="21"/>
                      <w:lang w:val="en-US" w:eastAsia="zh-CN"/>
                    </w:rPr>
                  </w:pPr>
                  <w:r>
                    <w:rPr>
                      <w:rFonts w:hint="eastAsia"/>
                      <w:color w:val="auto"/>
                      <w:szCs w:val="21"/>
                      <w:lang w:val="en-US" w:eastAsia="zh-CN"/>
                    </w:rPr>
                    <w:t>“ND”表示低于方法检出限。</w:t>
                  </w:r>
                </w:p>
                <w:p w14:paraId="51A8C32D">
                  <w:pPr>
                    <w:widowControl/>
                    <w:numPr>
                      <w:ilvl w:val="0"/>
                      <w:numId w:val="9"/>
                    </w:numPr>
                    <w:jc w:val="both"/>
                    <w:rPr>
                      <w:rFonts w:hint="default"/>
                      <w:color w:val="auto"/>
                      <w:szCs w:val="21"/>
                      <w:lang w:val="en-US" w:eastAsia="zh-CN"/>
                    </w:rPr>
                  </w:pPr>
                  <w:r>
                    <w:rPr>
                      <w:rFonts w:hint="eastAsia"/>
                      <w:color w:val="auto"/>
                      <w:szCs w:val="21"/>
                      <w:lang w:val="en-US" w:eastAsia="zh-CN"/>
                    </w:rPr>
                    <w:t>“/”表示检测项目的排放浓度小于检出限，故排放速率无需计算。</w:t>
                  </w:r>
                </w:p>
              </w:tc>
            </w:tr>
          </w:tbl>
          <w:p w14:paraId="5749CCD4">
            <w:pPr>
              <w:spacing w:before="120" w:beforeLines="50"/>
              <w:jc w:val="center"/>
              <w:rPr>
                <w:b/>
                <w:bCs/>
                <w:color w:val="auto"/>
                <w:szCs w:val="21"/>
              </w:rPr>
            </w:pPr>
            <w:r>
              <w:rPr>
                <w:rFonts w:hint="eastAsia"/>
                <w:b/>
                <w:bCs/>
                <w:color w:val="auto"/>
                <w:szCs w:val="21"/>
              </w:rPr>
              <w:t>表2-1</w:t>
            </w:r>
            <w:r>
              <w:rPr>
                <w:rFonts w:hint="eastAsia"/>
                <w:b/>
                <w:bCs/>
                <w:color w:val="auto"/>
                <w:szCs w:val="21"/>
                <w:lang w:val="en-US" w:eastAsia="zh-CN"/>
              </w:rPr>
              <w:t>3</w:t>
            </w:r>
            <w:r>
              <w:rPr>
                <w:rFonts w:hint="eastAsia"/>
                <w:b/>
                <w:bCs/>
                <w:color w:val="auto"/>
                <w:szCs w:val="21"/>
              </w:rPr>
              <w:t xml:space="preserve"> 现有项目有组织废气监测结果与评价</w:t>
            </w:r>
          </w:p>
          <w:tbl>
            <w:tblPr>
              <w:tblStyle w:val="3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078"/>
              <w:gridCol w:w="1150"/>
              <w:gridCol w:w="1362"/>
              <w:gridCol w:w="913"/>
              <w:gridCol w:w="1248"/>
              <w:gridCol w:w="1051"/>
              <w:gridCol w:w="1143"/>
            </w:tblGrid>
            <w:tr w14:paraId="393365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tcBorders>
                    <w:tl2br w:val="nil"/>
                    <w:tr2bl w:val="nil"/>
                  </w:tcBorders>
                  <w:vAlign w:val="center"/>
                </w:tcPr>
                <w:p w14:paraId="4543C62B">
                  <w:pPr>
                    <w:widowControl/>
                    <w:jc w:val="center"/>
                    <w:rPr>
                      <w:b/>
                      <w:bCs/>
                      <w:color w:val="auto"/>
                      <w:szCs w:val="21"/>
                    </w:rPr>
                  </w:pPr>
                  <w:r>
                    <w:rPr>
                      <w:rFonts w:hint="eastAsia"/>
                      <w:b/>
                      <w:bCs/>
                      <w:color w:val="auto"/>
                      <w:szCs w:val="21"/>
                    </w:rPr>
                    <w:t>采样日期</w:t>
                  </w:r>
                </w:p>
              </w:tc>
              <w:tc>
                <w:tcPr>
                  <w:tcW w:w="1150" w:type="dxa"/>
                  <w:tcBorders>
                    <w:tl2br w:val="nil"/>
                    <w:tr2bl w:val="nil"/>
                  </w:tcBorders>
                  <w:vAlign w:val="center"/>
                </w:tcPr>
                <w:p w14:paraId="541641B4">
                  <w:pPr>
                    <w:widowControl/>
                    <w:jc w:val="center"/>
                    <w:rPr>
                      <w:b/>
                      <w:bCs/>
                      <w:color w:val="auto"/>
                      <w:szCs w:val="21"/>
                    </w:rPr>
                  </w:pPr>
                  <w:r>
                    <w:rPr>
                      <w:rFonts w:hint="eastAsia"/>
                      <w:b/>
                      <w:bCs/>
                      <w:color w:val="auto"/>
                      <w:szCs w:val="21"/>
                    </w:rPr>
                    <w:t>采样点位/高度</w:t>
                  </w:r>
                </w:p>
              </w:tc>
              <w:tc>
                <w:tcPr>
                  <w:tcW w:w="1362" w:type="dxa"/>
                  <w:tcBorders>
                    <w:tl2br w:val="nil"/>
                    <w:tr2bl w:val="nil"/>
                  </w:tcBorders>
                  <w:vAlign w:val="center"/>
                </w:tcPr>
                <w:p w14:paraId="74E3674F">
                  <w:pPr>
                    <w:widowControl/>
                    <w:jc w:val="center"/>
                    <w:rPr>
                      <w:b/>
                      <w:bCs/>
                      <w:color w:val="auto"/>
                      <w:szCs w:val="21"/>
                    </w:rPr>
                  </w:pPr>
                  <w:r>
                    <w:rPr>
                      <w:rFonts w:hint="eastAsia"/>
                      <w:b/>
                      <w:bCs/>
                      <w:color w:val="auto"/>
                      <w:szCs w:val="21"/>
                    </w:rPr>
                    <w:t>检测项目</w:t>
                  </w:r>
                </w:p>
              </w:tc>
              <w:tc>
                <w:tcPr>
                  <w:tcW w:w="913" w:type="dxa"/>
                  <w:tcBorders>
                    <w:tl2br w:val="nil"/>
                    <w:tr2bl w:val="nil"/>
                  </w:tcBorders>
                  <w:vAlign w:val="center"/>
                </w:tcPr>
                <w:p w14:paraId="52FF487F">
                  <w:pPr>
                    <w:widowControl/>
                    <w:jc w:val="center"/>
                    <w:rPr>
                      <w:b/>
                      <w:bCs/>
                      <w:color w:val="auto"/>
                      <w:szCs w:val="21"/>
                    </w:rPr>
                  </w:pPr>
                  <w:r>
                    <w:rPr>
                      <w:rFonts w:hint="eastAsia"/>
                      <w:b/>
                      <w:bCs/>
                      <w:color w:val="auto"/>
                      <w:szCs w:val="21"/>
                    </w:rPr>
                    <w:t>采样频次</w:t>
                  </w:r>
                </w:p>
              </w:tc>
              <w:tc>
                <w:tcPr>
                  <w:tcW w:w="1248" w:type="dxa"/>
                  <w:tcBorders>
                    <w:tl2br w:val="nil"/>
                    <w:tr2bl w:val="nil"/>
                  </w:tcBorders>
                  <w:vAlign w:val="center"/>
                </w:tcPr>
                <w:p w14:paraId="268D0149">
                  <w:pPr>
                    <w:widowControl/>
                    <w:jc w:val="center"/>
                    <w:rPr>
                      <w:b/>
                      <w:bCs/>
                      <w:color w:val="auto"/>
                      <w:szCs w:val="21"/>
                    </w:rPr>
                  </w:pPr>
                  <w:r>
                    <w:rPr>
                      <w:rFonts w:hint="eastAsia"/>
                      <w:b/>
                      <w:bCs/>
                      <w:color w:val="auto"/>
                      <w:kern w:val="0"/>
                      <w:szCs w:val="21"/>
                    </w:rPr>
                    <w:t>标干</w:t>
                  </w:r>
                  <w:r>
                    <w:rPr>
                      <w:b/>
                      <w:bCs/>
                      <w:color w:val="auto"/>
                      <w:kern w:val="0"/>
                      <w:szCs w:val="21"/>
                    </w:rPr>
                    <w:t>流量m</w:t>
                  </w:r>
                  <w:r>
                    <w:rPr>
                      <w:b/>
                      <w:bCs/>
                      <w:color w:val="auto"/>
                      <w:kern w:val="0"/>
                      <w:szCs w:val="21"/>
                      <w:vertAlign w:val="superscript"/>
                    </w:rPr>
                    <w:t>3</w:t>
                  </w:r>
                  <w:r>
                    <w:rPr>
                      <w:b/>
                      <w:bCs/>
                      <w:color w:val="auto"/>
                      <w:kern w:val="0"/>
                      <w:szCs w:val="21"/>
                    </w:rPr>
                    <w:t>/h</w:t>
                  </w:r>
                </w:p>
              </w:tc>
              <w:tc>
                <w:tcPr>
                  <w:tcW w:w="1051" w:type="dxa"/>
                  <w:tcBorders>
                    <w:tl2br w:val="nil"/>
                    <w:tr2bl w:val="nil"/>
                  </w:tcBorders>
                  <w:vAlign w:val="center"/>
                </w:tcPr>
                <w:p w14:paraId="0A771C7F">
                  <w:pPr>
                    <w:widowControl/>
                    <w:jc w:val="center"/>
                    <w:rPr>
                      <w:b/>
                      <w:bCs/>
                      <w:color w:val="auto"/>
                      <w:szCs w:val="21"/>
                    </w:rPr>
                  </w:pPr>
                  <w:r>
                    <w:rPr>
                      <w:b/>
                      <w:bCs/>
                      <w:color w:val="auto"/>
                      <w:kern w:val="0"/>
                      <w:szCs w:val="21"/>
                    </w:rPr>
                    <w:t>排放浓度mg/m</w:t>
                  </w:r>
                  <w:r>
                    <w:rPr>
                      <w:b/>
                      <w:bCs/>
                      <w:color w:val="auto"/>
                      <w:kern w:val="0"/>
                      <w:szCs w:val="21"/>
                      <w:vertAlign w:val="superscript"/>
                    </w:rPr>
                    <w:t>3</w:t>
                  </w:r>
                </w:p>
              </w:tc>
              <w:tc>
                <w:tcPr>
                  <w:tcW w:w="1143" w:type="dxa"/>
                  <w:tcBorders>
                    <w:tl2br w:val="nil"/>
                    <w:tr2bl w:val="nil"/>
                  </w:tcBorders>
                  <w:vAlign w:val="center"/>
                </w:tcPr>
                <w:p w14:paraId="168CF8D9">
                  <w:pPr>
                    <w:widowControl/>
                    <w:jc w:val="center"/>
                    <w:rPr>
                      <w:b/>
                      <w:bCs/>
                      <w:color w:val="auto"/>
                      <w:szCs w:val="21"/>
                    </w:rPr>
                  </w:pPr>
                  <w:r>
                    <w:rPr>
                      <w:b/>
                      <w:bCs/>
                      <w:color w:val="auto"/>
                      <w:kern w:val="0"/>
                      <w:szCs w:val="21"/>
                    </w:rPr>
                    <w:t>排放速率</w:t>
                  </w:r>
                  <w:r>
                    <w:rPr>
                      <w:rFonts w:hint="eastAsia"/>
                      <w:b/>
                      <w:bCs/>
                      <w:color w:val="auto"/>
                      <w:kern w:val="0"/>
                      <w:szCs w:val="21"/>
                    </w:rPr>
                    <w:t>kg</w:t>
                  </w:r>
                  <w:r>
                    <w:rPr>
                      <w:b/>
                      <w:bCs/>
                      <w:color w:val="auto"/>
                      <w:kern w:val="0"/>
                      <w:szCs w:val="21"/>
                    </w:rPr>
                    <w:t>/h</w:t>
                  </w:r>
                </w:p>
              </w:tc>
            </w:tr>
            <w:tr w14:paraId="70C9B3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restart"/>
                  <w:tcBorders>
                    <w:tl2br w:val="nil"/>
                    <w:tr2bl w:val="nil"/>
                  </w:tcBorders>
                  <w:vAlign w:val="center"/>
                </w:tcPr>
                <w:p w14:paraId="03DB7300">
                  <w:pPr>
                    <w:widowControl/>
                    <w:jc w:val="center"/>
                    <w:rPr>
                      <w:color w:val="auto"/>
                      <w:szCs w:val="21"/>
                    </w:rPr>
                  </w:pPr>
                  <w:r>
                    <w:rPr>
                      <w:rFonts w:hint="eastAsia"/>
                      <w:color w:val="auto"/>
                      <w:szCs w:val="21"/>
                    </w:rPr>
                    <w:t>2023.05.10</w:t>
                  </w:r>
                </w:p>
              </w:tc>
              <w:tc>
                <w:tcPr>
                  <w:tcW w:w="1150" w:type="dxa"/>
                  <w:vMerge w:val="restart"/>
                  <w:tcBorders>
                    <w:tl2br w:val="nil"/>
                    <w:tr2bl w:val="nil"/>
                  </w:tcBorders>
                  <w:vAlign w:val="center"/>
                </w:tcPr>
                <w:p w14:paraId="14D7784E">
                  <w:pPr>
                    <w:widowControl/>
                    <w:jc w:val="center"/>
                    <w:rPr>
                      <w:color w:val="auto"/>
                      <w:szCs w:val="21"/>
                    </w:rPr>
                  </w:pPr>
                  <w:r>
                    <w:rPr>
                      <w:rFonts w:hint="eastAsia"/>
                      <w:color w:val="auto"/>
                      <w:szCs w:val="21"/>
                    </w:rPr>
                    <w:t>DA002</w:t>
                  </w:r>
                </w:p>
                <w:p w14:paraId="292F0FBF">
                  <w:pPr>
                    <w:widowControl/>
                    <w:jc w:val="center"/>
                    <w:rPr>
                      <w:color w:val="auto"/>
                      <w:szCs w:val="21"/>
                    </w:rPr>
                  </w:pPr>
                  <w:r>
                    <w:rPr>
                      <w:rFonts w:hint="eastAsia"/>
                      <w:color w:val="auto"/>
                      <w:szCs w:val="21"/>
                    </w:rPr>
                    <w:t>2#废气排口</w:t>
                  </w:r>
                </w:p>
                <w:p w14:paraId="0D7BC9D6">
                  <w:pPr>
                    <w:widowControl/>
                    <w:jc w:val="center"/>
                    <w:rPr>
                      <w:color w:val="auto"/>
                      <w:szCs w:val="21"/>
                    </w:rPr>
                  </w:pPr>
                  <w:r>
                    <w:rPr>
                      <w:rFonts w:hint="eastAsia" w:ascii="宋体" w:hAnsi="宋体" w:cs="宋体"/>
                      <w:color w:val="auto"/>
                      <w:szCs w:val="21"/>
                    </w:rPr>
                    <w:t>◎</w:t>
                  </w:r>
                  <w:r>
                    <w:rPr>
                      <w:rFonts w:hint="eastAsia"/>
                      <w:color w:val="auto"/>
                      <w:szCs w:val="21"/>
                    </w:rPr>
                    <w:t>2/15m</w:t>
                  </w:r>
                </w:p>
              </w:tc>
              <w:tc>
                <w:tcPr>
                  <w:tcW w:w="1362" w:type="dxa"/>
                  <w:vMerge w:val="restart"/>
                  <w:tcBorders>
                    <w:tl2br w:val="nil"/>
                    <w:tr2bl w:val="nil"/>
                  </w:tcBorders>
                  <w:vAlign w:val="center"/>
                </w:tcPr>
                <w:p w14:paraId="60FADA1A">
                  <w:pPr>
                    <w:widowControl/>
                    <w:jc w:val="center"/>
                    <w:rPr>
                      <w:color w:val="auto"/>
                      <w:szCs w:val="21"/>
                    </w:rPr>
                  </w:pPr>
                  <w:r>
                    <w:rPr>
                      <w:rFonts w:hint="eastAsia"/>
                      <w:color w:val="auto"/>
                      <w:szCs w:val="21"/>
                    </w:rPr>
                    <w:t>低浓度颗粒物</w:t>
                  </w:r>
                </w:p>
              </w:tc>
              <w:tc>
                <w:tcPr>
                  <w:tcW w:w="913" w:type="dxa"/>
                  <w:tcBorders>
                    <w:tl2br w:val="nil"/>
                    <w:tr2bl w:val="nil"/>
                  </w:tcBorders>
                  <w:vAlign w:val="center"/>
                </w:tcPr>
                <w:p w14:paraId="128DFC9A">
                  <w:pPr>
                    <w:jc w:val="center"/>
                    <w:rPr>
                      <w:color w:val="auto"/>
                      <w:szCs w:val="21"/>
                    </w:rPr>
                  </w:pPr>
                  <w:r>
                    <w:rPr>
                      <w:color w:val="auto"/>
                      <w:szCs w:val="21"/>
                    </w:rPr>
                    <w:t>第一次</w:t>
                  </w:r>
                </w:p>
              </w:tc>
              <w:tc>
                <w:tcPr>
                  <w:tcW w:w="1248" w:type="dxa"/>
                  <w:tcBorders>
                    <w:tl2br w:val="nil"/>
                    <w:tr2bl w:val="nil"/>
                  </w:tcBorders>
                  <w:vAlign w:val="center"/>
                </w:tcPr>
                <w:p w14:paraId="6C205BA9">
                  <w:pPr>
                    <w:widowControl/>
                    <w:jc w:val="center"/>
                    <w:rPr>
                      <w:color w:val="auto"/>
                      <w:szCs w:val="21"/>
                    </w:rPr>
                  </w:pPr>
                  <w:r>
                    <w:rPr>
                      <w:rFonts w:hint="eastAsia"/>
                      <w:color w:val="auto"/>
                      <w:szCs w:val="21"/>
                    </w:rPr>
                    <w:t>8220</w:t>
                  </w:r>
                </w:p>
              </w:tc>
              <w:tc>
                <w:tcPr>
                  <w:tcW w:w="1051" w:type="dxa"/>
                  <w:tcBorders>
                    <w:tl2br w:val="nil"/>
                    <w:tr2bl w:val="nil"/>
                  </w:tcBorders>
                  <w:vAlign w:val="center"/>
                </w:tcPr>
                <w:p w14:paraId="306959AF">
                  <w:pPr>
                    <w:widowControl/>
                    <w:jc w:val="center"/>
                    <w:rPr>
                      <w:color w:val="auto"/>
                      <w:szCs w:val="21"/>
                    </w:rPr>
                  </w:pPr>
                  <w:r>
                    <w:rPr>
                      <w:rFonts w:hint="eastAsia"/>
                      <w:color w:val="auto"/>
                      <w:szCs w:val="21"/>
                    </w:rPr>
                    <w:t>4.5</w:t>
                  </w:r>
                </w:p>
              </w:tc>
              <w:tc>
                <w:tcPr>
                  <w:tcW w:w="1143" w:type="dxa"/>
                  <w:tcBorders>
                    <w:tl2br w:val="nil"/>
                    <w:tr2bl w:val="nil"/>
                  </w:tcBorders>
                  <w:vAlign w:val="center"/>
                </w:tcPr>
                <w:p w14:paraId="54A248A5">
                  <w:pPr>
                    <w:widowControl/>
                    <w:jc w:val="center"/>
                    <w:rPr>
                      <w:color w:val="auto"/>
                      <w:szCs w:val="21"/>
                    </w:rPr>
                  </w:pPr>
                  <w:r>
                    <w:rPr>
                      <w:rFonts w:hint="eastAsia"/>
                      <w:color w:val="auto"/>
                      <w:szCs w:val="21"/>
                    </w:rPr>
                    <w:t>3.70</w:t>
                  </w:r>
                  <w:r>
                    <w:rPr>
                      <w:rFonts w:ascii="Arial" w:hAnsi="Arial" w:cs="Arial"/>
                      <w:color w:val="auto"/>
                      <w:szCs w:val="21"/>
                    </w:rPr>
                    <w:t>×</w:t>
                  </w:r>
                  <w:r>
                    <w:rPr>
                      <w:rFonts w:hint="eastAsia"/>
                      <w:color w:val="auto"/>
                      <w:szCs w:val="21"/>
                    </w:rPr>
                    <w:t>10</w:t>
                  </w:r>
                  <w:r>
                    <w:rPr>
                      <w:rFonts w:hint="eastAsia"/>
                      <w:color w:val="auto"/>
                      <w:szCs w:val="21"/>
                      <w:vertAlign w:val="superscript"/>
                    </w:rPr>
                    <w:t>-2</w:t>
                  </w:r>
                </w:p>
              </w:tc>
            </w:tr>
            <w:tr w14:paraId="6C8257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04E56877">
                  <w:pPr>
                    <w:widowControl/>
                    <w:jc w:val="center"/>
                    <w:rPr>
                      <w:color w:val="auto"/>
                      <w:szCs w:val="21"/>
                    </w:rPr>
                  </w:pPr>
                </w:p>
              </w:tc>
              <w:tc>
                <w:tcPr>
                  <w:tcW w:w="1150" w:type="dxa"/>
                  <w:vMerge w:val="continue"/>
                  <w:tcBorders>
                    <w:tl2br w:val="nil"/>
                    <w:tr2bl w:val="nil"/>
                  </w:tcBorders>
                  <w:vAlign w:val="center"/>
                </w:tcPr>
                <w:p w14:paraId="6FE53FC5">
                  <w:pPr>
                    <w:widowControl/>
                    <w:jc w:val="center"/>
                    <w:rPr>
                      <w:color w:val="auto"/>
                      <w:szCs w:val="21"/>
                    </w:rPr>
                  </w:pPr>
                </w:p>
              </w:tc>
              <w:tc>
                <w:tcPr>
                  <w:tcW w:w="1362" w:type="dxa"/>
                  <w:vMerge w:val="continue"/>
                  <w:tcBorders>
                    <w:tl2br w:val="nil"/>
                    <w:tr2bl w:val="nil"/>
                  </w:tcBorders>
                  <w:vAlign w:val="center"/>
                </w:tcPr>
                <w:p w14:paraId="48CC5EA7">
                  <w:pPr>
                    <w:widowControl/>
                    <w:jc w:val="center"/>
                    <w:rPr>
                      <w:color w:val="auto"/>
                      <w:szCs w:val="21"/>
                    </w:rPr>
                  </w:pPr>
                </w:p>
              </w:tc>
              <w:tc>
                <w:tcPr>
                  <w:tcW w:w="913" w:type="dxa"/>
                  <w:tcBorders>
                    <w:tl2br w:val="nil"/>
                    <w:tr2bl w:val="nil"/>
                  </w:tcBorders>
                  <w:vAlign w:val="center"/>
                </w:tcPr>
                <w:p w14:paraId="635810B2">
                  <w:pPr>
                    <w:jc w:val="center"/>
                    <w:rPr>
                      <w:color w:val="auto"/>
                      <w:szCs w:val="21"/>
                    </w:rPr>
                  </w:pPr>
                  <w:r>
                    <w:rPr>
                      <w:color w:val="auto"/>
                      <w:szCs w:val="21"/>
                    </w:rPr>
                    <w:t>第二次</w:t>
                  </w:r>
                </w:p>
              </w:tc>
              <w:tc>
                <w:tcPr>
                  <w:tcW w:w="1248" w:type="dxa"/>
                  <w:tcBorders>
                    <w:tl2br w:val="nil"/>
                    <w:tr2bl w:val="nil"/>
                  </w:tcBorders>
                  <w:vAlign w:val="center"/>
                </w:tcPr>
                <w:p w14:paraId="4485694F">
                  <w:pPr>
                    <w:widowControl/>
                    <w:jc w:val="center"/>
                    <w:rPr>
                      <w:color w:val="auto"/>
                      <w:szCs w:val="21"/>
                    </w:rPr>
                  </w:pPr>
                  <w:r>
                    <w:rPr>
                      <w:rFonts w:hint="eastAsia"/>
                      <w:color w:val="auto"/>
                      <w:szCs w:val="21"/>
                    </w:rPr>
                    <w:t>8231</w:t>
                  </w:r>
                </w:p>
              </w:tc>
              <w:tc>
                <w:tcPr>
                  <w:tcW w:w="1051" w:type="dxa"/>
                  <w:tcBorders>
                    <w:tl2br w:val="nil"/>
                    <w:tr2bl w:val="nil"/>
                  </w:tcBorders>
                  <w:vAlign w:val="center"/>
                </w:tcPr>
                <w:p w14:paraId="4D25E413">
                  <w:pPr>
                    <w:widowControl/>
                    <w:jc w:val="center"/>
                    <w:rPr>
                      <w:color w:val="auto"/>
                      <w:szCs w:val="21"/>
                    </w:rPr>
                  </w:pPr>
                  <w:r>
                    <w:rPr>
                      <w:rFonts w:hint="eastAsia"/>
                      <w:color w:val="auto"/>
                      <w:szCs w:val="21"/>
                    </w:rPr>
                    <w:t>3.9</w:t>
                  </w:r>
                </w:p>
              </w:tc>
              <w:tc>
                <w:tcPr>
                  <w:tcW w:w="1143" w:type="dxa"/>
                  <w:tcBorders>
                    <w:tl2br w:val="nil"/>
                    <w:tr2bl w:val="nil"/>
                  </w:tcBorders>
                  <w:vAlign w:val="center"/>
                </w:tcPr>
                <w:p w14:paraId="41AB87B7">
                  <w:pPr>
                    <w:widowControl/>
                    <w:jc w:val="center"/>
                    <w:rPr>
                      <w:color w:val="auto"/>
                      <w:szCs w:val="21"/>
                    </w:rPr>
                  </w:pPr>
                  <w:r>
                    <w:rPr>
                      <w:rFonts w:hint="eastAsia"/>
                      <w:color w:val="auto"/>
                      <w:szCs w:val="21"/>
                    </w:rPr>
                    <w:t>3.21</w:t>
                  </w:r>
                  <w:r>
                    <w:rPr>
                      <w:rFonts w:ascii="Arial" w:hAnsi="Arial" w:cs="Arial"/>
                      <w:color w:val="auto"/>
                      <w:szCs w:val="21"/>
                    </w:rPr>
                    <w:t>×</w:t>
                  </w:r>
                  <w:r>
                    <w:rPr>
                      <w:rFonts w:hint="eastAsia"/>
                      <w:color w:val="auto"/>
                      <w:szCs w:val="21"/>
                    </w:rPr>
                    <w:t>10</w:t>
                  </w:r>
                  <w:r>
                    <w:rPr>
                      <w:rFonts w:hint="eastAsia"/>
                      <w:color w:val="auto"/>
                      <w:szCs w:val="21"/>
                      <w:vertAlign w:val="superscript"/>
                    </w:rPr>
                    <w:t>-2</w:t>
                  </w:r>
                </w:p>
              </w:tc>
            </w:tr>
            <w:tr w14:paraId="05DCD1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5F50FEA1">
                  <w:pPr>
                    <w:widowControl/>
                    <w:jc w:val="center"/>
                    <w:rPr>
                      <w:color w:val="auto"/>
                      <w:szCs w:val="21"/>
                    </w:rPr>
                  </w:pPr>
                </w:p>
              </w:tc>
              <w:tc>
                <w:tcPr>
                  <w:tcW w:w="1150" w:type="dxa"/>
                  <w:vMerge w:val="continue"/>
                  <w:tcBorders>
                    <w:tl2br w:val="nil"/>
                    <w:tr2bl w:val="nil"/>
                  </w:tcBorders>
                  <w:vAlign w:val="center"/>
                </w:tcPr>
                <w:p w14:paraId="41456019">
                  <w:pPr>
                    <w:widowControl/>
                    <w:jc w:val="center"/>
                    <w:rPr>
                      <w:color w:val="auto"/>
                      <w:szCs w:val="21"/>
                    </w:rPr>
                  </w:pPr>
                </w:p>
              </w:tc>
              <w:tc>
                <w:tcPr>
                  <w:tcW w:w="1362" w:type="dxa"/>
                  <w:vMerge w:val="continue"/>
                  <w:tcBorders>
                    <w:tl2br w:val="nil"/>
                    <w:tr2bl w:val="nil"/>
                  </w:tcBorders>
                  <w:vAlign w:val="center"/>
                </w:tcPr>
                <w:p w14:paraId="1D84715B">
                  <w:pPr>
                    <w:widowControl/>
                    <w:jc w:val="center"/>
                    <w:rPr>
                      <w:color w:val="auto"/>
                      <w:szCs w:val="21"/>
                    </w:rPr>
                  </w:pPr>
                </w:p>
              </w:tc>
              <w:tc>
                <w:tcPr>
                  <w:tcW w:w="913" w:type="dxa"/>
                  <w:tcBorders>
                    <w:tl2br w:val="nil"/>
                    <w:tr2bl w:val="nil"/>
                  </w:tcBorders>
                  <w:vAlign w:val="center"/>
                </w:tcPr>
                <w:p w14:paraId="7CFD7477">
                  <w:pPr>
                    <w:jc w:val="center"/>
                    <w:rPr>
                      <w:color w:val="auto"/>
                      <w:szCs w:val="21"/>
                    </w:rPr>
                  </w:pPr>
                  <w:r>
                    <w:rPr>
                      <w:color w:val="auto"/>
                      <w:szCs w:val="21"/>
                    </w:rPr>
                    <w:t>第三次</w:t>
                  </w:r>
                </w:p>
              </w:tc>
              <w:tc>
                <w:tcPr>
                  <w:tcW w:w="1248" w:type="dxa"/>
                  <w:tcBorders>
                    <w:tl2br w:val="nil"/>
                    <w:tr2bl w:val="nil"/>
                  </w:tcBorders>
                  <w:vAlign w:val="center"/>
                </w:tcPr>
                <w:p w14:paraId="2269F337">
                  <w:pPr>
                    <w:widowControl/>
                    <w:jc w:val="center"/>
                    <w:rPr>
                      <w:color w:val="auto"/>
                      <w:szCs w:val="21"/>
                    </w:rPr>
                  </w:pPr>
                  <w:r>
                    <w:rPr>
                      <w:rFonts w:hint="eastAsia"/>
                      <w:color w:val="auto"/>
                      <w:szCs w:val="21"/>
                    </w:rPr>
                    <w:t>9528</w:t>
                  </w:r>
                </w:p>
              </w:tc>
              <w:tc>
                <w:tcPr>
                  <w:tcW w:w="1051" w:type="dxa"/>
                  <w:tcBorders>
                    <w:tl2br w:val="nil"/>
                    <w:tr2bl w:val="nil"/>
                  </w:tcBorders>
                  <w:vAlign w:val="center"/>
                </w:tcPr>
                <w:p w14:paraId="55A453BB">
                  <w:pPr>
                    <w:widowControl/>
                    <w:jc w:val="center"/>
                    <w:rPr>
                      <w:color w:val="auto"/>
                      <w:szCs w:val="21"/>
                    </w:rPr>
                  </w:pPr>
                  <w:r>
                    <w:rPr>
                      <w:rFonts w:hint="eastAsia"/>
                      <w:color w:val="auto"/>
                      <w:szCs w:val="21"/>
                    </w:rPr>
                    <w:t>4.0</w:t>
                  </w:r>
                </w:p>
              </w:tc>
              <w:tc>
                <w:tcPr>
                  <w:tcW w:w="1143" w:type="dxa"/>
                  <w:tcBorders>
                    <w:tl2br w:val="nil"/>
                    <w:tr2bl w:val="nil"/>
                  </w:tcBorders>
                  <w:vAlign w:val="center"/>
                </w:tcPr>
                <w:p w14:paraId="1C2D031B">
                  <w:pPr>
                    <w:widowControl/>
                    <w:jc w:val="center"/>
                    <w:rPr>
                      <w:color w:val="auto"/>
                      <w:szCs w:val="21"/>
                    </w:rPr>
                  </w:pPr>
                  <w:r>
                    <w:rPr>
                      <w:rFonts w:hint="eastAsia"/>
                      <w:color w:val="auto"/>
                      <w:szCs w:val="21"/>
                    </w:rPr>
                    <w:t>3.81</w:t>
                  </w:r>
                  <w:r>
                    <w:rPr>
                      <w:rFonts w:ascii="Arial" w:hAnsi="Arial" w:cs="Arial"/>
                      <w:color w:val="auto"/>
                      <w:szCs w:val="21"/>
                    </w:rPr>
                    <w:t>×</w:t>
                  </w:r>
                  <w:r>
                    <w:rPr>
                      <w:rFonts w:hint="eastAsia"/>
                      <w:color w:val="auto"/>
                      <w:szCs w:val="21"/>
                    </w:rPr>
                    <w:t>10</w:t>
                  </w:r>
                  <w:r>
                    <w:rPr>
                      <w:rFonts w:hint="eastAsia"/>
                      <w:color w:val="auto"/>
                      <w:szCs w:val="21"/>
                      <w:vertAlign w:val="superscript"/>
                    </w:rPr>
                    <w:t>-2</w:t>
                  </w:r>
                </w:p>
              </w:tc>
            </w:tr>
            <w:tr w14:paraId="441010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036EC7B2">
                  <w:pPr>
                    <w:widowControl/>
                    <w:jc w:val="center"/>
                    <w:rPr>
                      <w:color w:val="auto"/>
                      <w:szCs w:val="21"/>
                    </w:rPr>
                  </w:pPr>
                </w:p>
              </w:tc>
              <w:tc>
                <w:tcPr>
                  <w:tcW w:w="1150" w:type="dxa"/>
                  <w:vMerge w:val="continue"/>
                  <w:tcBorders>
                    <w:tl2br w:val="nil"/>
                    <w:tr2bl w:val="nil"/>
                  </w:tcBorders>
                  <w:vAlign w:val="center"/>
                </w:tcPr>
                <w:p w14:paraId="4BEFB388">
                  <w:pPr>
                    <w:widowControl/>
                    <w:jc w:val="center"/>
                    <w:rPr>
                      <w:color w:val="auto"/>
                      <w:szCs w:val="21"/>
                    </w:rPr>
                  </w:pPr>
                </w:p>
              </w:tc>
              <w:tc>
                <w:tcPr>
                  <w:tcW w:w="1362" w:type="dxa"/>
                  <w:vMerge w:val="continue"/>
                  <w:tcBorders>
                    <w:tl2br w:val="nil"/>
                    <w:tr2bl w:val="nil"/>
                  </w:tcBorders>
                  <w:vAlign w:val="center"/>
                </w:tcPr>
                <w:p w14:paraId="45C74744">
                  <w:pPr>
                    <w:widowControl/>
                    <w:jc w:val="center"/>
                    <w:rPr>
                      <w:color w:val="auto"/>
                      <w:szCs w:val="21"/>
                    </w:rPr>
                  </w:pPr>
                </w:p>
              </w:tc>
              <w:tc>
                <w:tcPr>
                  <w:tcW w:w="913" w:type="dxa"/>
                  <w:tcBorders>
                    <w:tl2br w:val="nil"/>
                    <w:tr2bl w:val="nil"/>
                  </w:tcBorders>
                  <w:vAlign w:val="center"/>
                </w:tcPr>
                <w:p w14:paraId="0905D3E6">
                  <w:pPr>
                    <w:jc w:val="center"/>
                    <w:rPr>
                      <w:color w:val="auto"/>
                      <w:szCs w:val="21"/>
                    </w:rPr>
                  </w:pPr>
                  <w:r>
                    <w:rPr>
                      <w:color w:val="auto"/>
                      <w:szCs w:val="21"/>
                    </w:rPr>
                    <w:t>均值</w:t>
                  </w:r>
                </w:p>
              </w:tc>
              <w:tc>
                <w:tcPr>
                  <w:tcW w:w="1248" w:type="dxa"/>
                  <w:tcBorders>
                    <w:tl2br w:val="nil"/>
                    <w:tr2bl w:val="nil"/>
                  </w:tcBorders>
                  <w:vAlign w:val="center"/>
                </w:tcPr>
                <w:p w14:paraId="3F9ECA03">
                  <w:pPr>
                    <w:widowControl/>
                    <w:jc w:val="center"/>
                    <w:rPr>
                      <w:color w:val="auto"/>
                      <w:szCs w:val="21"/>
                    </w:rPr>
                  </w:pPr>
                  <w:r>
                    <w:rPr>
                      <w:rFonts w:hint="eastAsia"/>
                      <w:color w:val="auto"/>
                      <w:szCs w:val="21"/>
                    </w:rPr>
                    <w:t>8660</w:t>
                  </w:r>
                </w:p>
              </w:tc>
              <w:tc>
                <w:tcPr>
                  <w:tcW w:w="1051" w:type="dxa"/>
                  <w:tcBorders>
                    <w:tl2br w:val="nil"/>
                    <w:tr2bl w:val="nil"/>
                  </w:tcBorders>
                  <w:vAlign w:val="center"/>
                </w:tcPr>
                <w:p w14:paraId="49B8BC6A">
                  <w:pPr>
                    <w:widowControl/>
                    <w:jc w:val="center"/>
                    <w:rPr>
                      <w:color w:val="auto"/>
                      <w:szCs w:val="21"/>
                    </w:rPr>
                  </w:pPr>
                  <w:r>
                    <w:rPr>
                      <w:rFonts w:hint="eastAsia"/>
                      <w:color w:val="auto"/>
                      <w:szCs w:val="21"/>
                    </w:rPr>
                    <w:t>4.1</w:t>
                  </w:r>
                </w:p>
              </w:tc>
              <w:tc>
                <w:tcPr>
                  <w:tcW w:w="1143" w:type="dxa"/>
                  <w:tcBorders>
                    <w:tl2br w:val="nil"/>
                    <w:tr2bl w:val="nil"/>
                  </w:tcBorders>
                  <w:vAlign w:val="center"/>
                </w:tcPr>
                <w:p w14:paraId="4F211ADB">
                  <w:pPr>
                    <w:widowControl/>
                    <w:jc w:val="center"/>
                    <w:rPr>
                      <w:color w:val="auto"/>
                      <w:szCs w:val="21"/>
                    </w:rPr>
                  </w:pPr>
                  <w:r>
                    <w:rPr>
                      <w:rFonts w:hint="eastAsia"/>
                      <w:color w:val="auto"/>
                      <w:szCs w:val="21"/>
                    </w:rPr>
                    <w:t>3.57</w:t>
                  </w:r>
                  <w:r>
                    <w:rPr>
                      <w:rFonts w:ascii="Arial" w:hAnsi="Arial" w:cs="Arial"/>
                      <w:color w:val="auto"/>
                      <w:szCs w:val="21"/>
                    </w:rPr>
                    <w:t>×</w:t>
                  </w:r>
                  <w:r>
                    <w:rPr>
                      <w:rFonts w:hint="eastAsia"/>
                      <w:color w:val="auto"/>
                      <w:szCs w:val="21"/>
                    </w:rPr>
                    <w:t>10</w:t>
                  </w:r>
                  <w:r>
                    <w:rPr>
                      <w:rFonts w:hint="eastAsia"/>
                      <w:color w:val="auto"/>
                      <w:szCs w:val="21"/>
                      <w:vertAlign w:val="superscript"/>
                    </w:rPr>
                    <w:t>-2</w:t>
                  </w:r>
                </w:p>
              </w:tc>
            </w:tr>
            <w:tr w14:paraId="091F54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3744FABF">
                  <w:pPr>
                    <w:widowControl/>
                    <w:jc w:val="center"/>
                    <w:rPr>
                      <w:color w:val="auto"/>
                      <w:szCs w:val="21"/>
                    </w:rPr>
                  </w:pPr>
                </w:p>
              </w:tc>
              <w:tc>
                <w:tcPr>
                  <w:tcW w:w="1150" w:type="dxa"/>
                  <w:vMerge w:val="continue"/>
                  <w:tcBorders>
                    <w:tl2br w:val="nil"/>
                    <w:tr2bl w:val="nil"/>
                  </w:tcBorders>
                  <w:vAlign w:val="center"/>
                </w:tcPr>
                <w:p w14:paraId="6C544F6B">
                  <w:pPr>
                    <w:widowControl/>
                    <w:jc w:val="center"/>
                    <w:rPr>
                      <w:color w:val="auto"/>
                      <w:szCs w:val="21"/>
                    </w:rPr>
                  </w:pPr>
                </w:p>
              </w:tc>
              <w:tc>
                <w:tcPr>
                  <w:tcW w:w="1362" w:type="dxa"/>
                  <w:vMerge w:val="restart"/>
                  <w:tcBorders>
                    <w:tl2br w:val="nil"/>
                    <w:tr2bl w:val="nil"/>
                  </w:tcBorders>
                  <w:vAlign w:val="center"/>
                </w:tcPr>
                <w:p w14:paraId="7977BA7F">
                  <w:pPr>
                    <w:widowControl/>
                    <w:jc w:val="center"/>
                    <w:rPr>
                      <w:color w:val="auto"/>
                      <w:szCs w:val="21"/>
                    </w:rPr>
                  </w:pPr>
                  <w:r>
                    <w:rPr>
                      <w:rFonts w:hint="eastAsia"/>
                      <w:color w:val="auto"/>
                      <w:szCs w:val="21"/>
                    </w:rPr>
                    <w:t>挥发性有机物（24种）</w:t>
                  </w:r>
                </w:p>
              </w:tc>
              <w:tc>
                <w:tcPr>
                  <w:tcW w:w="913" w:type="dxa"/>
                  <w:tcBorders>
                    <w:tl2br w:val="nil"/>
                    <w:tr2bl w:val="nil"/>
                  </w:tcBorders>
                  <w:vAlign w:val="center"/>
                </w:tcPr>
                <w:p w14:paraId="013A9972">
                  <w:pPr>
                    <w:jc w:val="center"/>
                    <w:rPr>
                      <w:color w:val="auto"/>
                      <w:szCs w:val="21"/>
                    </w:rPr>
                  </w:pPr>
                  <w:r>
                    <w:rPr>
                      <w:color w:val="auto"/>
                      <w:szCs w:val="21"/>
                    </w:rPr>
                    <w:t>第一次</w:t>
                  </w:r>
                </w:p>
              </w:tc>
              <w:tc>
                <w:tcPr>
                  <w:tcW w:w="1248" w:type="dxa"/>
                  <w:tcBorders>
                    <w:tl2br w:val="nil"/>
                    <w:tr2bl w:val="nil"/>
                  </w:tcBorders>
                  <w:vAlign w:val="center"/>
                </w:tcPr>
                <w:p w14:paraId="401D4EE8">
                  <w:pPr>
                    <w:widowControl/>
                    <w:jc w:val="center"/>
                    <w:rPr>
                      <w:color w:val="auto"/>
                      <w:szCs w:val="21"/>
                    </w:rPr>
                  </w:pPr>
                  <w:r>
                    <w:rPr>
                      <w:rFonts w:hint="eastAsia"/>
                      <w:color w:val="auto"/>
                      <w:szCs w:val="21"/>
                    </w:rPr>
                    <w:t>8220</w:t>
                  </w:r>
                </w:p>
              </w:tc>
              <w:tc>
                <w:tcPr>
                  <w:tcW w:w="1051" w:type="dxa"/>
                  <w:tcBorders>
                    <w:tl2br w:val="nil"/>
                    <w:tr2bl w:val="nil"/>
                  </w:tcBorders>
                  <w:vAlign w:val="center"/>
                </w:tcPr>
                <w:p w14:paraId="3F68DF5E">
                  <w:pPr>
                    <w:widowControl/>
                    <w:jc w:val="center"/>
                    <w:rPr>
                      <w:color w:val="auto"/>
                      <w:szCs w:val="21"/>
                    </w:rPr>
                  </w:pPr>
                  <w:r>
                    <w:rPr>
                      <w:rFonts w:hint="eastAsia"/>
                      <w:color w:val="auto"/>
                      <w:szCs w:val="21"/>
                    </w:rPr>
                    <w:t>3.63</w:t>
                  </w:r>
                </w:p>
              </w:tc>
              <w:tc>
                <w:tcPr>
                  <w:tcW w:w="1143" w:type="dxa"/>
                  <w:tcBorders>
                    <w:tl2br w:val="nil"/>
                    <w:tr2bl w:val="nil"/>
                  </w:tcBorders>
                  <w:vAlign w:val="center"/>
                </w:tcPr>
                <w:p w14:paraId="354DEA39">
                  <w:pPr>
                    <w:widowControl/>
                    <w:jc w:val="center"/>
                    <w:rPr>
                      <w:color w:val="auto"/>
                      <w:szCs w:val="21"/>
                    </w:rPr>
                  </w:pPr>
                  <w:r>
                    <w:rPr>
                      <w:rFonts w:hint="eastAsia"/>
                      <w:color w:val="auto"/>
                      <w:szCs w:val="21"/>
                    </w:rPr>
                    <w:t>2.98</w:t>
                  </w:r>
                  <w:r>
                    <w:rPr>
                      <w:rFonts w:ascii="Arial" w:hAnsi="Arial" w:cs="Arial"/>
                      <w:color w:val="auto"/>
                      <w:szCs w:val="21"/>
                    </w:rPr>
                    <w:t>×</w:t>
                  </w:r>
                  <w:r>
                    <w:rPr>
                      <w:rFonts w:hint="eastAsia"/>
                      <w:color w:val="auto"/>
                      <w:szCs w:val="21"/>
                    </w:rPr>
                    <w:t>10</w:t>
                  </w:r>
                  <w:r>
                    <w:rPr>
                      <w:rFonts w:hint="eastAsia"/>
                      <w:color w:val="auto"/>
                      <w:szCs w:val="21"/>
                      <w:vertAlign w:val="superscript"/>
                    </w:rPr>
                    <w:t>-2</w:t>
                  </w:r>
                </w:p>
              </w:tc>
            </w:tr>
            <w:tr w14:paraId="1D9EBE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1201B950">
                  <w:pPr>
                    <w:widowControl/>
                    <w:jc w:val="center"/>
                    <w:rPr>
                      <w:color w:val="auto"/>
                      <w:szCs w:val="21"/>
                    </w:rPr>
                  </w:pPr>
                </w:p>
              </w:tc>
              <w:tc>
                <w:tcPr>
                  <w:tcW w:w="1150" w:type="dxa"/>
                  <w:vMerge w:val="continue"/>
                  <w:tcBorders>
                    <w:tl2br w:val="nil"/>
                    <w:tr2bl w:val="nil"/>
                  </w:tcBorders>
                  <w:vAlign w:val="center"/>
                </w:tcPr>
                <w:p w14:paraId="672EFAD1">
                  <w:pPr>
                    <w:widowControl/>
                    <w:jc w:val="center"/>
                    <w:rPr>
                      <w:color w:val="auto"/>
                      <w:szCs w:val="21"/>
                    </w:rPr>
                  </w:pPr>
                </w:p>
              </w:tc>
              <w:tc>
                <w:tcPr>
                  <w:tcW w:w="1362" w:type="dxa"/>
                  <w:vMerge w:val="continue"/>
                  <w:tcBorders>
                    <w:tl2br w:val="nil"/>
                    <w:tr2bl w:val="nil"/>
                  </w:tcBorders>
                  <w:vAlign w:val="center"/>
                </w:tcPr>
                <w:p w14:paraId="10590C14">
                  <w:pPr>
                    <w:widowControl/>
                    <w:jc w:val="center"/>
                    <w:rPr>
                      <w:color w:val="auto"/>
                      <w:szCs w:val="21"/>
                    </w:rPr>
                  </w:pPr>
                </w:p>
              </w:tc>
              <w:tc>
                <w:tcPr>
                  <w:tcW w:w="913" w:type="dxa"/>
                  <w:tcBorders>
                    <w:tl2br w:val="nil"/>
                    <w:tr2bl w:val="nil"/>
                  </w:tcBorders>
                  <w:vAlign w:val="center"/>
                </w:tcPr>
                <w:p w14:paraId="4331212D">
                  <w:pPr>
                    <w:jc w:val="center"/>
                    <w:rPr>
                      <w:color w:val="auto"/>
                      <w:szCs w:val="21"/>
                    </w:rPr>
                  </w:pPr>
                  <w:r>
                    <w:rPr>
                      <w:color w:val="auto"/>
                      <w:szCs w:val="21"/>
                    </w:rPr>
                    <w:t>第二次</w:t>
                  </w:r>
                </w:p>
              </w:tc>
              <w:tc>
                <w:tcPr>
                  <w:tcW w:w="1248" w:type="dxa"/>
                  <w:tcBorders>
                    <w:tl2br w:val="nil"/>
                    <w:tr2bl w:val="nil"/>
                  </w:tcBorders>
                  <w:vAlign w:val="center"/>
                </w:tcPr>
                <w:p w14:paraId="4ED280E1">
                  <w:pPr>
                    <w:widowControl/>
                    <w:jc w:val="center"/>
                    <w:rPr>
                      <w:color w:val="auto"/>
                      <w:szCs w:val="21"/>
                    </w:rPr>
                  </w:pPr>
                  <w:r>
                    <w:rPr>
                      <w:rFonts w:hint="eastAsia"/>
                      <w:color w:val="auto"/>
                      <w:szCs w:val="21"/>
                    </w:rPr>
                    <w:t>8231</w:t>
                  </w:r>
                </w:p>
              </w:tc>
              <w:tc>
                <w:tcPr>
                  <w:tcW w:w="1051" w:type="dxa"/>
                  <w:tcBorders>
                    <w:tl2br w:val="nil"/>
                    <w:tr2bl w:val="nil"/>
                  </w:tcBorders>
                  <w:vAlign w:val="center"/>
                </w:tcPr>
                <w:p w14:paraId="7CA72727">
                  <w:pPr>
                    <w:widowControl/>
                    <w:jc w:val="center"/>
                    <w:rPr>
                      <w:color w:val="auto"/>
                      <w:szCs w:val="21"/>
                    </w:rPr>
                  </w:pPr>
                  <w:r>
                    <w:rPr>
                      <w:rFonts w:hint="eastAsia"/>
                      <w:color w:val="auto"/>
                      <w:szCs w:val="21"/>
                    </w:rPr>
                    <w:t>11.7</w:t>
                  </w:r>
                </w:p>
              </w:tc>
              <w:tc>
                <w:tcPr>
                  <w:tcW w:w="1143" w:type="dxa"/>
                  <w:tcBorders>
                    <w:tl2br w:val="nil"/>
                    <w:tr2bl w:val="nil"/>
                  </w:tcBorders>
                  <w:vAlign w:val="center"/>
                </w:tcPr>
                <w:p w14:paraId="33960731">
                  <w:pPr>
                    <w:widowControl/>
                    <w:jc w:val="center"/>
                    <w:rPr>
                      <w:color w:val="auto"/>
                      <w:szCs w:val="21"/>
                    </w:rPr>
                  </w:pPr>
                  <w:r>
                    <w:rPr>
                      <w:rFonts w:hint="eastAsia"/>
                      <w:color w:val="auto"/>
                      <w:szCs w:val="21"/>
                    </w:rPr>
                    <w:t>9.63</w:t>
                  </w:r>
                  <w:r>
                    <w:rPr>
                      <w:rFonts w:ascii="Arial" w:hAnsi="Arial" w:cs="Arial"/>
                      <w:color w:val="auto"/>
                      <w:szCs w:val="21"/>
                    </w:rPr>
                    <w:t>×</w:t>
                  </w:r>
                  <w:r>
                    <w:rPr>
                      <w:rFonts w:hint="eastAsia"/>
                      <w:color w:val="auto"/>
                      <w:szCs w:val="21"/>
                    </w:rPr>
                    <w:t>10</w:t>
                  </w:r>
                  <w:r>
                    <w:rPr>
                      <w:rFonts w:hint="eastAsia"/>
                      <w:color w:val="auto"/>
                      <w:szCs w:val="21"/>
                      <w:vertAlign w:val="superscript"/>
                    </w:rPr>
                    <w:t>-2</w:t>
                  </w:r>
                </w:p>
              </w:tc>
            </w:tr>
            <w:tr w14:paraId="619D2C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6E082DA0">
                  <w:pPr>
                    <w:widowControl/>
                    <w:jc w:val="center"/>
                    <w:rPr>
                      <w:color w:val="auto"/>
                      <w:szCs w:val="21"/>
                    </w:rPr>
                  </w:pPr>
                </w:p>
              </w:tc>
              <w:tc>
                <w:tcPr>
                  <w:tcW w:w="1150" w:type="dxa"/>
                  <w:vMerge w:val="continue"/>
                  <w:tcBorders>
                    <w:tl2br w:val="nil"/>
                    <w:tr2bl w:val="nil"/>
                  </w:tcBorders>
                  <w:vAlign w:val="center"/>
                </w:tcPr>
                <w:p w14:paraId="4ACB5294">
                  <w:pPr>
                    <w:widowControl/>
                    <w:jc w:val="center"/>
                    <w:rPr>
                      <w:color w:val="auto"/>
                      <w:szCs w:val="21"/>
                    </w:rPr>
                  </w:pPr>
                </w:p>
              </w:tc>
              <w:tc>
                <w:tcPr>
                  <w:tcW w:w="1362" w:type="dxa"/>
                  <w:vMerge w:val="continue"/>
                  <w:tcBorders>
                    <w:tl2br w:val="nil"/>
                    <w:tr2bl w:val="nil"/>
                  </w:tcBorders>
                  <w:vAlign w:val="center"/>
                </w:tcPr>
                <w:p w14:paraId="752BD08D">
                  <w:pPr>
                    <w:widowControl/>
                    <w:jc w:val="center"/>
                    <w:rPr>
                      <w:color w:val="auto"/>
                      <w:szCs w:val="21"/>
                    </w:rPr>
                  </w:pPr>
                </w:p>
              </w:tc>
              <w:tc>
                <w:tcPr>
                  <w:tcW w:w="913" w:type="dxa"/>
                  <w:tcBorders>
                    <w:tl2br w:val="nil"/>
                    <w:tr2bl w:val="nil"/>
                  </w:tcBorders>
                  <w:vAlign w:val="center"/>
                </w:tcPr>
                <w:p w14:paraId="2CECBACB">
                  <w:pPr>
                    <w:jc w:val="center"/>
                    <w:rPr>
                      <w:color w:val="auto"/>
                      <w:szCs w:val="21"/>
                    </w:rPr>
                  </w:pPr>
                  <w:r>
                    <w:rPr>
                      <w:color w:val="auto"/>
                      <w:szCs w:val="21"/>
                    </w:rPr>
                    <w:t>第三次</w:t>
                  </w:r>
                </w:p>
              </w:tc>
              <w:tc>
                <w:tcPr>
                  <w:tcW w:w="1248" w:type="dxa"/>
                  <w:tcBorders>
                    <w:tl2br w:val="nil"/>
                    <w:tr2bl w:val="nil"/>
                  </w:tcBorders>
                  <w:vAlign w:val="center"/>
                </w:tcPr>
                <w:p w14:paraId="10C6C41B">
                  <w:pPr>
                    <w:widowControl/>
                    <w:jc w:val="center"/>
                    <w:rPr>
                      <w:color w:val="auto"/>
                      <w:szCs w:val="21"/>
                    </w:rPr>
                  </w:pPr>
                  <w:r>
                    <w:rPr>
                      <w:rFonts w:hint="eastAsia"/>
                      <w:color w:val="auto"/>
                      <w:szCs w:val="21"/>
                    </w:rPr>
                    <w:t>9528</w:t>
                  </w:r>
                </w:p>
              </w:tc>
              <w:tc>
                <w:tcPr>
                  <w:tcW w:w="1051" w:type="dxa"/>
                  <w:tcBorders>
                    <w:tl2br w:val="nil"/>
                    <w:tr2bl w:val="nil"/>
                  </w:tcBorders>
                  <w:vAlign w:val="center"/>
                </w:tcPr>
                <w:p w14:paraId="345E08CA">
                  <w:pPr>
                    <w:widowControl/>
                    <w:jc w:val="center"/>
                    <w:rPr>
                      <w:color w:val="auto"/>
                      <w:szCs w:val="21"/>
                    </w:rPr>
                  </w:pPr>
                  <w:r>
                    <w:rPr>
                      <w:rFonts w:hint="eastAsia"/>
                      <w:color w:val="auto"/>
                      <w:szCs w:val="21"/>
                    </w:rPr>
                    <w:t>8.00</w:t>
                  </w:r>
                </w:p>
              </w:tc>
              <w:tc>
                <w:tcPr>
                  <w:tcW w:w="1143" w:type="dxa"/>
                  <w:tcBorders>
                    <w:tl2br w:val="nil"/>
                    <w:tr2bl w:val="nil"/>
                  </w:tcBorders>
                  <w:vAlign w:val="center"/>
                </w:tcPr>
                <w:p w14:paraId="16840414">
                  <w:pPr>
                    <w:widowControl/>
                    <w:jc w:val="center"/>
                    <w:rPr>
                      <w:color w:val="auto"/>
                      <w:szCs w:val="21"/>
                    </w:rPr>
                  </w:pPr>
                  <w:r>
                    <w:rPr>
                      <w:rFonts w:hint="eastAsia"/>
                      <w:color w:val="auto"/>
                      <w:szCs w:val="21"/>
                    </w:rPr>
                    <w:t>7.62</w:t>
                  </w:r>
                  <w:r>
                    <w:rPr>
                      <w:rFonts w:ascii="Arial" w:hAnsi="Arial" w:cs="Arial"/>
                      <w:color w:val="auto"/>
                      <w:szCs w:val="21"/>
                    </w:rPr>
                    <w:t>×</w:t>
                  </w:r>
                  <w:r>
                    <w:rPr>
                      <w:rFonts w:hint="eastAsia"/>
                      <w:color w:val="auto"/>
                      <w:szCs w:val="21"/>
                    </w:rPr>
                    <w:t>10</w:t>
                  </w:r>
                  <w:r>
                    <w:rPr>
                      <w:rFonts w:hint="eastAsia"/>
                      <w:color w:val="auto"/>
                      <w:szCs w:val="21"/>
                      <w:vertAlign w:val="superscript"/>
                    </w:rPr>
                    <w:t>-2</w:t>
                  </w:r>
                </w:p>
              </w:tc>
            </w:tr>
            <w:tr w14:paraId="0E8755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65CCEE38">
                  <w:pPr>
                    <w:widowControl/>
                    <w:jc w:val="center"/>
                    <w:rPr>
                      <w:color w:val="auto"/>
                      <w:szCs w:val="21"/>
                    </w:rPr>
                  </w:pPr>
                </w:p>
              </w:tc>
              <w:tc>
                <w:tcPr>
                  <w:tcW w:w="1150" w:type="dxa"/>
                  <w:vMerge w:val="continue"/>
                  <w:tcBorders>
                    <w:tl2br w:val="nil"/>
                    <w:tr2bl w:val="nil"/>
                  </w:tcBorders>
                  <w:vAlign w:val="center"/>
                </w:tcPr>
                <w:p w14:paraId="01DBBF34">
                  <w:pPr>
                    <w:widowControl/>
                    <w:jc w:val="center"/>
                    <w:rPr>
                      <w:color w:val="auto"/>
                      <w:szCs w:val="21"/>
                    </w:rPr>
                  </w:pPr>
                </w:p>
              </w:tc>
              <w:tc>
                <w:tcPr>
                  <w:tcW w:w="1362" w:type="dxa"/>
                  <w:vMerge w:val="continue"/>
                  <w:tcBorders>
                    <w:tl2br w:val="nil"/>
                    <w:tr2bl w:val="nil"/>
                  </w:tcBorders>
                  <w:vAlign w:val="center"/>
                </w:tcPr>
                <w:p w14:paraId="6642CDBC">
                  <w:pPr>
                    <w:widowControl/>
                    <w:jc w:val="center"/>
                    <w:rPr>
                      <w:color w:val="auto"/>
                      <w:szCs w:val="21"/>
                    </w:rPr>
                  </w:pPr>
                </w:p>
              </w:tc>
              <w:tc>
                <w:tcPr>
                  <w:tcW w:w="913" w:type="dxa"/>
                  <w:tcBorders>
                    <w:tl2br w:val="nil"/>
                    <w:tr2bl w:val="nil"/>
                  </w:tcBorders>
                  <w:vAlign w:val="center"/>
                </w:tcPr>
                <w:p w14:paraId="2BDB86B5">
                  <w:pPr>
                    <w:jc w:val="center"/>
                    <w:rPr>
                      <w:color w:val="auto"/>
                      <w:szCs w:val="21"/>
                    </w:rPr>
                  </w:pPr>
                  <w:r>
                    <w:rPr>
                      <w:color w:val="auto"/>
                      <w:szCs w:val="21"/>
                    </w:rPr>
                    <w:t>均值</w:t>
                  </w:r>
                </w:p>
              </w:tc>
              <w:tc>
                <w:tcPr>
                  <w:tcW w:w="1248" w:type="dxa"/>
                  <w:tcBorders>
                    <w:tl2br w:val="nil"/>
                    <w:tr2bl w:val="nil"/>
                  </w:tcBorders>
                  <w:vAlign w:val="center"/>
                </w:tcPr>
                <w:p w14:paraId="1FCB9D54">
                  <w:pPr>
                    <w:widowControl/>
                    <w:jc w:val="center"/>
                    <w:rPr>
                      <w:color w:val="auto"/>
                      <w:szCs w:val="21"/>
                    </w:rPr>
                  </w:pPr>
                  <w:r>
                    <w:rPr>
                      <w:rFonts w:hint="eastAsia"/>
                      <w:color w:val="auto"/>
                      <w:szCs w:val="21"/>
                    </w:rPr>
                    <w:t>8660</w:t>
                  </w:r>
                </w:p>
              </w:tc>
              <w:tc>
                <w:tcPr>
                  <w:tcW w:w="1051" w:type="dxa"/>
                  <w:tcBorders>
                    <w:tl2br w:val="nil"/>
                    <w:tr2bl w:val="nil"/>
                  </w:tcBorders>
                  <w:vAlign w:val="center"/>
                </w:tcPr>
                <w:p w14:paraId="615F759B">
                  <w:pPr>
                    <w:widowControl/>
                    <w:jc w:val="center"/>
                    <w:rPr>
                      <w:color w:val="auto"/>
                      <w:szCs w:val="21"/>
                    </w:rPr>
                  </w:pPr>
                  <w:r>
                    <w:rPr>
                      <w:rFonts w:hint="eastAsia"/>
                      <w:color w:val="auto"/>
                      <w:szCs w:val="21"/>
                    </w:rPr>
                    <w:t>7.78</w:t>
                  </w:r>
                </w:p>
              </w:tc>
              <w:tc>
                <w:tcPr>
                  <w:tcW w:w="1143" w:type="dxa"/>
                  <w:tcBorders>
                    <w:tl2br w:val="nil"/>
                    <w:tr2bl w:val="nil"/>
                  </w:tcBorders>
                  <w:vAlign w:val="center"/>
                </w:tcPr>
                <w:p w14:paraId="262FB033">
                  <w:pPr>
                    <w:widowControl/>
                    <w:jc w:val="center"/>
                    <w:rPr>
                      <w:color w:val="auto"/>
                      <w:szCs w:val="21"/>
                    </w:rPr>
                  </w:pPr>
                  <w:r>
                    <w:rPr>
                      <w:rFonts w:hint="eastAsia"/>
                      <w:color w:val="auto"/>
                      <w:szCs w:val="21"/>
                    </w:rPr>
                    <w:t>6.74</w:t>
                  </w:r>
                  <w:r>
                    <w:rPr>
                      <w:rFonts w:ascii="Arial" w:hAnsi="Arial" w:cs="Arial"/>
                      <w:color w:val="auto"/>
                      <w:szCs w:val="21"/>
                    </w:rPr>
                    <w:t>×</w:t>
                  </w:r>
                  <w:r>
                    <w:rPr>
                      <w:rFonts w:hint="eastAsia"/>
                      <w:color w:val="auto"/>
                      <w:szCs w:val="21"/>
                    </w:rPr>
                    <w:t>10</w:t>
                  </w:r>
                  <w:r>
                    <w:rPr>
                      <w:rFonts w:hint="eastAsia"/>
                      <w:color w:val="auto"/>
                      <w:szCs w:val="21"/>
                      <w:vertAlign w:val="superscript"/>
                    </w:rPr>
                    <w:t>-2</w:t>
                  </w:r>
                </w:p>
              </w:tc>
            </w:tr>
            <w:tr w14:paraId="2B086C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78F3083C">
                  <w:pPr>
                    <w:widowControl/>
                    <w:jc w:val="center"/>
                    <w:rPr>
                      <w:color w:val="auto"/>
                      <w:szCs w:val="21"/>
                    </w:rPr>
                  </w:pPr>
                </w:p>
              </w:tc>
              <w:tc>
                <w:tcPr>
                  <w:tcW w:w="1150" w:type="dxa"/>
                  <w:vMerge w:val="restart"/>
                  <w:tcBorders>
                    <w:tl2br w:val="nil"/>
                    <w:tr2bl w:val="nil"/>
                  </w:tcBorders>
                  <w:vAlign w:val="center"/>
                </w:tcPr>
                <w:p w14:paraId="1E8FEE8B">
                  <w:pPr>
                    <w:widowControl/>
                    <w:jc w:val="center"/>
                    <w:rPr>
                      <w:color w:val="auto"/>
                      <w:szCs w:val="21"/>
                    </w:rPr>
                  </w:pPr>
                  <w:r>
                    <w:rPr>
                      <w:rFonts w:hint="eastAsia"/>
                      <w:color w:val="auto"/>
                      <w:szCs w:val="21"/>
                    </w:rPr>
                    <w:t>DA003</w:t>
                  </w:r>
                </w:p>
                <w:p w14:paraId="12BF1102">
                  <w:pPr>
                    <w:widowControl/>
                    <w:jc w:val="center"/>
                    <w:rPr>
                      <w:color w:val="auto"/>
                      <w:szCs w:val="21"/>
                    </w:rPr>
                  </w:pPr>
                  <w:r>
                    <w:rPr>
                      <w:rFonts w:hint="eastAsia"/>
                      <w:color w:val="auto"/>
                      <w:szCs w:val="21"/>
                    </w:rPr>
                    <w:t>3#废气排口</w:t>
                  </w:r>
                </w:p>
                <w:p w14:paraId="46FC2A48">
                  <w:pPr>
                    <w:widowControl/>
                    <w:jc w:val="center"/>
                    <w:rPr>
                      <w:color w:val="auto"/>
                      <w:szCs w:val="21"/>
                    </w:rPr>
                  </w:pPr>
                  <w:r>
                    <w:rPr>
                      <w:rFonts w:hint="eastAsia" w:ascii="宋体" w:hAnsi="宋体" w:cs="宋体"/>
                      <w:color w:val="auto"/>
                      <w:szCs w:val="21"/>
                    </w:rPr>
                    <w:t>◎</w:t>
                  </w:r>
                  <w:r>
                    <w:rPr>
                      <w:rFonts w:hint="eastAsia"/>
                      <w:color w:val="auto"/>
                      <w:szCs w:val="21"/>
                    </w:rPr>
                    <w:t>4/20m</w:t>
                  </w:r>
                </w:p>
              </w:tc>
              <w:tc>
                <w:tcPr>
                  <w:tcW w:w="1362" w:type="dxa"/>
                  <w:vMerge w:val="restart"/>
                  <w:tcBorders>
                    <w:tl2br w:val="nil"/>
                    <w:tr2bl w:val="nil"/>
                  </w:tcBorders>
                  <w:vAlign w:val="center"/>
                </w:tcPr>
                <w:p w14:paraId="52EEDA9B">
                  <w:pPr>
                    <w:widowControl/>
                    <w:jc w:val="center"/>
                    <w:rPr>
                      <w:color w:val="auto"/>
                      <w:szCs w:val="21"/>
                    </w:rPr>
                  </w:pPr>
                  <w:r>
                    <w:rPr>
                      <w:rFonts w:hint="eastAsia"/>
                      <w:color w:val="auto"/>
                      <w:szCs w:val="21"/>
                    </w:rPr>
                    <w:t>低浓度颗粒物</w:t>
                  </w:r>
                </w:p>
              </w:tc>
              <w:tc>
                <w:tcPr>
                  <w:tcW w:w="913" w:type="dxa"/>
                  <w:tcBorders>
                    <w:tl2br w:val="nil"/>
                    <w:tr2bl w:val="nil"/>
                  </w:tcBorders>
                  <w:vAlign w:val="center"/>
                </w:tcPr>
                <w:p w14:paraId="30454CF8">
                  <w:pPr>
                    <w:jc w:val="center"/>
                    <w:rPr>
                      <w:color w:val="auto"/>
                      <w:szCs w:val="21"/>
                    </w:rPr>
                  </w:pPr>
                  <w:r>
                    <w:rPr>
                      <w:color w:val="auto"/>
                      <w:szCs w:val="21"/>
                    </w:rPr>
                    <w:t>第一次</w:t>
                  </w:r>
                </w:p>
              </w:tc>
              <w:tc>
                <w:tcPr>
                  <w:tcW w:w="1248" w:type="dxa"/>
                  <w:tcBorders>
                    <w:tl2br w:val="nil"/>
                    <w:tr2bl w:val="nil"/>
                  </w:tcBorders>
                  <w:vAlign w:val="center"/>
                </w:tcPr>
                <w:p w14:paraId="6DA685B5">
                  <w:pPr>
                    <w:widowControl/>
                    <w:jc w:val="center"/>
                    <w:rPr>
                      <w:color w:val="auto"/>
                      <w:szCs w:val="21"/>
                    </w:rPr>
                  </w:pPr>
                  <w:r>
                    <w:rPr>
                      <w:rFonts w:hint="eastAsia"/>
                      <w:color w:val="auto"/>
                      <w:szCs w:val="21"/>
                    </w:rPr>
                    <w:t>26560</w:t>
                  </w:r>
                </w:p>
              </w:tc>
              <w:tc>
                <w:tcPr>
                  <w:tcW w:w="1051" w:type="dxa"/>
                  <w:tcBorders>
                    <w:tl2br w:val="nil"/>
                    <w:tr2bl w:val="nil"/>
                  </w:tcBorders>
                  <w:vAlign w:val="center"/>
                </w:tcPr>
                <w:p w14:paraId="286452C3">
                  <w:pPr>
                    <w:widowControl/>
                    <w:jc w:val="center"/>
                    <w:rPr>
                      <w:color w:val="auto"/>
                      <w:szCs w:val="21"/>
                    </w:rPr>
                  </w:pPr>
                  <w:r>
                    <w:rPr>
                      <w:rFonts w:hint="eastAsia"/>
                      <w:color w:val="auto"/>
                      <w:szCs w:val="21"/>
                    </w:rPr>
                    <w:t>1.4</w:t>
                  </w:r>
                </w:p>
              </w:tc>
              <w:tc>
                <w:tcPr>
                  <w:tcW w:w="1143" w:type="dxa"/>
                  <w:tcBorders>
                    <w:tl2br w:val="nil"/>
                    <w:tr2bl w:val="nil"/>
                  </w:tcBorders>
                  <w:vAlign w:val="center"/>
                </w:tcPr>
                <w:p w14:paraId="2BC7CCCC">
                  <w:pPr>
                    <w:widowControl/>
                    <w:jc w:val="center"/>
                    <w:rPr>
                      <w:color w:val="auto"/>
                      <w:szCs w:val="21"/>
                    </w:rPr>
                  </w:pPr>
                  <w:r>
                    <w:rPr>
                      <w:rFonts w:hint="eastAsia"/>
                      <w:color w:val="auto"/>
                      <w:szCs w:val="21"/>
                    </w:rPr>
                    <w:t>3.72</w:t>
                  </w:r>
                  <w:r>
                    <w:rPr>
                      <w:rFonts w:ascii="Arial" w:hAnsi="Arial" w:cs="Arial"/>
                      <w:color w:val="auto"/>
                      <w:szCs w:val="21"/>
                    </w:rPr>
                    <w:t>×</w:t>
                  </w:r>
                  <w:r>
                    <w:rPr>
                      <w:rFonts w:hint="eastAsia"/>
                      <w:color w:val="auto"/>
                      <w:szCs w:val="21"/>
                    </w:rPr>
                    <w:t>10</w:t>
                  </w:r>
                  <w:r>
                    <w:rPr>
                      <w:rFonts w:hint="eastAsia"/>
                      <w:color w:val="auto"/>
                      <w:szCs w:val="21"/>
                      <w:vertAlign w:val="superscript"/>
                    </w:rPr>
                    <w:t>-2</w:t>
                  </w:r>
                </w:p>
              </w:tc>
            </w:tr>
            <w:tr w14:paraId="43B110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7D2F96AB">
                  <w:pPr>
                    <w:widowControl/>
                    <w:jc w:val="center"/>
                    <w:rPr>
                      <w:color w:val="auto"/>
                      <w:szCs w:val="21"/>
                    </w:rPr>
                  </w:pPr>
                </w:p>
              </w:tc>
              <w:tc>
                <w:tcPr>
                  <w:tcW w:w="1150" w:type="dxa"/>
                  <w:vMerge w:val="continue"/>
                  <w:tcBorders>
                    <w:tl2br w:val="nil"/>
                    <w:tr2bl w:val="nil"/>
                  </w:tcBorders>
                  <w:vAlign w:val="center"/>
                </w:tcPr>
                <w:p w14:paraId="25B41004">
                  <w:pPr>
                    <w:widowControl/>
                    <w:jc w:val="center"/>
                    <w:rPr>
                      <w:color w:val="auto"/>
                      <w:szCs w:val="21"/>
                    </w:rPr>
                  </w:pPr>
                </w:p>
              </w:tc>
              <w:tc>
                <w:tcPr>
                  <w:tcW w:w="1362" w:type="dxa"/>
                  <w:vMerge w:val="continue"/>
                  <w:tcBorders>
                    <w:tl2br w:val="nil"/>
                    <w:tr2bl w:val="nil"/>
                  </w:tcBorders>
                  <w:vAlign w:val="center"/>
                </w:tcPr>
                <w:p w14:paraId="07D72087">
                  <w:pPr>
                    <w:widowControl/>
                    <w:jc w:val="center"/>
                    <w:rPr>
                      <w:color w:val="auto"/>
                      <w:szCs w:val="21"/>
                    </w:rPr>
                  </w:pPr>
                </w:p>
              </w:tc>
              <w:tc>
                <w:tcPr>
                  <w:tcW w:w="913" w:type="dxa"/>
                  <w:tcBorders>
                    <w:tl2br w:val="nil"/>
                    <w:tr2bl w:val="nil"/>
                  </w:tcBorders>
                  <w:vAlign w:val="center"/>
                </w:tcPr>
                <w:p w14:paraId="6307A1EC">
                  <w:pPr>
                    <w:jc w:val="center"/>
                    <w:rPr>
                      <w:color w:val="auto"/>
                      <w:szCs w:val="21"/>
                    </w:rPr>
                  </w:pPr>
                  <w:r>
                    <w:rPr>
                      <w:color w:val="auto"/>
                      <w:szCs w:val="21"/>
                    </w:rPr>
                    <w:t>第二次</w:t>
                  </w:r>
                </w:p>
              </w:tc>
              <w:tc>
                <w:tcPr>
                  <w:tcW w:w="1248" w:type="dxa"/>
                  <w:tcBorders>
                    <w:tl2br w:val="nil"/>
                    <w:tr2bl w:val="nil"/>
                  </w:tcBorders>
                  <w:vAlign w:val="center"/>
                </w:tcPr>
                <w:p w14:paraId="36DBD47E">
                  <w:pPr>
                    <w:widowControl/>
                    <w:jc w:val="center"/>
                    <w:rPr>
                      <w:color w:val="auto"/>
                      <w:szCs w:val="21"/>
                    </w:rPr>
                  </w:pPr>
                  <w:r>
                    <w:rPr>
                      <w:rFonts w:hint="eastAsia"/>
                      <w:color w:val="auto"/>
                      <w:szCs w:val="21"/>
                    </w:rPr>
                    <w:t>26270</w:t>
                  </w:r>
                </w:p>
              </w:tc>
              <w:tc>
                <w:tcPr>
                  <w:tcW w:w="1051" w:type="dxa"/>
                  <w:tcBorders>
                    <w:tl2br w:val="nil"/>
                    <w:tr2bl w:val="nil"/>
                  </w:tcBorders>
                  <w:vAlign w:val="center"/>
                </w:tcPr>
                <w:p w14:paraId="2A73C5FC">
                  <w:pPr>
                    <w:widowControl/>
                    <w:jc w:val="center"/>
                    <w:rPr>
                      <w:color w:val="auto"/>
                      <w:szCs w:val="21"/>
                    </w:rPr>
                  </w:pPr>
                  <w:r>
                    <w:rPr>
                      <w:rFonts w:hint="eastAsia"/>
                      <w:color w:val="auto"/>
                      <w:szCs w:val="21"/>
                    </w:rPr>
                    <w:t>1.2</w:t>
                  </w:r>
                </w:p>
              </w:tc>
              <w:tc>
                <w:tcPr>
                  <w:tcW w:w="1143" w:type="dxa"/>
                  <w:tcBorders>
                    <w:tl2br w:val="nil"/>
                    <w:tr2bl w:val="nil"/>
                  </w:tcBorders>
                  <w:vAlign w:val="center"/>
                </w:tcPr>
                <w:p w14:paraId="367F10B7">
                  <w:pPr>
                    <w:widowControl/>
                    <w:jc w:val="center"/>
                    <w:rPr>
                      <w:color w:val="auto"/>
                      <w:szCs w:val="21"/>
                    </w:rPr>
                  </w:pPr>
                  <w:r>
                    <w:rPr>
                      <w:rFonts w:hint="eastAsia"/>
                      <w:color w:val="auto"/>
                      <w:szCs w:val="21"/>
                    </w:rPr>
                    <w:t>3.15</w:t>
                  </w:r>
                  <w:r>
                    <w:rPr>
                      <w:rFonts w:ascii="Arial" w:hAnsi="Arial" w:cs="Arial"/>
                      <w:color w:val="auto"/>
                      <w:szCs w:val="21"/>
                    </w:rPr>
                    <w:t>×</w:t>
                  </w:r>
                  <w:r>
                    <w:rPr>
                      <w:rFonts w:hint="eastAsia"/>
                      <w:color w:val="auto"/>
                      <w:szCs w:val="21"/>
                    </w:rPr>
                    <w:t>10</w:t>
                  </w:r>
                  <w:r>
                    <w:rPr>
                      <w:rFonts w:hint="eastAsia"/>
                      <w:color w:val="auto"/>
                      <w:szCs w:val="21"/>
                      <w:vertAlign w:val="superscript"/>
                    </w:rPr>
                    <w:t>-2</w:t>
                  </w:r>
                </w:p>
              </w:tc>
            </w:tr>
            <w:tr w14:paraId="294376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7AE042E6">
                  <w:pPr>
                    <w:widowControl/>
                    <w:jc w:val="center"/>
                    <w:rPr>
                      <w:color w:val="auto"/>
                      <w:szCs w:val="21"/>
                    </w:rPr>
                  </w:pPr>
                </w:p>
              </w:tc>
              <w:tc>
                <w:tcPr>
                  <w:tcW w:w="1150" w:type="dxa"/>
                  <w:vMerge w:val="continue"/>
                  <w:tcBorders>
                    <w:tl2br w:val="nil"/>
                    <w:tr2bl w:val="nil"/>
                  </w:tcBorders>
                  <w:vAlign w:val="center"/>
                </w:tcPr>
                <w:p w14:paraId="08736B3E">
                  <w:pPr>
                    <w:widowControl/>
                    <w:jc w:val="center"/>
                    <w:rPr>
                      <w:color w:val="auto"/>
                      <w:szCs w:val="21"/>
                    </w:rPr>
                  </w:pPr>
                </w:p>
              </w:tc>
              <w:tc>
                <w:tcPr>
                  <w:tcW w:w="1362" w:type="dxa"/>
                  <w:vMerge w:val="continue"/>
                  <w:tcBorders>
                    <w:tl2br w:val="nil"/>
                    <w:tr2bl w:val="nil"/>
                  </w:tcBorders>
                  <w:vAlign w:val="center"/>
                </w:tcPr>
                <w:p w14:paraId="4EE5DC66">
                  <w:pPr>
                    <w:widowControl/>
                    <w:jc w:val="center"/>
                    <w:rPr>
                      <w:color w:val="auto"/>
                      <w:szCs w:val="21"/>
                    </w:rPr>
                  </w:pPr>
                </w:p>
              </w:tc>
              <w:tc>
                <w:tcPr>
                  <w:tcW w:w="913" w:type="dxa"/>
                  <w:tcBorders>
                    <w:tl2br w:val="nil"/>
                    <w:tr2bl w:val="nil"/>
                  </w:tcBorders>
                  <w:vAlign w:val="center"/>
                </w:tcPr>
                <w:p w14:paraId="63451BB4">
                  <w:pPr>
                    <w:jc w:val="center"/>
                    <w:rPr>
                      <w:color w:val="auto"/>
                      <w:szCs w:val="21"/>
                    </w:rPr>
                  </w:pPr>
                  <w:r>
                    <w:rPr>
                      <w:color w:val="auto"/>
                      <w:szCs w:val="21"/>
                    </w:rPr>
                    <w:t>第三次</w:t>
                  </w:r>
                </w:p>
              </w:tc>
              <w:tc>
                <w:tcPr>
                  <w:tcW w:w="1248" w:type="dxa"/>
                  <w:tcBorders>
                    <w:tl2br w:val="nil"/>
                    <w:tr2bl w:val="nil"/>
                  </w:tcBorders>
                  <w:vAlign w:val="center"/>
                </w:tcPr>
                <w:p w14:paraId="6D44C2BF">
                  <w:pPr>
                    <w:widowControl/>
                    <w:jc w:val="center"/>
                    <w:rPr>
                      <w:color w:val="auto"/>
                      <w:szCs w:val="21"/>
                    </w:rPr>
                  </w:pPr>
                  <w:r>
                    <w:rPr>
                      <w:rFonts w:hint="eastAsia"/>
                      <w:color w:val="auto"/>
                      <w:szCs w:val="21"/>
                    </w:rPr>
                    <w:t>25096</w:t>
                  </w:r>
                </w:p>
              </w:tc>
              <w:tc>
                <w:tcPr>
                  <w:tcW w:w="1051" w:type="dxa"/>
                  <w:tcBorders>
                    <w:tl2br w:val="nil"/>
                    <w:tr2bl w:val="nil"/>
                  </w:tcBorders>
                  <w:vAlign w:val="center"/>
                </w:tcPr>
                <w:p w14:paraId="01F00AFB">
                  <w:pPr>
                    <w:widowControl/>
                    <w:jc w:val="center"/>
                    <w:rPr>
                      <w:color w:val="auto"/>
                      <w:szCs w:val="21"/>
                    </w:rPr>
                  </w:pPr>
                  <w:r>
                    <w:rPr>
                      <w:rFonts w:hint="eastAsia"/>
                      <w:color w:val="auto"/>
                      <w:szCs w:val="21"/>
                    </w:rPr>
                    <w:t>1.1</w:t>
                  </w:r>
                </w:p>
              </w:tc>
              <w:tc>
                <w:tcPr>
                  <w:tcW w:w="1143" w:type="dxa"/>
                  <w:tcBorders>
                    <w:tl2br w:val="nil"/>
                    <w:tr2bl w:val="nil"/>
                  </w:tcBorders>
                  <w:vAlign w:val="center"/>
                </w:tcPr>
                <w:p w14:paraId="70E200BE">
                  <w:pPr>
                    <w:widowControl/>
                    <w:jc w:val="center"/>
                    <w:rPr>
                      <w:color w:val="auto"/>
                      <w:szCs w:val="21"/>
                    </w:rPr>
                  </w:pPr>
                  <w:r>
                    <w:rPr>
                      <w:rFonts w:hint="eastAsia"/>
                      <w:color w:val="auto"/>
                      <w:szCs w:val="21"/>
                    </w:rPr>
                    <w:t>2.76</w:t>
                  </w:r>
                  <w:r>
                    <w:rPr>
                      <w:rFonts w:ascii="Arial" w:hAnsi="Arial" w:cs="Arial"/>
                      <w:color w:val="auto"/>
                      <w:szCs w:val="21"/>
                    </w:rPr>
                    <w:t>×</w:t>
                  </w:r>
                  <w:r>
                    <w:rPr>
                      <w:rFonts w:hint="eastAsia"/>
                      <w:color w:val="auto"/>
                      <w:szCs w:val="21"/>
                    </w:rPr>
                    <w:t>10</w:t>
                  </w:r>
                  <w:r>
                    <w:rPr>
                      <w:rFonts w:hint="eastAsia"/>
                      <w:color w:val="auto"/>
                      <w:szCs w:val="21"/>
                      <w:vertAlign w:val="superscript"/>
                    </w:rPr>
                    <w:t>-2</w:t>
                  </w:r>
                </w:p>
              </w:tc>
            </w:tr>
            <w:tr w14:paraId="2C7036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1C2FB317">
                  <w:pPr>
                    <w:widowControl/>
                    <w:jc w:val="center"/>
                    <w:rPr>
                      <w:color w:val="auto"/>
                      <w:szCs w:val="21"/>
                    </w:rPr>
                  </w:pPr>
                </w:p>
              </w:tc>
              <w:tc>
                <w:tcPr>
                  <w:tcW w:w="1150" w:type="dxa"/>
                  <w:vMerge w:val="continue"/>
                  <w:tcBorders>
                    <w:tl2br w:val="nil"/>
                    <w:tr2bl w:val="nil"/>
                  </w:tcBorders>
                  <w:vAlign w:val="center"/>
                </w:tcPr>
                <w:p w14:paraId="6CF63F30">
                  <w:pPr>
                    <w:widowControl/>
                    <w:jc w:val="center"/>
                    <w:rPr>
                      <w:color w:val="auto"/>
                      <w:szCs w:val="21"/>
                    </w:rPr>
                  </w:pPr>
                </w:p>
              </w:tc>
              <w:tc>
                <w:tcPr>
                  <w:tcW w:w="1362" w:type="dxa"/>
                  <w:vMerge w:val="continue"/>
                  <w:tcBorders>
                    <w:tl2br w:val="nil"/>
                    <w:tr2bl w:val="nil"/>
                  </w:tcBorders>
                  <w:vAlign w:val="center"/>
                </w:tcPr>
                <w:p w14:paraId="3DE2F95E">
                  <w:pPr>
                    <w:widowControl/>
                    <w:jc w:val="center"/>
                    <w:rPr>
                      <w:color w:val="auto"/>
                      <w:szCs w:val="21"/>
                    </w:rPr>
                  </w:pPr>
                </w:p>
              </w:tc>
              <w:tc>
                <w:tcPr>
                  <w:tcW w:w="913" w:type="dxa"/>
                  <w:tcBorders>
                    <w:tl2br w:val="nil"/>
                    <w:tr2bl w:val="nil"/>
                  </w:tcBorders>
                  <w:vAlign w:val="center"/>
                </w:tcPr>
                <w:p w14:paraId="47855866">
                  <w:pPr>
                    <w:jc w:val="center"/>
                    <w:rPr>
                      <w:color w:val="auto"/>
                      <w:szCs w:val="21"/>
                    </w:rPr>
                  </w:pPr>
                  <w:r>
                    <w:rPr>
                      <w:color w:val="auto"/>
                      <w:szCs w:val="21"/>
                    </w:rPr>
                    <w:t>均值</w:t>
                  </w:r>
                </w:p>
              </w:tc>
              <w:tc>
                <w:tcPr>
                  <w:tcW w:w="1248" w:type="dxa"/>
                  <w:tcBorders>
                    <w:tl2br w:val="nil"/>
                    <w:tr2bl w:val="nil"/>
                  </w:tcBorders>
                  <w:vAlign w:val="center"/>
                </w:tcPr>
                <w:p w14:paraId="619D254F">
                  <w:pPr>
                    <w:widowControl/>
                    <w:jc w:val="center"/>
                    <w:rPr>
                      <w:color w:val="auto"/>
                      <w:szCs w:val="21"/>
                    </w:rPr>
                  </w:pPr>
                  <w:r>
                    <w:rPr>
                      <w:rFonts w:hint="eastAsia"/>
                      <w:color w:val="auto"/>
                      <w:szCs w:val="21"/>
                    </w:rPr>
                    <w:t>25975</w:t>
                  </w:r>
                </w:p>
              </w:tc>
              <w:tc>
                <w:tcPr>
                  <w:tcW w:w="1051" w:type="dxa"/>
                  <w:tcBorders>
                    <w:tl2br w:val="nil"/>
                    <w:tr2bl w:val="nil"/>
                  </w:tcBorders>
                  <w:vAlign w:val="center"/>
                </w:tcPr>
                <w:p w14:paraId="64AD22E3">
                  <w:pPr>
                    <w:widowControl/>
                    <w:jc w:val="center"/>
                    <w:rPr>
                      <w:color w:val="auto"/>
                      <w:szCs w:val="21"/>
                    </w:rPr>
                  </w:pPr>
                  <w:r>
                    <w:rPr>
                      <w:rFonts w:hint="eastAsia"/>
                      <w:color w:val="auto"/>
                      <w:szCs w:val="21"/>
                    </w:rPr>
                    <w:t>1.2</w:t>
                  </w:r>
                </w:p>
              </w:tc>
              <w:tc>
                <w:tcPr>
                  <w:tcW w:w="1143" w:type="dxa"/>
                  <w:tcBorders>
                    <w:tl2br w:val="nil"/>
                    <w:tr2bl w:val="nil"/>
                  </w:tcBorders>
                  <w:vAlign w:val="center"/>
                </w:tcPr>
                <w:p w14:paraId="61203A7A">
                  <w:pPr>
                    <w:widowControl/>
                    <w:jc w:val="center"/>
                    <w:rPr>
                      <w:color w:val="auto"/>
                      <w:szCs w:val="21"/>
                    </w:rPr>
                  </w:pPr>
                  <w:r>
                    <w:rPr>
                      <w:rFonts w:hint="eastAsia"/>
                      <w:color w:val="auto"/>
                      <w:szCs w:val="21"/>
                    </w:rPr>
                    <w:t>3.21</w:t>
                  </w:r>
                  <w:r>
                    <w:rPr>
                      <w:rFonts w:ascii="Arial" w:hAnsi="Arial" w:cs="Arial"/>
                      <w:color w:val="auto"/>
                      <w:szCs w:val="21"/>
                    </w:rPr>
                    <w:t>×</w:t>
                  </w:r>
                  <w:r>
                    <w:rPr>
                      <w:rFonts w:hint="eastAsia"/>
                      <w:color w:val="auto"/>
                      <w:szCs w:val="21"/>
                    </w:rPr>
                    <w:t>10</w:t>
                  </w:r>
                  <w:r>
                    <w:rPr>
                      <w:rFonts w:hint="eastAsia"/>
                      <w:color w:val="auto"/>
                      <w:szCs w:val="21"/>
                      <w:vertAlign w:val="superscript"/>
                    </w:rPr>
                    <w:t>-2</w:t>
                  </w:r>
                </w:p>
              </w:tc>
            </w:tr>
            <w:tr w14:paraId="50084C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67DE56F1">
                  <w:pPr>
                    <w:widowControl/>
                    <w:jc w:val="center"/>
                    <w:rPr>
                      <w:color w:val="auto"/>
                      <w:szCs w:val="21"/>
                    </w:rPr>
                  </w:pPr>
                </w:p>
              </w:tc>
              <w:tc>
                <w:tcPr>
                  <w:tcW w:w="1150" w:type="dxa"/>
                  <w:vMerge w:val="continue"/>
                  <w:tcBorders>
                    <w:tl2br w:val="nil"/>
                    <w:tr2bl w:val="nil"/>
                  </w:tcBorders>
                  <w:vAlign w:val="center"/>
                </w:tcPr>
                <w:p w14:paraId="57BA5B01">
                  <w:pPr>
                    <w:widowControl/>
                    <w:jc w:val="center"/>
                    <w:rPr>
                      <w:color w:val="auto"/>
                      <w:szCs w:val="21"/>
                    </w:rPr>
                  </w:pPr>
                </w:p>
              </w:tc>
              <w:tc>
                <w:tcPr>
                  <w:tcW w:w="1362" w:type="dxa"/>
                  <w:vMerge w:val="restart"/>
                  <w:tcBorders>
                    <w:tl2br w:val="nil"/>
                    <w:tr2bl w:val="nil"/>
                  </w:tcBorders>
                  <w:vAlign w:val="center"/>
                </w:tcPr>
                <w:p w14:paraId="23420E15">
                  <w:pPr>
                    <w:widowControl/>
                    <w:jc w:val="center"/>
                    <w:rPr>
                      <w:color w:val="auto"/>
                      <w:szCs w:val="21"/>
                    </w:rPr>
                  </w:pPr>
                  <w:r>
                    <w:rPr>
                      <w:rFonts w:hint="eastAsia"/>
                      <w:color w:val="auto"/>
                      <w:szCs w:val="21"/>
                    </w:rPr>
                    <w:t>挥发性有机物（24种）</w:t>
                  </w:r>
                </w:p>
              </w:tc>
              <w:tc>
                <w:tcPr>
                  <w:tcW w:w="913" w:type="dxa"/>
                  <w:tcBorders>
                    <w:tl2br w:val="nil"/>
                    <w:tr2bl w:val="nil"/>
                  </w:tcBorders>
                  <w:vAlign w:val="center"/>
                </w:tcPr>
                <w:p w14:paraId="3822F181">
                  <w:pPr>
                    <w:jc w:val="center"/>
                    <w:rPr>
                      <w:color w:val="auto"/>
                      <w:szCs w:val="21"/>
                    </w:rPr>
                  </w:pPr>
                  <w:r>
                    <w:rPr>
                      <w:color w:val="auto"/>
                      <w:szCs w:val="21"/>
                    </w:rPr>
                    <w:t>第一次</w:t>
                  </w:r>
                </w:p>
              </w:tc>
              <w:tc>
                <w:tcPr>
                  <w:tcW w:w="1248" w:type="dxa"/>
                  <w:tcBorders>
                    <w:tl2br w:val="nil"/>
                    <w:tr2bl w:val="nil"/>
                  </w:tcBorders>
                  <w:vAlign w:val="center"/>
                </w:tcPr>
                <w:p w14:paraId="2F97AC58">
                  <w:pPr>
                    <w:widowControl/>
                    <w:jc w:val="center"/>
                    <w:rPr>
                      <w:color w:val="auto"/>
                      <w:szCs w:val="21"/>
                    </w:rPr>
                  </w:pPr>
                  <w:r>
                    <w:rPr>
                      <w:rFonts w:hint="eastAsia"/>
                      <w:color w:val="auto"/>
                      <w:szCs w:val="21"/>
                    </w:rPr>
                    <w:t>26560</w:t>
                  </w:r>
                </w:p>
              </w:tc>
              <w:tc>
                <w:tcPr>
                  <w:tcW w:w="1051" w:type="dxa"/>
                  <w:tcBorders>
                    <w:tl2br w:val="nil"/>
                    <w:tr2bl w:val="nil"/>
                  </w:tcBorders>
                  <w:vAlign w:val="center"/>
                </w:tcPr>
                <w:p w14:paraId="68BB7492">
                  <w:pPr>
                    <w:widowControl/>
                    <w:jc w:val="center"/>
                    <w:rPr>
                      <w:color w:val="auto"/>
                      <w:szCs w:val="21"/>
                    </w:rPr>
                  </w:pPr>
                  <w:r>
                    <w:rPr>
                      <w:rFonts w:hint="eastAsia"/>
                      <w:color w:val="auto"/>
                      <w:szCs w:val="21"/>
                    </w:rPr>
                    <w:t>2.41</w:t>
                  </w:r>
                </w:p>
              </w:tc>
              <w:tc>
                <w:tcPr>
                  <w:tcW w:w="1143" w:type="dxa"/>
                  <w:tcBorders>
                    <w:tl2br w:val="nil"/>
                    <w:tr2bl w:val="nil"/>
                  </w:tcBorders>
                  <w:vAlign w:val="center"/>
                </w:tcPr>
                <w:p w14:paraId="7A74059D">
                  <w:pPr>
                    <w:widowControl/>
                    <w:jc w:val="center"/>
                    <w:rPr>
                      <w:color w:val="auto"/>
                      <w:szCs w:val="21"/>
                    </w:rPr>
                  </w:pPr>
                  <w:r>
                    <w:rPr>
                      <w:rFonts w:hint="eastAsia"/>
                      <w:color w:val="auto"/>
                      <w:szCs w:val="21"/>
                    </w:rPr>
                    <w:t>6.40</w:t>
                  </w:r>
                  <w:r>
                    <w:rPr>
                      <w:rFonts w:ascii="Arial" w:hAnsi="Arial" w:cs="Arial"/>
                      <w:color w:val="auto"/>
                      <w:szCs w:val="21"/>
                    </w:rPr>
                    <w:t>×</w:t>
                  </w:r>
                  <w:r>
                    <w:rPr>
                      <w:rFonts w:hint="eastAsia"/>
                      <w:color w:val="auto"/>
                      <w:szCs w:val="21"/>
                    </w:rPr>
                    <w:t>10</w:t>
                  </w:r>
                  <w:r>
                    <w:rPr>
                      <w:rFonts w:hint="eastAsia"/>
                      <w:color w:val="auto"/>
                      <w:szCs w:val="21"/>
                      <w:vertAlign w:val="superscript"/>
                    </w:rPr>
                    <w:t>-2</w:t>
                  </w:r>
                </w:p>
              </w:tc>
            </w:tr>
            <w:tr w14:paraId="506C1F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696D8214">
                  <w:pPr>
                    <w:widowControl/>
                    <w:jc w:val="center"/>
                    <w:rPr>
                      <w:color w:val="auto"/>
                      <w:szCs w:val="21"/>
                    </w:rPr>
                  </w:pPr>
                </w:p>
              </w:tc>
              <w:tc>
                <w:tcPr>
                  <w:tcW w:w="1150" w:type="dxa"/>
                  <w:vMerge w:val="continue"/>
                  <w:tcBorders>
                    <w:tl2br w:val="nil"/>
                    <w:tr2bl w:val="nil"/>
                  </w:tcBorders>
                  <w:vAlign w:val="center"/>
                </w:tcPr>
                <w:p w14:paraId="292436B3">
                  <w:pPr>
                    <w:widowControl/>
                    <w:jc w:val="center"/>
                    <w:rPr>
                      <w:color w:val="auto"/>
                      <w:szCs w:val="21"/>
                    </w:rPr>
                  </w:pPr>
                </w:p>
              </w:tc>
              <w:tc>
                <w:tcPr>
                  <w:tcW w:w="1362" w:type="dxa"/>
                  <w:vMerge w:val="continue"/>
                  <w:tcBorders>
                    <w:tl2br w:val="nil"/>
                    <w:tr2bl w:val="nil"/>
                  </w:tcBorders>
                  <w:vAlign w:val="center"/>
                </w:tcPr>
                <w:p w14:paraId="6D53270C">
                  <w:pPr>
                    <w:widowControl/>
                    <w:jc w:val="center"/>
                    <w:rPr>
                      <w:color w:val="auto"/>
                      <w:szCs w:val="21"/>
                    </w:rPr>
                  </w:pPr>
                </w:p>
              </w:tc>
              <w:tc>
                <w:tcPr>
                  <w:tcW w:w="913" w:type="dxa"/>
                  <w:tcBorders>
                    <w:tl2br w:val="nil"/>
                    <w:tr2bl w:val="nil"/>
                  </w:tcBorders>
                  <w:vAlign w:val="center"/>
                </w:tcPr>
                <w:p w14:paraId="2A0DF624">
                  <w:pPr>
                    <w:jc w:val="center"/>
                    <w:rPr>
                      <w:color w:val="auto"/>
                      <w:szCs w:val="21"/>
                    </w:rPr>
                  </w:pPr>
                  <w:r>
                    <w:rPr>
                      <w:color w:val="auto"/>
                      <w:szCs w:val="21"/>
                    </w:rPr>
                    <w:t>第二次</w:t>
                  </w:r>
                </w:p>
              </w:tc>
              <w:tc>
                <w:tcPr>
                  <w:tcW w:w="1248" w:type="dxa"/>
                  <w:tcBorders>
                    <w:tl2br w:val="nil"/>
                    <w:tr2bl w:val="nil"/>
                  </w:tcBorders>
                  <w:vAlign w:val="center"/>
                </w:tcPr>
                <w:p w14:paraId="74A88370">
                  <w:pPr>
                    <w:widowControl/>
                    <w:jc w:val="center"/>
                    <w:rPr>
                      <w:color w:val="auto"/>
                      <w:szCs w:val="21"/>
                    </w:rPr>
                  </w:pPr>
                  <w:r>
                    <w:rPr>
                      <w:rFonts w:hint="eastAsia"/>
                      <w:color w:val="auto"/>
                      <w:szCs w:val="21"/>
                    </w:rPr>
                    <w:t>26270</w:t>
                  </w:r>
                </w:p>
              </w:tc>
              <w:tc>
                <w:tcPr>
                  <w:tcW w:w="1051" w:type="dxa"/>
                  <w:tcBorders>
                    <w:tl2br w:val="nil"/>
                    <w:tr2bl w:val="nil"/>
                  </w:tcBorders>
                  <w:vAlign w:val="center"/>
                </w:tcPr>
                <w:p w14:paraId="7FC76103">
                  <w:pPr>
                    <w:widowControl/>
                    <w:jc w:val="center"/>
                    <w:rPr>
                      <w:color w:val="auto"/>
                      <w:szCs w:val="21"/>
                    </w:rPr>
                  </w:pPr>
                  <w:r>
                    <w:rPr>
                      <w:rFonts w:hint="eastAsia"/>
                      <w:color w:val="auto"/>
                      <w:szCs w:val="21"/>
                    </w:rPr>
                    <w:t>2.32</w:t>
                  </w:r>
                </w:p>
              </w:tc>
              <w:tc>
                <w:tcPr>
                  <w:tcW w:w="1143" w:type="dxa"/>
                  <w:tcBorders>
                    <w:tl2br w:val="nil"/>
                    <w:tr2bl w:val="nil"/>
                  </w:tcBorders>
                  <w:vAlign w:val="center"/>
                </w:tcPr>
                <w:p w14:paraId="1EE19DB6">
                  <w:pPr>
                    <w:widowControl/>
                    <w:jc w:val="center"/>
                    <w:rPr>
                      <w:color w:val="auto"/>
                      <w:szCs w:val="21"/>
                    </w:rPr>
                  </w:pPr>
                  <w:r>
                    <w:rPr>
                      <w:rFonts w:hint="eastAsia"/>
                      <w:color w:val="auto"/>
                      <w:szCs w:val="21"/>
                    </w:rPr>
                    <w:t>6.09</w:t>
                  </w:r>
                  <w:r>
                    <w:rPr>
                      <w:rFonts w:ascii="Arial" w:hAnsi="Arial" w:cs="Arial"/>
                      <w:color w:val="auto"/>
                      <w:szCs w:val="21"/>
                    </w:rPr>
                    <w:t>×</w:t>
                  </w:r>
                  <w:r>
                    <w:rPr>
                      <w:rFonts w:hint="eastAsia"/>
                      <w:color w:val="auto"/>
                      <w:szCs w:val="21"/>
                    </w:rPr>
                    <w:t>10</w:t>
                  </w:r>
                  <w:r>
                    <w:rPr>
                      <w:rFonts w:hint="eastAsia"/>
                      <w:color w:val="auto"/>
                      <w:szCs w:val="21"/>
                      <w:vertAlign w:val="superscript"/>
                    </w:rPr>
                    <w:t>-2</w:t>
                  </w:r>
                </w:p>
              </w:tc>
            </w:tr>
            <w:tr w14:paraId="0E7B5B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5EF0A1BF">
                  <w:pPr>
                    <w:widowControl/>
                    <w:jc w:val="center"/>
                    <w:rPr>
                      <w:color w:val="auto"/>
                      <w:szCs w:val="21"/>
                    </w:rPr>
                  </w:pPr>
                </w:p>
              </w:tc>
              <w:tc>
                <w:tcPr>
                  <w:tcW w:w="1150" w:type="dxa"/>
                  <w:vMerge w:val="continue"/>
                  <w:tcBorders>
                    <w:tl2br w:val="nil"/>
                    <w:tr2bl w:val="nil"/>
                  </w:tcBorders>
                  <w:vAlign w:val="center"/>
                </w:tcPr>
                <w:p w14:paraId="5079FCAB">
                  <w:pPr>
                    <w:widowControl/>
                    <w:jc w:val="center"/>
                    <w:rPr>
                      <w:color w:val="auto"/>
                      <w:szCs w:val="21"/>
                    </w:rPr>
                  </w:pPr>
                </w:p>
              </w:tc>
              <w:tc>
                <w:tcPr>
                  <w:tcW w:w="1362" w:type="dxa"/>
                  <w:vMerge w:val="continue"/>
                  <w:tcBorders>
                    <w:tl2br w:val="nil"/>
                    <w:tr2bl w:val="nil"/>
                  </w:tcBorders>
                  <w:vAlign w:val="center"/>
                </w:tcPr>
                <w:p w14:paraId="72DF159E">
                  <w:pPr>
                    <w:widowControl/>
                    <w:jc w:val="center"/>
                    <w:rPr>
                      <w:color w:val="auto"/>
                      <w:szCs w:val="21"/>
                    </w:rPr>
                  </w:pPr>
                </w:p>
              </w:tc>
              <w:tc>
                <w:tcPr>
                  <w:tcW w:w="913" w:type="dxa"/>
                  <w:tcBorders>
                    <w:tl2br w:val="nil"/>
                    <w:tr2bl w:val="nil"/>
                  </w:tcBorders>
                  <w:vAlign w:val="center"/>
                </w:tcPr>
                <w:p w14:paraId="734D4502">
                  <w:pPr>
                    <w:jc w:val="center"/>
                    <w:rPr>
                      <w:color w:val="auto"/>
                      <w:szCs w:val="21"/>
                    </w:rPr>
                  </w:pPr>
                  <w:r>
                    <w:rPr>
                      <w:color w:val="auto"/>
                      <w:szCs w:val="21"/>
                    </w:rPr>
                    <w:t>第三次</w:t>
                  </w:r>
                </w:p>
              </w:tc>
              <w:tc>
                <w:tcPr>
                  <w:tcW w:w="1248" w:type="dxa"/>
                  <w:tcBorders>
                    <w:tl2br w:val="nil"/>
                    <w:tr2bl w:val="nil"/>
                  </w:tcBorders>
                  <w:vAlign w:val="center"/>
                </w:tcPr>
                <w:p w14:paraId="765D4C3E">
                  <w:pPr>
                    <w:widowControl/>
                    <w:jc w:val="center"/>
                    <w:rPr>
                      <w:color w:val="auto"/>
                      <w:szCs w:val="21"/>
                    </w:rPr>
                  </w:pPr>
                  <w:r>
                    <w:rPr>
                      <w:rFonts w:hint="eastAsia"/>
                      <w:color w:val="auto"/>
                      <w:szCs w:val="21"/>
                    </w:rPr>
                    <w:t>25096</w:t>
                  </w:r>
                </w:p>
              </w:tc>
              <w:tc>
                <w:tcPr>
                  <w:tcW w:w="1051" w:type="dxa"/>
                  <w:tcBorders>
                    <w:tl2br w:val="nil"/>
                    <w:tr2bl w:val="nil"/>
                  </w:tcBorders>
                  <w:vAlign w:val="center"/>
                </w:tcPr>
                <w:p w14:paraId="7442E3BA">
                  <w:pPr>
                    <w:widowControl/>
                    <w:jc w:val="center"/>
                    <w:rPr>
                      <w:color w:val="auto"/>
                      <w:szCs w:val="21"/>
                    </w:rPr>
                  </w:pPr>
                  <w:r>
                    <w:rPr>
                      <w:rFonts w:hint="eastAsia"/>
                      <w:color w:val="auto"/>
                      <w:szCs w:val="21"/>
                    </w:rPr>
                    <w:t>1.99</w:t>
                  </w:r>
                </w:p>
              </w:tc>
              <w:tc>
                <w:tcPr>
                  <w:tcW w:w="1143" w:type="dxa"/>
                  <w:tcBorders>
                    <w:tl2br w:val="nil"/>
                    <w:tr2bl w:val="nil"/>
                  </w:tcBorders>
                  <w:vAlign w:val="center"/>
                </w:tcPr>
                <w:p w14:paraId="4527447D">
                  <w:pPr>
                    <w:widowControl/>
                    <w:jc w:val="center"/>
                    <w:rPr>
                      <w:color w:val="auto"/>
                      <w:szCs w:val="21"/>
                    </w:rPr>
                  </w:pPr>
                  <w:r>
                    <w:rPr>
                      <w:rFonts w:hint="eastAsia"/>
                      <w:color w:val="auto"/>
                      <w:szCs w:val="21"/>
                    </w:rPr>
                    <w:t>4.99</w:t>
                  </w:r>
                  <w:r>
                    <w:rPr>
                      <w:rFonts w:ascii="Arial" w:hAnsi="Arial" w:cs="Arial"/>
                      <w:color w:val="auto"/>
                      <w:szCs w:val="21"/>
                    </w:rPr>
                    <w:t>×</w:t>
                  </w:r>
                  <w:r>
                    <w:rPr>
                      <w:rFonts w:hint="eastAsia"/>
                      <w:color w:val="auto"/>
                      <w:szCs w:val="21"/>
                    </w:rPr>
                    <w:t>10</w:t>
                  </w:r>
                  <w:r>
                    <w:rPr>
                      <w:rFonts w:hint="eastAsia"/>
                      <w:color w:val="auto"/>
                      <w:szCs w:val="21"/>
                      <w:vertAlign w:val="superscript"/>
                    </w:rPr>
                    <w:t>-2</w:t>
                  </w:r>
                </w:p>
              </w:tc>
            </w:tr>
            <w:tr w14:paraId="123D73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2D67CEE3">
                  <w:pPr>
                    <w:widowControl/>
                    <w:jc w:val="center"/>
                    <w:rPr>
                      <w:color w:val="auto"/>
                      <w:szCs w:val="21"/>
                    </w:rPr>
                  </w:pPr>
                </w:p>
              </w:tc>
              <w:tc>
                <w:tcPr>
                  <w:tcW w:w="1150" w:type="dxa"/>
                  <w:vMerge w:val="continue"/>
                  <w:tcBorders>
                    <w:tl2br w:val="nil"/>
                    <w:tr2bl w:val="nil"/>
                  </w:tcBorders>
                  <w:vAlign w:val="center"/>
                </w:tcPr>
                <w:p w14:paraId="027895E3">
                  <w:pPr>
                    <w:widowControl/>
                    <w:jc w:val="center"/>
                    <w:rPr>
                      <w:color w:val="auto"/>
                      <w:szCs w:val="21"/>
                    </w:rPr>
                  </w:pPr>
                </w:p>
              </w:tc>
              <w:tc>
                <w:tcPr>
                  <w:tcW w:w="1362" w:type="dxa"/>
                  <w:vMerge w:val="continue"/>
                  <w:tcBorders>
                    <w:tl2br w:val="nil"/>
                    <w:tr2bl w:val="nil"/>
                  </w:tcBorders>
                  <w:vAlign w:val="center"/>
                </w:tcPr>
                <w:p w14:paraId="671ADA83">
                  <w:pPr>
                    <w:widowControl/>
                    <w:jc w:val="center"/>
                    <w:rPr>
                      <w:color w:val="auto"/>
                      <w:szCs w:val="21"/>
                    </w:rPr>
                  </w:pPr>
                </w:p>
              </w:tc>
              <w:tc>
                <w:tcPr>
                  <w:tcW w:w="913" w:type="dxa"/>
                  <w:tcBorders>
                    <w:tl2br w:val="nil"/>
                    <w:tr2bl w:val="nil"/>
                  </w:tcBorders>
                  <w:vAlign w:val="center"/>
                </w:tcPr>
                <w:p w14:paraId="0C3DC483">
                  <w:pPr>
                    <w:jc w:val="center"/>
                    <w:rPr>
                      <w:color w:val="auto"/>
                      <w:szCs w:val="21"/>
                    </w:rPr>
                  </w:pPr>
                  <w:r>
                    <w:rPr>
                      <w:color w:val="auto"/>
                      <w:szCs w:val="21"/>
                    </w:rPr>
                    <w:t>均值</w:t>
                  </w:r>
                </w:p>
              </w:tc>
              <w:tc>
                <w:tcPr>
                  <w:tcW w:w="1248" w:type="dxa"/>
                  <w:tcBorders>
                    <w:tl2br w:val="nil"/>
                    <w:tr2bl w:val="nil"/>
                  </w:tcBorders>
                  <w:vAlign w:val="center"/>
                </w:tcPr>
                <w:p w14:paraId="38A895CE">
                  <w:pPr>
                    <w:widowControl/>
                    <w:jc w:val="center"/>
                    <w:rPr>
                      <w:color w:val="auto"/>
                      <w:szCs w:val="21"/>
                    </w:rPr>
                  </w:pPr>
                  <w:r>
                    <w:rPr>
                      <w:rFonts w:hint="eastAsia"/>
                      <w:color w:val="auto"/>
                      <w:szCs w:val="21"/>
                    </w:rPr>
                    <w:t>25975</w:t>
                  </w:r>
                </w:p>
              </w:tc>
              <w:tc>
                <w:tcPr>
                  <w:tcW w:w="1051" w:type="dxa"/>
                  <w:tcBorders>
                    <w:tl2br w:val="nil"/>
                    <w:tr2bl w:val="nil"/>
                  </w:tcBorders>
                  <w:vAlign w:val="center"/>
                </w:tcPr>
                <w:p w14:paraId="3687CCDD">
                  <w:pPr>
                    <w:widowControl/>
                    <w:jc w:val="center"/>
                    <w:rPr>
                      <w:color w:val="auto"/>
                      <w:szCs w:val="21"/>
                    </w:rPr>
                  </w:pPr>
                  <w:r>
                    <w:rPr>
                      <w:rFonts w:hint="eastAsia"/>
                      <w:color w:val="auto"/>
                      <w:szCs w:val="21"/>
                    </w:rPr>
                    <w:t>2.24</w:t>
                  </w:r>
                </w:p>
              </w:tc>
              <w:tc>
                <w:tcPr>
                  <w:tcW w:w="1143" w:type="dxa"/>
                  <w:tcBorders>
                    <w:tl2br w:val="nil"/>
                    <w:tr2bl w:val="nil"/>
                  </w:tcBorders>
                  <w:vAlign w:val="center"/>
                </w:tcPr>
                <w:p w14:paraId="12CB09A3">
                  <w:pPr>
                    <w:widowControl/>
                    <w:jc w:val="center"/>
                    <w:rPr>
                      <w:color w:val="auto"/>
                      <w:szCs w:val="21"/>
                    </w:rPr>
                  </w:pPr>
                  <w:r>
                    <w:rPr>
                      <w:rFonts w:hint="eastAsia"/>
                      <w:color w:val="auto"/>
                      <w:szCs w:val="21"/>
                    </w:rPr>
                    <w:t>5.83</w:t>
                  </w:r>
                  <w:r>
                    <w:rPr>
                      <w:rFonts w:ascii="Arial" w:hAnsi="Arial" w:cs="Arial"/>
                      <w:color w:val="auto"/>
                      <w:szCs w:val="21"/>
                    </w:rPr>
                    <w:t>×</w:t>
                  </w:r>
                  <w:r>
                    <w:rPr>
                      <w:rFonts w:hint="eastAsia"/>
                      <w:color w:val="auto"/>
                      <w:szCs w:val="21"/>
                    </w:rPr>
                    <w:t>10</w:t>
                  </w:r>
                  <w:r>
                    <w:rPr>
                      <w:rFonts w:hint="eastAsia"/>
                      <w:color w:val="auto"/>
                      <w:szCs w:val="21"/>
                      <w:vertAlign w:val="superscript"/>
                    </w:rPr>
                    <w:t>-2</w:t>
                  </w:r>
                </w:p>
              </w:tc>
            </w:tr>
            <w:tr w14:paraId="0D25A3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5A81114E">
                  <w:pPr>
                    <w:widowControl/>
                    <w:jc w:val="center"/>
                    <w:rPr>
                      <w:color w:val="auto"/>
                      <w:szCs w:val="21"/>
                    </w:rPr>
                  </w:pPr>
                </w:p>
              </w:tc>
              <w:tc>
                <w:tcPr>
                  <w:tcW w:w="1150" w:type="dxa"/>
                  <w:vMerge w:val="restart"/>
                  <w:tcBorders>
                    <w:tl2br w:val="nil"/>
                    <w:tr2bl w:val="nil"/>
                  </w:tcBorders>
                  <w:vAlign w:val="center"/>
                </w:tcPr>
                <w:p w14:paraId="2481C3D7">
                  <w:pPr>
                    <w:widowControl/>
                    <w:jc w:val="center"/>
                    <w:rPr>
                      <w:color w:val="auto"/>
                      <w:szCs w:val="21"/>
                    </w:rPr>
                  </w:pPr>
                  <w:r>
                    <w:rPr>
                      <w:rFonts w:hint="eastAsia"/>
                      <w:color w:val="auto"/>
                      <w:szCs w:val="21"/>
                    </w:rPr>
                    <w:t>DA004</w:t>
                  </w:r>
                </w:p>
                <w:p w14:paraId="2142D52A">
                  <w:pPr>
                    <w:widowControl/>
                    <w:jc w:val="center"/>
                    <w:rPr>
                      <w:color w:val="auto"/>
                      <w:szCs w:val="21"/>
                    </w:rPr>
                  </w:pPr>
                  <w:r>
                    <w:rPr>
                      <w:rFonts w:hint="eastAsia"/>
                      <w:color w:val="auto"/>
                      <w:szCs w:val="21"/>
                    </w:rPr>
                    <w:t>4#废气排口</w:t>
                  </w:r>
                </w:p>
                <w:p w14:paraId="1BF87FBB">
                  <w:pPr>
                    <w:widowControl/>
                    <w:jc w:val="center"/>
                    <w:rPr>
                      <w:color w:val="auto"/>
                      <w:szCs w:val="21"/>
                    </w:rPr>
                  </w:pPr>
                  <w:r>
                    <w:rPr>
                      <w:rFonts w:hint="eastAsia" w:ascii="宋体" w:hAnsi="宋体" w:cs="宋体"/>
                      <w:color w:val="auto"/>
                      <w:szCs w:val="21"/>
                    </w:rPr>
                    <w:t>◎</w:t>
                  </w:r>
                  <w:r>
                    <w:rPr>
                      <w:rFonts w:hint="eastAsia"/>
                      <w:color w:val="auto"/>
                      <w:szCs w:val="21"/>
                    </w:rPr>
                    <w:t>6/15m</w:t>
                  </w:r>
                </w:p>
              </w:tc>
              <w:tc>
                <w:tcPr>
                  <w:tcW w:w="1362" w:type="dxa"/>
                  <w:vMerge w:val="restart"/>
                  <w:tcBorders>
                    <w:tl2br w:val="nil"/>
                    <w:tr2bl w:val="nil"/>
                  </w:tcBorders>
                  <w:vAlign w:val="center"/>
                </w:tcPr>
                <w:p w14:paraId="2748E9C0">
                  <w:pPr>
                    <w:widowControl/>
                    <w:jc w:val="center"/>
                    <w:rPr>
                      <w:color w:val="auto"/>
                      <w:szCs w:val="21"/>
                    </w:rPr>
                  </w:pPr>
                  <w:r>
                    <w:rPr>
                      <w:rFonts w:hint="eastAsia"/>
                      <w:color w:val="auto"/>
                      <w:szCs w:val="21"/>
                    </w:rPr>
                    <w:t>氯化氢</w:t>
                  </w:r>
                </w:p>
              </w:tc>
              <w:tc>
                <w:tcPr>
                  <w:tcW w:w="913" w:type="dxa"/>
                  <w:tcBorders>
                    <w:tl2br w:val="nil"/>
                    <w:tr2bl w:val="nil"/>
                  </w:tcBorders>
                  <w:vAlign w:val="center"/>
                </w:tcPr>
                <w:p w14:paraId="333C22CC">
                  <w:pPr>
                    <w:jc w:val="center"/>
                    <w:rPr>
                      <w:b/>
                      <w:bCs/>
                      <w:color w:val="auto"/>
                      <w:szCs w:val="21"/>
                    </w:rPr>
                  </w:pPr>
                  <w:r>
                    <w:rPr>
                      <w:color w:val="auto"/>
                      <w:szCs w:val="21"/>
                    </w:rPr>
                    <w:t>第一次</w:t>
                  </w:r>
                </w:p>
              </w:tc>
              <w:tc>
                <w:tcPr>
                  <w:tcW w:w="1248" w:type="dxa"/>
                  <w:tcBorders>
                    <w:tl2br w:val="nil"/>
                    <w:tr2bl w:val="nil"/>
                  </w:tcBorders>
                  <w:vAlign w:val="center"/>
                </w:tcPr>
                <w:p w14:paraId="250FC0DB">
                  <w:pPr>
                    <w:widowControl/>
                    <w:jc w:val="center"/>
                    <w:rPr>
                      <w:color w:val="auto"/>
                      <w:szCs w:val="21"/>
                    </w:rPr>
                  </w:pPr>
                  <w:r>
                    <w:rPr>
                      <w:rFonts w:hint="eastAsia"/>
                      <w:color w:val="auto"/>
                      <w:szCs w:val="21"/>
                    </w:rPr>
                    <w:t>6182</w:t>
                  </w:r>
                </w:p>
              </w:tc>
              <w:tc>
                <w:tcPr>
                  <w:tcW w:w="1051" w:type="dxa"/>
                  <w:tcBorders>
                    <w:tl2br w:val="nil"/>
                    <w:tr2bl w:val="nil"/>
                  </w:tcBorders>
                  <w:vAlign w:val="center"/>
                </w:tcPr>
                <w:p w14:paraId="686655BE">
                  <w:pPr>
                    <w:widowControl/>
                    <w:jc w:val="center"/>
                    <w:rPr>
                      <w:color w:val="auto"/>
                      <w:szCs w:val="21"/>
                    </w:rPr>
                  </w:pPr>
                  <w:r>
                    <w:rPr>
                      <w:rFonts w:hint="eastAsia"/>
                      <w:color w:val="auto"/>
                      <w:szCs w:val="21"/>
                    </w:rPr>
                    <w:t>1.9</w:t>
                  </w:r>
                </w:p>
              </w:tc>
              <w:tc>
                <w:tcPr>
                  <w:tcW w:w="1143" w:type="dxa"/>
                  <w:tcBorders>
                    <w:tl2br w:val="nil"/>
                    <w:tr2bl w:val="nil"/>
                  </w:tcBorders>
                  <w:vAlign w:val="center"/>
                </w:tcPr>
                <w:p w14:paraId="38F43F1A">
                  <w:pPr>
                    <w:widowControl/>
                    <w:jc w:val="center"/>
                    <w:rPr>
                      <w:color w:val="auto"/>
                      <w:szCs w:val="21"/>
                    </w:rPr>
                  </w:pPr>
                  <w:r>
                    <w:rPr>
                      <w:rFonts w:hint="eastAsia"/>
                      <w:color w:val="auto"/>
                      <w:szCs w:val="21"/>
                    </w:rPr>
                    <w:t>1.17</w:t>
                  </w:r>
                  <w:r>
                    <w:rPr>
                      <w:rFonts w:ascii="Arial" w:hAnsi="Arial" w:cs="Arial"/>
                      <w:color w:val="auto"/>
                      <w:szCs w:val="21"/>
                    </w:rPr>
                    <w:t>×</w:t>
                  </w:r>
                  <w:r>
                    <w:rPr>
                      <w:rFonts w:hint="eastAsia"/>
                      <w:color w:val="auto"/>
                      <w:szCs w:val="21"/>
                    </w:rPr>
                    <w:t>10</w:t>
                  </w:r>
                  <w:r>
                    <w:rPr>
                      <w:rFonts w:hint="eastAsia"/>
                      <w:color w:val="auto"/>
                      <w:szCs w:val="21"/>
                      <w:vertAlign w:val="superscript"/>
                    </w:rPr>
                    <w:t>-2</w:t>
                  </w:r>
                </w:p>
              </w:tc>
            </w:tr>
            <w:tr w14:paraId="64FC34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780079FD">
                  <w:pPr>
                    <w:widowControl/>
                    <w:jc w:val="center"/>
                    <w:rPr>
                      <w:color w:val="auto"/>
                      <w:szCs w:val="21"/>
                    </w:rPr>
                  </w:pPr>
                </w:p>
              </w:tc>
              <w:tc>
                <w:tcPr>
                  <w:tcW w:w="1150" w:type="dxa"/>
                  <w:vMerge w:val="continue"/>
                  <w:tcBorders>
                    <w:tl2br w:val="nil"/>
                    <w:tr2bl w:val="nil"/>
                  </w:tcBorders>
                  <w:vAlign w:val="center"/>
                </w:tcPr>
                <w:p w14:paraId="4554E555">
                  <w:pPr>
                    <w:widowControl/>
                    <w:jc w:val="center"/>
                    <w:rPr>
                      <w:color w:val="auto"/>
                      <w:szCs w:val="21"/>
                    </w:rPr>
                  </w:pPr>
                </w:p>
              </w:tc>
              <w:tc>
                <w:tcPr>
                  <w:tcW w:w="1362" w:type="dxa"/>
                  <w:vMerge w:val="continue"/>
                  <w:tcBorders>
                    <w:tl2br w:val="nil"/>
                    <w:tr2bl w:val="nil"/>
                  </w:tcBorders>
                  <w:vAlign w:val="center"/>
                </w:tcPr>
                <w:p w14:paraId="64EEC29F">
                  <w:pPr>
                    <w:widowControl/>
                    <w:jc w:val="center"/>
                    <w:rPr>
                      <w:color w:val="auto"/>
                      <w:szCs w:val="21"/>
                    </w:rPr>
                  </w:pPr>
                </w:p>
              </w:tc>
              <w:tc>
                <w:tcPr>
                  <w:tcW w:w="913" w:type="dxa"/>
                  <w:tcBorders>
                    <w:tl2br w:val="nil"/>
                    <w:tr2bl w:val="nil"/>
                  </w:tcBorders>
                  <w:vAlign w:val="center"/>
                </w:tcPr>
                <w:p w14:paraId="36AD3850">
                  <w:pPr>
                    <w:jc w:val="center"/>
                    <w:rPr>
                      <w:b/>
                      <w:bCs/>
                      <w:color w:val="auto"/>
                      <w:szCs w:val="21"/>
                    </w:rPr>
                  </w:pPr>
                  <w:r>
                    <w:rPr>
                      <w:color w:val="auto"/>
                      <w:szCs w:val="21"/>
                    </w:rPr>
                    <w:t>第二次</w:t>
                  </w:r>
                </w:p>
              </w:tc>
              <w:tc>
                <w:tcPr>
                  <w:tcW w:w="1248" w:type="dxa"/>
                  <w:tcBorders>
                    <w:tl2br w:val="nil"/>
                    <w:tr2bl w:val="nil"/>
                  </w:tcBorders>
                  <w:vAlign w:val="center"/>
                </w:tcPr>
                <w:p w14:paraId="2E5613C7">
                  <w:pPr>
                    <w:widowControl/>
                    <w:jc w:val="center"/>
                    <w:rPr>
                      <w:color w:val="auto"/>
                      <w:szCs w:val="21"/>
                    </w:rPr>
                  </w:pPr>
                  <w:r>
                    <w:rPr>
                      <w:rFonts w:hint="eastAsia"/>
                      <w:color w:val="auto"/>
                      <w:szCs w:val="21"/>
                    </w:rPr>
                    <w:t>6151</w:t>
                  </w:r>
                </w:p>
              </w:tc>
              <w:tc>
                <w:tcPr>
                  <w:tcW w:w="1051" w:type="dxa"/>
                  <w:tcBorders>
                    <w:tl2br w:val="nil"/>
                    <w:tr2bl w:val="nil"/>
                  </w:tcBorders>
                  <w:vAlign w:val="center"/>
                </w:tcPr>
                <w:p w14:paraId="37419468">
                  <w:pPr>
                    <w:widowControl/>
                    <w:jc w:val="center"/>
                    <w:rPr>
                      <w:color w:val="auto"/>
                      <w:szCs w:val="21"/>
                    </w:rPr>
                  </w:pPr>
                  <w:r>
                    <w:rPr>
                      <w:rFonts w:hint="eastAsia"/>
                      <w:color w:val="auto"/>
                      <w:szCs w:val="21"/>
                    </w:rPr>
                    <w:t>1.4</w:t>
                  </w:r>
                </w:p>
              </w:tc>
              <w:tc>
                <w:tcPr>
                  <w:tcW w:w="1143" w:type="dxa"/>
                  <w:tcBorders>
                    <w:tl2br w:val="nil"/>
                    <w:tr2bl w:val="nil"/>
                  </w:tcBorders>
                  <w:vAlign w:val="center"/>
                </w:tcPr>
                <w:p w14:paraId="69E72ED3">
                  <w:pPr>
                    <w:widowControl/>
                    <w:jc w:val="center"/>
                    <w:rPr>
                      <w:rFonts w:hint="eastAsia" w:eastAsia="宋体"/>
                      <w:color w:val="auto"/>
                      <w:szCs w:val="21"/>
                      <w:lang w:eastAsia="zh-CN"/>
                    </w:rPr>
                  </w:pPr>
                  <w:r>
                    <w:rPr>
                      <w:rFonts w:hint="eastAsia"/>
                      <w:color w:val="auto"/>
                      <w:szCs w:val="21"/>
                    </w:rPr>
                    <w:t>8.61</w:t>
                  </w:r>
                  <w:r>
                    <w:rPr>
                      <w:rFonts w:ascii="Arial" w:hAnsi="Arial" w:cs="Arial"/>
                      <w:color w:val="auto"/>
                      <w:szCs w:val="21"/>
                    </w:rPr>
                    <w:t>×</w:t>
                  </w:r>
                  <w:r>
                    <w:rPr>
                      <w:rFonts w:hint="eastAsia"/>
                      <w:color w:val="auto"/>
                      <w:szCs w:val="21"/>
                    </w:rPr>
                    <w:t>10</w:t>
                  </w:r>
                  <w:r>
                    <w:rPr>
                      <w:rFonts w:hint="eastAsia"/>
                      <w:color w:val="auto"/>
                      <w:szCs w:val="21"/>
                      <w:vertAlign w:val="superscript"/>
                    </w:rPr>
                    <w:t>-</w:t>
                  </w:r>
                  <w:r>
                    <w:rPr>
                      <w:rFonts w:hint="eastAsia"/>
                      <w:color w:val="auto"/>
                      <w:szCs w:val="21"/>
                      <w:vertAlign w:val="superscript"/>
                      <w:lang w:val="en-US" w:eastAsia="zh-CN"/>
                    </w:rPr>
                    <w:t>3</w:t>
                  </w:r>
                </w:p>
              </w:tc>
            </w:tr>
            <w:tr w14:paraId="09CAD2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3A7EFEB6">
                  <w:pPr>
                    <w:widowControl/>
                    <w:jc w:val="center"/>
                    <w:rPr>
                      <w:color w:val="auto"/>
                      <w:szCs w:val="21"/>
                    </w:rPr>
                  </w:pPr>
                </w:p>
              </w:tc>
              <w:tc>
                <w:tcPr>
                  <w:tcW w:w="1150" w:type="dxa"/>
                  <w:vMerge w:val="continue"/>
                  <w:tcBorders>
                    <w:tl2br w:val="nil"/>
                    <w:tr2bl w:val="nil"/>
                  </w:tcBorders>
                  <w:vAlign w:val="center"/>
                </w:tcPr>
                <w:p w14:paraId="34FE68BB">
                  <w:pPr>
                    <w:widowControl/>
                    <w:jc w:val="center"/>
                    <w:rPr>
                      <w:color w:val="auto"/>
                      <w:szCs w:val="21"/>
                    </w:rPr>
                  </w:pPr>
                </w:p>
              </w:tc>
              <w:tc>
                <w:tcPr>
                  <w:tcW w:w="1362" w:type="dxa"/>
                  <w:vMerge w:val="continue"/>
                  <w:tcBorders>
                    <w:tl2br w:val="nil"/>
                    <w:tr2bl w:val="nil"/>
                  </w:tcBorders>
                  <w:vAlign w:val="center"/>
                </w:tcPr>
                <w:p w14:paraId="1F0494E5">
                  <w:pPr>
                    <w:widowControl/>
                    <w:jc w:val="center"/>
                    <w:rPr>
                      <w:color w:val="auto"/>
                      <w:szCs w:val="21"/>
                    </w:rPr>
                  </w:pPr>
                </w:p>
              </w:tc>
              <w:tc>
                <w:tcPr>
                  <w:tcW w:w="913" w:type="dxa"/>
                  <w:tcBorders>
                    <w:tl2br w:val="nil"/>
                    <w:tr2bl w:val="nil"/>
                  </w:tcBorders>
                  <w:vAlign w:val="center"/>
                </w:tcPr>
                <w:p w14:paraId="0DD0C932">
                  <w:pPr>
                    <w:jc w:val="center"/>
                    <w:rPr>
                      <w:b/>
                      <w:bCs/>
                      <w:color w:val="auto"/>
                      <w:szCs w:val="21"/>
                    </w:rPr>
                  </w:pPr>
                  <w:r>
                    <w:rPr>
                      <w:color w:val="auto"/>
                      <w:szCs w:val="21"/>
                    </w:rPr>
                    <w:t>第三次</w:t>
                  </w:r>
                </w:p>
              </w:tc>
              <w:tc>
                <w:tcPr>
                  <w:tcW w:w="1248" w:type="dxa"/>
                  <w:tcBorders>
                    <w:tl2br w:val="nil"/>
                    <w:tr2bl w:val="nil"/>
                  </w:tcBorders>
                  <w:vAlign w:val="center"/>
                </w:tcPr>
                <w:p w14:paraId="1DC338E4">
                  <w:pPr>
                    <w:widowControl/>
                    <w:jc w:val="center"/>
                    <w:rPr>
                      <w:color w:val="auto"/>
                      <w:szCs w:val="21"/>
                    </w:rPr>
                  </w:pPr>
                  <w:r>
                    <w:rPr>
                      <w:rFonts w:hint="eastAsia"/>
                      <w:color w:val="auto"/>
                      <w:szCs w:val="21"/>
                    </w:rPr>
                    <w:t>6212</w:t>
                  </w:r>
                </w:p>
              </w:tc>
              <w:tc>
                <w:tcPr>
                  <w:tcW w:w="1051" w:type="dxa"/>
                  <w:tcBorders>
                    <w:tl2br w:val="nil"/>
                    <w:tr2bl w:val="nil"/>
                  </w:tcBorders>
                  <w:vAlign w:val="center"/>
                </w:tcPr>
                <w:p w14:paraId="656A3F5E">
                  <w:pPr>
                    <w:widowControl/>
                    <w:jc w:val="center"/>
                    <w:rPr>
                      <w:color w:val="auto"/>
                      <w:szCs w:val="21"/>
                    </w:rPr>
                  </w:pPr>
                  <w:r>
                    <w:rPr>
                      <w:rFonts w:hint="eastAsia"/>
                      <w:color w:val="auto"/>
                      <w:szCs w:val="21"/>
                    </w:rPr>
                    <w:t>1.5</w:t>
                  </w:r>
                </w:p>
              </w:tc>
              <w:tc>
                <w:tcPr>
                  <w:tcW w:w="1143" w:type="dxa"/>
                  <w:tcBorders>
                    <w:tl2br w:val="nil"/>
                    <w:tr2bl w:val="nil"/>
                  </w:tcBorders>
                  <w:vAlign w:val="center"/>
                </w:tcPr>
                <w:p w14:paraId="380DF05C">
                  <w:pPr>
                    <w:widowControl/>
                    <w:jc w:val="center"/>
                    <w:rPr>
                      <w:rFonts w:hint="eastAsia" w:eastAsia="宋体"/>
                      <w:color w:val="auto"/>
                      <w:szCs w:val="21"/>
                      <w:lang w:eastAsia="zh-CN"/>
                    </w:rPr>
                  </w:pPr>
                  <w:r>
                    <w:rPr>
                      <w:rFonts w:hint="eastAsia"/>
                      <w:color w:val="auto"/>
                      <w:szCs w:val="21"/>
                    </w:rPr>
                    <w:t>9.32</w:t>
                  </w:r>
                  <w:r>
                    <w:rPr>
                      <w:rFonts w:ascii="Arial" w:hAnsi="Arial" w:cs="Arial"/>
                      <w:color w:val="auto"/>
                      <w:szCs w:val="21"/>
                    </w:rPr>
                    <w:t>×</w:t>
                  </w:r>
                  <w:r>
                    <w:rPr>
                      <w:rFonts w:hint="eastAsia"/>
                      <w:color w:val="auto"/>
                      <w:szCs w:val="21"/>
                    </w:rPr>
                    <w:t>10</w:t>
                  </w:r>
                  <w:r>
                    <w:rPr>
                      <w:rFonts w:hint="eastAsia"/>
                      <w:color w:val="auto"/>
                      <w:szCs w:val="21"/>
                      <w:vertAlign w:val="superscript"/>
                    </w:rPr>
                    <w:t>-</w:t>
                  </w:r>
                  <w:r>
                    <w:rPr>
                      <w:rFonts w:hint="eastAsia"/>
                      <w:color w:val="auto"/>
                      <w:szCs w:val="21"/>
                      <w:vertAlign w:val="superscript"/>
                      <w:lang w:val="en-US" w:eastAsia="zh-CN"/>
                    </w:rPr>
                    <w:t>3</w:t>
                  </w:r>
                </w:p>
              </w:tc>
            </w:tr>
            <w:tr w14:paraId="4E54AC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450923A9">
                  <w:pPr>
                    <w:widowControl/>
                    <w:jc w:val="center"/>
                    <w:rPr>
                      <w:color w:val="auto"/>
                      <w:szCs w:val="21"/>
                    </w:rPr>
                  </w:pPr>
                </w:p>
              </w:tc>
              <w:tc>
                <w:tcPr>
                  <w:tcW w:w="1150" w:type="dxa"/>
                  <w:vMerge w:val="continue"/>
                  <w:tcBorders>
                    <w:tl2br w:val="nil"/>
                    <w:tr2bl w:val="nil"/>
                  </w:tcBorders>
                  <w:vAlign w:val="center"/>
                </w:tcPr>
                <w:p w14:paraId="0AA9D208">
                  <w:pPr>
                    <w:widowControl/>
                    <w:jc w:val="center"/>
                    <w:rPr>
                      <w:color w:val="auto"/>
                      <w:szCs w:val="21"/>
                    </w:rPr>
                  </w:pPr>
                </w:p>
              </w:tc>
              <w:tc>
                <w:tcPr>
                  <w:tcW w:w="1362" w:type="dxa"/>
                  <w:vMerge w:val="continue"/>
                  <w:tcBorders>
                    <w:tl2br w:val="nil"/>
                    <w:tr2bl w:val="nil"/>
                  </w:tcBorders>
                  <w:vAlign w:val="center"/>
                </w:tcPr>
                <w:p w14:paraId="2FEB22E5">
                  <w:pPr>
                    <w:widowControl/>
                    <w:jc w:val="center"/>
                    <w:rPr>
                      <w:color w:val="auto"/>
                      <w:szCs w:val="21"/>
                    </w:rPr>
                  </w:pPr>
                </w:p>
              </w:tc>
              <w:tc>
                <w:tcPr>
                  <w:tcW w:w="913" w:type="dxa"/>
                  <w:tcBorders>
                    <w:tl2br w:val="nil"/>
                    <w:tr2bl w:val="nil"/>
                  </w:tcBorders>
                  <w:vAlign w:val="center"/>
                </w:tcPr>
                <w:p w14:paraId="6AA6888D">
                  <w:pPr>
                    <w:jc w:val="center"/>
                    <w:rPr>
                      <w:b/>
                      <w:bCs/>
                      <w:color w:val="auto"/>
                      <w:szCs w:val="21"/>
                    </w:rPr>
                  </w:pPr>
                  <w:r>
                    <w:rPr>
                      <w:color w:val="auto"/>
                      <w:szCs w:val="21"/>
                    </w:rPr>
                    <w:t>均值</w:t>
                  </w:r>
                </w:p>
              </w:tc>
              <w:tc>
                <w:tcPr>
                  <w:tcW w:w="1248" w:type="dxa"/>
                  <w:tcBorders>
                    <w:tl2br w:val="nil"/>
                    <w:tr2bl w:val="nil"/>
                  </w:tcBorders>
                  <w:vAlign w:val="center"/>
                </w:tcPr>
                <w:p w14:paraId="11D16F81">
                  <w:pPr>
                    <w:widowControl/>
                    <w:jc w:val="center"/>
                    <w:rPr>
                      <w:color w:val="auto"/>
                      <w:szCs w:val="21"/>
                    </w:rPr>
                  </w:pPr>
                  <w:r>
                    <w:rPr>
                      <w:rFonts w:hint="eastAsia"/>
                      <w:color w:val="auto"/>
                      <w:szCs w:val="21"/>
                    </w:rPr>
                    <w:t>6182</w:t>
                  </w:r>
                </w:p>
              </w:tc>
              <w:tc>
                <w:tcPr>
                  <w:tcW w:w="1051" w:type="dxa"/>
                  <w:tcBorders>
                    <w:tl2br w:val="nil"/>
                    <w:tr2bl w:val="nil"/>
                  </w:tcBorders>
                  <w:vAlign w:val="center"/>
                </w:tcPr>
                <w:p w14:paraId="2AAF5905">
                  <w:pPr>
                    <w:widowControl/>
                    <w:jc w:val="center"/>
                    <w:rPr>
                      <w:color w:val="auto"/>
                      <w:szCs w:val="21"/>
                    </w:rPr>
                  </w:pPr>
                  <w:r>
                    <w:rPr>
                      <w:rFonts w:hint="eastAsia"/>
                      <w:color w:val="auto"/>
                      <w:szCs w:val="21"/>
                    </w:rPr>
                    <w:t>1.6</w:t>
                  </w:r>
                </w:p>
              </w:tc>
              <w:tc>
                <w:tcPr>
                  <w:tcW w:w="1143" w:type="dxa"/>
                  <w:tcBorders>
                    <w:tl2br w:val="nil"/>
                    <w:tr2bl w:val="nil"/>
                  </w:tcBorders>
                  <w:vAlign w:val="center"/>
                </w:tcPr>
                <w:p w14:paraId="23F6CE4A">
                  <w:pPr>
                    <w:widowControl/>
                    <w:jc w:val="center"/>
                    <w:rPr>
                      <w:rFonts w:hint="eastAsia" w:eastAsia="宋体"/>
                      <w:color w:val="auto"/>
                      <w:szCs w:val="21"/>
                      <w:lang w:eastAsia="zh-CN"/>
                    </w:rPr>
                  </w:pPr>
                  <w:r>
                    <w:rPr>
                      <w:rFonts w:hint="eastAsia"/>
                      <w:color w:val="auto"/>
                      <w:szCs w:val="21"/>
                    </w:rPr>
                    <w:t>9.88</w:t>
                  </w:r>
                  <w:r>
                    <w:rPr>
                      <w:rFonts w:ascii="Arial" w:hAnsi="Arial" w:cs="Arial"/>
                      <w:color w:val="auto"/>
                      <w:szCs w:val="21"/>
                    </w:rPr>
                    <w:t>×</w:t>
                  </w:r>
                  <w:r>
                    <w:rPr>
                      <w:rFonts w:hint="eastAsia"/>
                      <w:color w:val="auto"/>
                      <w:szCs w:val="21"/>
                    </w:rPr>
                    <w:t>10</w:t>
                  </w:r>
                  <w:r>
                    <w:rPr>
                      <w:rFonts w:hint="eastAsia"/>
                      <w:color w:val="auto"/>
                      <w:szCs w:val="21"/>
                      <w:vertAlign w:val="superscript"/>
                    </w:rPr>
                    <w:t>-</w:t>
                  </w:r>
                  <w:r>
                    <w:rPr>
                      <w:rFonts w:hint="eastAsia"/>
                      <w:color w:val="auto"/>
                      <w:szCs w:val="21"/>
                      <w:vertAlign w:val="superscript"/>
                      <w:lang w:val="en-US" w:eastAsia="zh-CN"/>
                    </w:rPr>
                    <w:t>3</w:t>
                  </w:r>
                </w:p>
              </w:tc>
            </w:tr>
            <w:tr w14:paraId="065746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216D4604">
                  <w:pPr>
                    <w:widowControl/>
                    <w:jc w:val="center"/>
                    <w:rPr>
                      <w:color w:val="auto"/>
                      <w:szCs w:val="21"/>
                    </w:rPr>
                  </w:pPr>
                </w:p>
              </w:tc>
              <w:tc>
                <w:tcPr>
                  <w:tcW w:w="1150" w:type="dxa"/>
                  <w:vMerge w:val="continue"/>
                  <w:tcBorders>
                    <w:tl2br w:val="nil"/>
                    <w:tr2bl w:val="nil"/>
                  </w:tcBorders>
                  <w:vAlign w:val="center"/>
                </w:tcPr>
                <w:p w14:paraId="7823CD48">
                  <w:pPr>
                    <w:widowControl/>
                    <w:jc w:val="center"/>
                    <w:rPr>
                      <w:color w:val="auto"/>
                      <w:szCs w:val="21"/>
                    </w:rPr>
                  </w:pPr>
                </w:p>
              </w:tc>
              <w:tc>
                <w:tcPr>
                  <w:tcW w:w="1362" w:type="dxa"/>
                  <w:vMerge w:val="restart"/>
                  <w:tcBorders>
                    <w:tl2br w:val="nil"/>
                    <w:tr2bl w:val="nil"/>
                  </w:tcBorders>
                  <w:vAlign w:val="center"/>
                </w:tcPr>
                <w:p w14:paraId="10874E73">
                  <w:pPr>
                    <w:widowControl/>
                    <w:jc w:val="center"/>
                    <w:rPr>
                      <w:color w:val="auto"/>
                      <w:szCs w:val="21"/>
                    </w:rPr>
                  </w:pPr>
                  <w:r>
                    <w:rPr>
                      <w:rFonts w:hint="eastAsia"/>
                      <w:color w:val="auto"/>
                      <w:szCs w:val="21"/>
                    </w:rPr>
                    <w:t>硫酸雾</w:t>
                  </w:r>
                </w:p>
              </w:tc>
              <w:tc>
                <w:tcPr>
                  <w:tcW w:w="913" w:type="dxa"/>
                  <w:tcBorders>
                    <w:tl2br w:val="nil"/>
                    <w:tr2bl w:val="nil"/>
                  </w:tcBorders>
                  <w:vAlign w:val="center"/>
                </w:tcPr>
                <w:p w14:paraId="31D95F08">
                  <w:pPr>
                    <w:jc w:val="center"/>
                    <w:rPr>
                      <w:b/>
                      <w:bCs/>
                      <w:color w:val="auto"/>
                      <w:szCs w:val="21"/>
                    </w:rPr>
                  </w:pPr>
                  <w:r>
                    <w:rPr>
                      <w:color w:val="auto"/>
                      <w:szCs w:val="21"/>
                    </w:rPr>
                    <w:t>第一次</w:t>
                  </w:r>
                </w:p>
              </w:tc>
              <w:tc>
                <w:tcPr>
                  <w:tcW w:w="1248" w:type="dxa"/>
                  <w:tcBorders>
                    <w:tl2br w:val="nil"/>
                    <w:tr2bl w:val="nil"/>
                  </w:tcBorders>
                  <w:vAlign w:val="center"/>
                </w:tcPr>
                <w:p w14:paraId="7B1F73CB">
                  <w:pPr>
                    <w:widowControl/>
                    <w:jc w:val="center"/>
                    <w:rPr>
                      <w:color w:val="auto"/>
                      <w:szCs w:val="21"/>
                    </w:rPr>
                  </w:pPr>
                  <w:r>
                    <w:rPr>
                      <w:rFonts w:hint="eastAsia"/>
                      <w:color w:val="auto"/>
                      <w:szCs w:val="21"/>
                    </w:rPr>
                    <w:t>6182</w:t>
                  </w:r>
                </w:p>
              </w:tc>
              <w:tc>
                <w:tcPr>
                  <w:tcW w:w="1051" w:type="dxa"/>
                  <w:tcBorders>
                    <w:tl2br w:val="nil"/>
                    <w:tr2bl w:val="nil"/>
                  </w:tcBorders>
                  <w:vAlign w:val="center"/>
                </w:tcPr>
                <w:p w14:paraId="00AA344D">
                  <w:pPr>
                    <w:widowControl/>
                    <w:jc w:val="center"/>
                    <w:rPr>
                      <w:color w:val="auto"/>
                      <w:szCs w:val="21"/>
                    </w:rPr>
                  </w:pPr>
                  <w:r>
                    <w:rPr>
                      <w:rFonts w:hint="eastAsia"/>
                      <w:color w:val="auto"/>
                      <w:szCs w:val="21"/>
                    </w:rPr>
                    <w:t>0.27</w:t>
                  </w:r>
                </w:p>
              </w:tc>
              <w:tc>
                <w:tcPr>
                  <w:tcW w:w="1143" w:type="dxa"/>
                  <w:tcBorders>
                    <w:tl2br w:val="nil"/>
                    <w:tr2bl w:val="nil"/>
                  </w:tcBorders>
                  <w:vAlign w:val="center"/>
                </w:tcPr>
                <w:p w14:paraId="1CA523B3">
                  <w:pPr>
                    <w:widowControl/>
                    <w:jc w:val="center"/>
                    <w:rPr>
                      <w:rFonts w:hint="eastAsia" w:eastAsia="宋体"/>
                      <w:color w:val="auto"/>
                      <w:szCs w:val="21"/>
                      <w:lang w:eastAsia="zh-CN"/>
                    </w:rPr>
                  </w:pPr>
                  <w:r>
                    <w:rPr>
                      <w:rFonts w:hint="eastAsia"/>
                      <w:color w:val="auto"/>
                      <w:szCs w:val="21"/>
                    </w:rPr>
                    <w:t>1.67</w:t>
                  </w:r>
                  <w:r>
                    <w:rPr>
                      <w:rFonts w:ascii="Arial" w:hAnsi="Arial" w:cs="Arial"/>
                      <w:color w:val="auto"/>
                      <w:szCs w:val="21"/>
                    </w:rPr>
                    <w:t>×</w:t>
                  </w:r>
                  <w:r>
                    <w:rPr>
                      <w:rFonts w:hint="eastAsia"/>
                      <w:color w:val="auto"/>
                      <w:szCs w:val="21"/>
                    </w:rPr>
                    <w:t>10</w:t>
                  </w:r>
                  <w:r>
                    <w:rPr>
                      <w:rFonts w:hint="eastAsia"/>
                      <w:color w:val="auto"/>
                      <w:szCs w:val="21"/>
                      <w:vertAlign w:val="superscript"/>
                    </w:rPr>
                    <w:t>-</w:t>
                  </w:r>
                  <w:r>
                    <w:rPr>
                      <w:rFonts w:hint="eastAsia"/>
                      <w:color w:val="auto"/>
                      <w:szCs w:val="21"/>
                      <w:vertAlign w:val="superscript"/>
                      <w:lang w:val="en-US" w:eastAsia="zh-CN"/>
                    </w:rPr>
                    <w:t>3</w:t>
                  </w:r>
                </w:p>
              </w:tc>
            </w:tr>
            <w:tr w14:paraId="2941F6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5D3B2B63">
                  <w:pPr>
                    <w:widowControl/>
                    <w:jc w:val="center"/>
                    <w:rPr>
                      <w:color w:val="auto"/>
                      <w:szCs w:val="21"/>
                    </w:rPr>
                  </w:pPr>
                </w:p>
              </w:tc>
              <w:tc>
                <w:tcPr>
                  <w:tcW w:w="1150" w:type="dxa"/>
                  <w:vMerge w:val="continue"/>
                  <w:tcBorders>
                    <w:tl2br w:val="nil"/>
                    <w:tr2bl w:val="nil"/>
                  </w:tcBorders>
                  <w:vAlign w:val="center"/>
                </w:tcPr>
                <w:p w14:paraId="41FC5D14">
                  <w:pPr>
                    <w:widowControl/>
                    <w:jc w:val="center"/>
                    <w:rPr>
                      <w:color w:val="auto"/>
                      <w:szCs w:val="21"/>
                    </w:rPr>
                  </w:pPr>
                </w:p>
              </w:tc>
              <w:tc>
                <w:tcPr>
                  <w:tcW w:w="1362" w:type="dxa"/>
                  <w:vMerge w:val="continue"/>
                  <w:tcBorders>
                    <w:tl2br w:val="nil"/>
                    <w:tr2bl w:val="nil"/>
                  </w:tcBorders>
                  <w:vAlign w:val="center"/>
                </w:tcPr>
                <w:p w14:paraId="098B9DD6">
                  <w:pPr>
                    <w:widowControl/>
                    <w:jc w:val="center"/>
                    <w:rPr>
                      <w:color w:val="auto"/>
                      <w:szCs w:val="21"/>
                    </w:rPr>
                  </w:pPr>
                </w:p>
              </w:tc>
              <w:tc>
                <w:tcPr>
                  <w:tcW w:w="913" w:type="dxa"/>
                  <w:tcBorders>
                    <w:tl2br w:val="nil"/>
                    <w:tr2bl w:val="nil"/>
                  </w:tcBorders>
                  <w:vAlign w:val="center"/>
                </w:tcPr>
                <w:p w14:paraId="4C32DEDA">
                  <w:pPr>
                    <w:jc w:val="center"/>
                    <w:rPr>
                      <w:b/>
                      <w:bCs/>
                      <w:color w:val="auto"/>
                      <w:szCs w:val="21"/>
                    </w:rPr>
                  </w:pPr>
                  <w:r>
                    <w:rPr>
                      <w:color w:val="auto"/>
                      <w:szCs w:val="21"/>
                    </w:rPr>
                    <w:t>第二次</w:t>
                  </w:r>
                </w:p>
              </w:tc>
              <w:tc>
                <w:tcPr>
                  <w:tcW w:w="1248" w:type="dxa"/>
                  <w:tcBorders>
                    <w:tl2br w:val="nil"/>
                    <w:tr2bl w:val="nil"/>
                  </w:tcBorders>
                  <w:vAlign w:val="center"/>
                </w:tcPr>
                <w:p w14:paraId="569C2F4E">
                  <w:pPr>
                    <w:widowControl/>
                    <w:jc w:val="center"/>
                    <w:rPr>
                      <w:color w:val="auto"/>
                      <w:szCs w:val="21"/>
                    </w:rPr>
                  </w:pPr>
                  <w:r>
                    <w:rPr>
                      <w:rFonts w:hint="eastAsia"/>
                      <w:color w:val="auto"/>
                      <w:szCs w:val="21"/>
                    </w:rPr>
                    <w:t>6151</w:t>
                  </w:r>
                </w:p>
              </w:tc>
              <w:tc>
                <w:tcPr>
                  <w:tcW w:w="1051" w:type="dxa"/>
                  <w:tcBorders>
                    <w:tl2br w:val="nil"/>
                    <w:tr2bl w:val="nil"/>
                  </w:tcBorders>
                  <w:vAlign w:val="center"/>
                </w:tcPr>
                <w:p w14:paraId="40CFA292">
                  <w:pPr>
                    <w:widowControl/>
                    <w:jc w:val="center"/>
                    <w:rPr>
                      <w:color w:val="auto"/>
                      <w:szCs w:val="21"/>
                    </w:rPr>
                  </w:pPr>
                  <w:r>
                    <w:rPr>
                      <w:rFonts w:hint="eastAsia"/>
                      <w:color w:val="auto"/>
                      <w:szCs w:val="21"/>
                    </w:rPr>
                    <w:t>0.33</w:t>
                  </w:r>
                </w:p>
              </w:tc>
              <w:tc>
                <w:tcPr>
                  <w:tcW w:w="1143" w:type="dxa"/>
                  <w:tcBorders>
                    <w:tl2br w:val="nil"/>
                    <w:tr2bl w:val="nil"/>
                  </w:tcBorders>
                  <w:vAlign w:val="center"/>
                </w:tcPr>
                <w:p w14:paraId="789C8FB4">
                  <w:pPr>
                    <w:widowControl/>
                    <w:jc w:val="center"/>
                    <w:rPr>
                      <w:rFonts w:hint="eastAsia" w:eastAsia="宋体"/>
                      <w:color w:val="auto"/>
                      <w:szCs w:val="21"/>
                      <w:lang w:eastAsia="zh-CN"/>
                    </w:rPr>
                  </w:pPr>
                  <w:r>
                    <w:rPr>
                      <w:rFonts w:hint="eastAsia"/>
                      <w:color w:val="auto"/>
                      <w:szCs w:val="21"/>
                    </w:rPr>
                    <w:t>2.03</w:t>
                  </w:r>
                  <w:r>
                    <w:rPr>
                      <w:rFonts w:ascii="Arial" w:hAnsi="Arial" w:cs="Arial"/>
                      <w:color w:val="auto"/>
                      <w:szCs w:val="21"/>
                    </w:rPr>
                    <w:t>×</w:t>
                  </w:r>
                  <w:r>
                    <w:rPr>
                      <w:rFonts w:hint="eastAsia"/>
                      <w:color w:val="auto"/>
                      <w:szCs w:val="21"/>
                    </w:rPr>
                    <w:t>10</w:t>
                  </w:r>
                  <w:r>
                    <w:rPr>
                      <w:rFonts w:hint="eastAsia"/>
                      <w:color w:val="auto"/>
                      <w:szCs w:val="21"/>
                      <w:vertAlign w:val="superscript"/>
                    </w:rPr>
                    <w:t>-</w:t>
                  </w:r>
                  <w:r>
                    <w:rPr>
                      <w:rFonts w:hint="eastAsia"/>
                      <w:color w:val="auto"/>
                      <w:szCs w:val="21"/>
                      <w:vertAlign w:val="superscript"/>
                      <w:lang w:val="en-US" w:eastAsia="zh-CN"/>
                    </w:rPr>
                    <w:t>3</w:t>
                  </w:r>
                </w:p>
              </w:tc>
            </w:tr>
            <w:tr w14:paraId="53352E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62940427">
                  <w:pPr>
                    <w:widowControl/>
                    <w:jc w:val="center"/>
                    <w:rPr>
                      <w:color w:val="auto"/>
                      <w:szCs w:val="21"/>
                    </w:rPr>
                  </w:pPr>
                </w:p>
              </w:tc>
              <w:tc>
                <w:tcPr>
                  <w:tcW w:w="1150" w:type="dxa"/>
                  <w:vMerge w:val="continue"/>
                  <w:tcBorders>
                    <w:tl2br w:val="nil"/>
                    <w:tr2bl w:val="nil"/>
                  </w:tcBorders>
                  <w:vAlign w:val="center"/>
                </w:tcPr>
                <w:p w14:paraId="63702DDF">
                  <w:pPr>
                    <w:widowControl/>
                    <w:jc w:val="center"/>
                    <w:rPr>
                      <w:color w:val="auto"/>
                      <w:szCs w:val="21"/>
                    </w:rPr>
                  </w:pPr>
                </w:p>
              </w:tc>
              <w:tc>
                <w:tcPr>
                  <w:tcW w:w="1362" w:type="dxa"/>
                  <w:vMerge w:val="continue"/>
                  <w:tcBorders>
                    <w:tl2br w:val="nil"/>
                    <w:tr2bl w:val="nil"/>
                  </w:tcBorders>
                  <w:vAlign w:val="center"/>
                </w:tcPr>
                <w:p w14:paraId="619CBED1">
                  <w:pPr>
                    <w:widowControl/>
                    <w:jc w:val="center"/>
                    <w:rPr>
                      <w:color w:val="auto"/>
                      <w:szCs w:val="21"/>
                    </w:rPr>
                  </w:pPr>
                </w:p>
              </w:tc>
              <w:tc>
                <w:tcPr>
                  <w:tcW w:w="913" w:type="dxa"/>
                  <w:tcBorders>
                    <w:tl2br w:val="nil"/>
                    <w:tr2bl w:val="nil"/>
                  </w:tcBorders>
                  <w:vAlign w:val="center"/>
                </w:tcPr>
                <w:p w14:paraId="55514CF6">
                  <w:pPr>
                    <w:jc w:val="center"/>
                    <w:rPr>
                      <w:b/>
                      <w:bCs/>
                      <w:color w:val="auto"/>
                      <w:szCs w:val="21"/>
                    </w:rPr>
                  </w:pPr>
                  <w:r>
                    <w:rPr>
                      <w:color w:val="auto"/>
                      <w:szCs w:val="21"/>
                    </w:rPr>
                    <w:t>第三次</w:t>
                  </w:r>
                </w:p>
              </w:tc>
              <w:tc>
                <w:tcPr>
                  <w:tcW w:w="1248" w:type="dxa"/>
                  <w:tcBorders>
                    <w:tl2br w:val="nil"/>
                    <w:tr2bl w:val="nil"/>
                  </w:tcBorders>
                  <w:vAlign w:val="center"/>
                </w:tcPr>
                <w:p w14:paraId="2B026EEE">
                  <w:pPr>
                    <w:widowControl/>
                    <w:jc w:val="center"/>
                    <w:rPr>
                      <w:color w:val="auto"/>
                      <w:szCs w:val="21"/>
                    </w:rPr>
                  </w:pPr>
                  <w:r>
                    <w:rPr>
                      <w:rFonts w:hint="eastAsia"/>
                      <w:color w:val="auto"/>
                      <w:szCs w:val="21"/>
                    </w:rPr>
                    <w:t>6212</w:t>
                  </w:r>
                </w:p>
              </w:tc>
              <w:tc>
                <w:tcPr>
                  <w:tcW w:w="1051" w:type="dxa"/>
                  <w:tcBorders>
                    <w:tl2br w:val="nil"/>
                    <w:tr2bl w:val="nil"/>
                  </w:tcBorders>
                  <w:vAlign w:val="center"/>
                </w:tcPr>
                <w:p w14:paraId="17667A14">
                  <w:pPr>
                    <w:widowControl/>
                    <w:jc w:val="center"/>
                    <w:rPr>
                      <w:color w:val="auto"/>
                      <w:szCs w:val="21"/>
                    </w:rPr>
                  </w:pPr>
                  <w:r>
                    <w:rPr>
                      <w:rFonts w:hint="eastAsia"/>
                      <w:color w:val="auto"/>
                      <w:szCs w:val="21"/>
                    </w:rPr>
                    <w:t>0.34</w:t>
                  </w:r>
                </w:p>
              </w:tc>
              <w:tc>
                <w:tcPr>
                  <w:tcW w:w="1143" w:type="dxa"/>
                  <w:tcBorders>
                    <w:tl2br w:val="nil"/>
                    <w:tr2bl w:val="nil"/>
                  </w:tcBorders>
                  <w:vAlign w:val="center"/>
                </w:tcPr>
                <w:p w14:paraId="51660E08">
                  <w:pPr>
                    <w:widowControl/>
                    <w:jc w:val="center"/>
                    <w:rPr>
                      <w:rFonts w:hint="eastAsia" w:eastAsia="宋体"/>
                      <w:color w:val="auto"/>
                      <w:szCs w:val="21"/>
                      <w:lang w:eastAsia="zh-CN"/>
                    </w:rPr>
                  </w:pPr>
                  <w:r>
                    <w:rPr>
                      <w:rFonts w:hint="eastAsia"/>
                      <w:color w:val="auto"/>
                      <w:szCs w:val="21"/>
                    </w:rPr>
                    <w:t>2.11</w:t>
                  </w:r>
                  <w:r>
                    <w:rPr>
                      <w:rFonts w:ascii="Arial" w:hAnsi="Arial" w:cs="Arial"/>
                      <w:color w:val="auto"/>
                      <w:szCs w:val="21"/>
                    </w:rPr>
                    <w:t>×</w:t>
                  </w:r>
                  <w:r>
                    <w:rPr>
                      <w:rFonts w:hint="eastAsia"/>
                      <w:color w:val="auto"/>
                      <w:szCs w:val="21"/>
                    </w:rPr>
                    <w:t>10</w:t>
                  </w:r>
                  <w:r>
                    <w:rPr>
                      <w:rFonts w:hint="eastAsia"/>
                      <w:color w:val="auto"/>
                      <w:szCs w:val="21"/>
                      <w:vertAlign w:val="superscript"/>
                    </w:rPr>
                    <w:t>-</w:t>
                  </w:r>
                  <w:r>
                    <w:rPr>
                      <w:rFonts w:hint="eastAsia"/>
                      <w:color w:val="auto"/>
                      <w:szCs w:val="21"/>
                      <w:vertAlign w:val="superscript"/>
                      <w:lang w:val="en-US" w:eastAsia="zh-CN"/>
                    </w:rPr>
                    <w:t>3</w:t>
                  </w:r>
                </w:p>
              </w:tc>
            </w:tr>
            <w:tr w14:paraId="6EE080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8" w:type="dxa"/>
                  <w:vMerge w:val="continue"/>
                  <w:tcBorders>
                    <w:tl2br w:val="nil"/>
                    <w:tr2bl w:val="nil"/>
                  </w:tcBorders>
                  <w:vAlign w:val="center"/>
                </w:tcPr>
                <w:p w14:paraId="3A4BD67F">
                  <w:pPr>
                    <w:widowControl/>
                    <w:jc w:val="center"/>
                    <w:rPr>
                      <w:color w:val="auto"/>
                      <w:szCs w:val="21"/>
                    </w:rPr>
                  </w:pPr>
                </w:p>
              </w:tc>
              <w:tc>
                <w:tcPr>
                  <w:tcW w:w="1150" w:type="dxa"/>
                  <w:vMerge w:val="continue"/>
                  <w:tcBorders>
                    <w:tl2br w:val="nil"/>
                    <w:tr2bl w:val="nil"/>
                  </w:tcBorders>
                  <w:vAlign w:val="center"/>
                </w:tcPr>
                <w:p w14:paraId="0A709C75">
                  <w:pPr>
                    <w:widowControl/>
                    <w:jc w:val="center"/>
                    <w:rPr>
                      <w:color w:val="auto"/>
                      <w:szCs w:val="21"/>
                    </w:rPr>
                  </w:pPr>
                </w:p>
              </w:tc>
              <w:tc>
                <w:tcPr>
                  <w:tcW w:w="1362" w:type="dxa"/>
                  <w:vMerge w:val="continue"/>
                  <w:tcBorders>
                    <w:tl2br w:val="nil"/>
                    <w:tr2bl w:val="nil"/>
                  </w:tcBorders>
                  <w:vAlign w:val="center"/>
                </w:tcPr>
                <w:p w14:paraId="1D2EF193">
                  <w:pPr>
                    <w:widowControl/>
                    <w:jc w:val="center"/>
                    <w:rPr>
                      <w:color w:val="auto"/>
                      <w:szCs w:val="21"/>
                    </w:rPr>
                  </w:pPr>
                </w:p>
              </w:tc>
              <w:tc>
                <w:tcPr>
                  <w:tcW w:w="913" w:type="dxa"/>
                  <w:tcBorders>
                    <w:tl2br w:val="nil"/>
                    <w:tr2bl w:val="nil"/>
                  </w:tcBorders>
                  <w:vAlign w:val="center"/>
                </w:tcPr>
                <w:p w14:paraId="2CF6494E">
                  <w:pPr>
                    <w:jc w:val="center"/>
                    <w:rPr>
                      <w:b/>
                      <w:bCs/>
                      <w:color w:val="auto"/>
                      <w:szCs w:val="21"/>
                    </w:rPr>
                  </w:pPr>
                  <w:r>
                    <w:rPr>
                      <w:color w:val="auto"/>
                      <w:szCs w:val="21"/>
                    </w:rPr>
                    <w:t>均值</w:t>
                  </w:r>
                </w:p>
              </w:tc>
              <w:tc>
                <w:tcPr>
                  <w:tcW w:w="1248" w:type="dxa"/>
                  <w:tcBorders>
                    <w:tl2br w:val="nil"/>
                    <w:tr2bl w:val="nil"/>
                  </w:tcBorders>
                  <w:vAlign w:val="center"/>
                </w:tcPr>
                <w:p w14:paraId="7F66F1F3">
                  <w:pPr>
                    <w:widowControl/>
                    <w:jc w:val="center"/>
                    <w:rPr>
                      <w:color w:val="auto"/>
                      <w:szCs w:val="21"/>
                    </w:rPr>
                  </w:pPr>
                  <w:r>
                    <w:rPr>
                      <w:rFonts w:hint="eastAsia"/>
                      <w:color w:val="auto"/>
                      <w:szCs w:val="21"/>
                    </w:rPr>
                    <w:t>6182</w:t>
                  </w:r>
                </w:p>
              </w:tc>
              <w:tc>
                <w:tcPr>
                  <w:tcW w:w="1051" w:type="dxa"/>
                  <w:tcBorders>
                    <w:tl2br w:val="nil"/>
                    <w:tr2bl w:val="nil"/>
                  </w:tcBorders>
                  <w:vAlign w:val="center"/>
                </w:tcPr>
                <w:p w14:paraId="2B5CF575">
                  <w:pPr>
                    <w:widowControl/>
                    <w:jc w:val="center"/>
                    <w:rPr>
                      <w:color w:val="auto"/>
                      <w:szCs w:val="21"/>
                    </w:rPr>
                  </w:pPr>
                  <w:r>
                    <w:rPr>
                      <w:rFonts w:hint="eastAsia"/>
                      <w:color w:val="auto"/>
                      <w:szCs w:val="21"/>
                    </w:rPr>
                    <w:t>0.31</w:t>
                  </w:r>
                </w:p>
              </w:tc>
              <w:tc>
                <w:tcPr>
                  <w:tcW w:w="1143" w:type="dxa"/>
                  <w:tcBorders>
                    <w:tl2br w:val="nil"/>
                    <w:tr2bl w:val="nil"/>
                  </w:tcBorders>
                  <w:vAlign w:val="center"/>
                </w:tcPr>
                <w:p w14:paraId="28415ED9">
                  <w:pPr>
                    <w:widowControl/>
                    <w:jc w:val="center"/>
                    <w:rPr>
                      <w:rFonts w:hint="eastAsia" w:eastAsia="宋体"/>
                      <w:color w:val="auto"/>
                      <w:szCs w:val="21"/>
                      <w:lang w:eastAsia="zh-CN"/>
                    </w:rPr>
                  </w:pPr>
                  <w:r>
                    <w:rPr>
                      <w:rFonts w:hint="eastAsia"/>
                      <w:color w:val="auto"/>
                      <w:szCs w:val="21"/>
                    </w:rPr>
                    <w:t>1.94</w:t>
                  </w:r>
                  <w:r>
                    <w:rPr>
                      <w:rFonts w:ascii="Arial" w:hAnsi="Arial" w:cs="Arial"/>
                      <w:color w:val="auto"/>
                      <w:szCs w:val="21"/>
                    </w:rPr>
                    <w:t>×</w:t>
                  </w:r>
                  <w:r>
                    <w:rPr>
                      <w:rFonts w:hint="eastAsia"/>
                      <w:color w:val="auto"/>
                      <w:szCs w:val="21"/>
                    </w:rPr>
                    <w:t>10</w:t>
                  </w:r>
                  <w:r>
                    <w:rPr>
                      <w:rFonts w:hint="eastAsia"/>
                      <w:color w:val="auto"/>
                      <w:szCs w:val="21"/>
                      <w:vertAlign w:val="superscript"/>
                    </w:rPr>
                    <w:t>-</w:t>
                  </w:r>
                  <w:r>
                    <w:rPr>
                      <w:rFonts w:hint="eastAsia"/>
                      <w:color w:val="auto"/>
                      <w:szCs w:val="21"/>
                      <w:vertAlign w:val="superscript"/>
                      <w:lang w:val="en-US" w:eastAsia="zh-CN"/>
                    </w:rPr>
                    <w:t>3</w:t>
                  </w:r>
                </w:p>
              </w:tc>
            </w:tr>
          </w:tbl>
          <w:p w14:paraId="35AAB387">
            <w:pPr>
              <w:spacing w:before="120" w:beforeLines="50" w:line="360" w:lineRule="auto"/>
              <w:ind w:firstLine="420" w:firstLineChars="200"/>
              <w:rPr>
                <w:color w:val="auto"/>
              </w:rPr>
            </w:pPr>
            <w:r>
              <w:rPr>
                <w:rFonts w:hint="eastAsia"/>
                <w:color w:val="auto"/>
                <w:szCs w:val="22"/>
              </w:rPr>
              <w:t>②</w:t>
            </w:r>
            <w:r>
              <w:rPr>
                <w:rFonts w:hint="eastAsia"/>
                <w:color w:val="auto"/>
              </w:rPr>
              <w:t>无</w:t>
            </w:r>
            <w:r>
              <w:rPr>
                <w:color w:val="auto"/>
              </w:rPr>
              <w:t>组织废气：</w:t>
            </w:r>
          </w:p>
          <w:p w14:paraId="70B6203A">
            <w:pPr>
              <w:spacing w:line="360" w:lineRule="auto"/>
              <w:ind w:firstLine="420" w:firstLineChars="200"/>
              <w:rPr>
                <w:color w:val="auto"/>
              </w:rPr>
            </w:pPr>
            <w:r>
              <w:rPr>
                <w:color w:val="auto"/>
              </w:rPr>
              <w:t>监测结果表明，</w:t>
            </w:r>
            <w:r>
              <w:rPr>
                <w:rFonts w:hint="eastAsia"/>
                <w:color w:val="auto"/>
              </w:rPr>
              <w:t>现有项目在2023年5月10日</w:t>
            </w:r>
            <w:r>
              <w:rPr>
                <w:color w:val="auto"/>
              </w:rPr>
              <w:t>监测期间</w:t>
            </w:r>
            <w:r>
              <w:rPr>
                <w:rFonts w:hint="eastAsia"/>
                <w:color w:val="auto"/>
              </w:rPr>
              <w:t>，</w:t>
            </w:r>
            <w:r>
              <w:rPr>
                <w:rFonts w:hint="eastAsia"/>
                <w:color w:val="auto"/>
                <w:szCs w:val="21"/>
              </w:rPr>
              <w:t>漆雾颗粒、VOCs、氯化氢及硫酸雾</w:t>
            </w:r>
            <w:r>
              <w:rPr>
                <w:rFonts w:hint="eastAsia"/>
                <w:color w:val="auto"/>
              </w:rPr>
              <w:t>周界外浓度最高值均满足</w:t>
            </w:r>
            <w:r>
              <w:rPr>
                <w:color w:val="auto"/>
                <w:szCs w:val="21"/>
              </w:rPr>
              <w:t>《大气污染物综合排放标准》（DB32/4041-2021）表3</w:t>
            </w:r>
            <w:r>
              <w:rPr>
                <w:rFonts w:hint="eastAsia"/>
                <w:color w:val="auto"/>
              </w:rPr>
              <w:t>标准限值。具体监测结果见表2-1</w:t>
            </w:r>
            <w:r>
              <w:rPr>
                <w:rFonts w:hint="eastAsia"/>
                <w:color w:val="auto"/>
                <w:lang w:val="en-US" w:eastAsia="zh-CN"/>
              </w:rPr>
              <w:t>4</w:t>
            </w:r>
            <w:r>
              <w:rPr>
                <w:rFonts w:hint="eastAsia"/>
                <w:color w:val="auto"/>
              </w:rPr>
              <w:t>。</w:t>
            </w:r>
          </w:p>
          <w:p w14:paraId="15FF3747">
            <w:pPr>
              <w:spacing w:before="120" w:beforeLines="50"/>
              <w:jc w:val="center"/>
              <w:rPr>
                <w:b/>
                <w:bCs/>
                <w:color w:val="auto"/>
                <w:szCs w:val="21"/>
              </w:rPr>
            </w:pPr>
            <w:r>
              <w:rPr>
                <w:rFonts w:hint="eastAsia"/>
                <w:b/>
                <w:bCs/>
                <w:color w:val="auto"/>
                <w:szCs w:val="21"/>
              </w:rPr>
              <w:t>表2-1</w:t>
            </w:r>
            <w:r>
              <w:rPr>
                <w:rFonts w:hint="eastAsia"/>
                <w:b/>
                <w:bCs/>
                <w:color w:val="auto"/>
                <w:szCs w:val="21"/>
                <w:lang w:val="en-US" w:eastAsia="zh-CN"/>
              </w:rPr>
              <w:t>4</w:t>
            </w:r>
            <w:r>
              <w:rPr>
                <w:rFonts w:hint="eastAsia"/>
                <w:b/>
                <w:bCs/>
                <w:color w:val="auto"/>
                <w:szCs w:val="21"/>
              </w:rPr>
              <w:t xml:space="preserve"> 现有项目厂区无组织废气监测结果表</w:t>
            </w:r>
          </w:p>
          <w:tbl>
            <w:tblPr>
              <w:tblStyle w:val="3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90"/>
              <w:gridCol w:w="900"/>
              <w:gridCol w:w="1750"/>
              <w:gridCol w:w="1038"/>
              <w:gridCol w:w="1000"/>
              <w:gridCol w:w="1000"/>
              <w:gridCol w:w="1025"/>
              <w:gridCol w:w="642"/>
            </w:tblGrid>
            <w:tr w14:paraId="67CACB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90" w:type="dxa"/>
                  <w:tcBorders>
                    <w:tl2br w:val="nil"/>
                    <w:tr2bl w:val="nil"/>
                  </w:tcBorders>
                  <w:vAlign w:val="center"/>
                </w:tcPr>
                <w:p w14:paraId="7AF848F9">
                  <w:pPr>
                    <w:widowControl/>
                    <w:jc w:val="center"/>
                    <w:rPr>
                      <w:b/>
                      <w:bCs/>
                      <w:color w:val="auto"/>
                      <w:szCs w:val="21"/>
                    </w:rPr>
                  </w:pPr>
                  <w:r>
                    <w:rPr>
                      <w:rFonts w:hint="eastAsia"/>
                      <w:b/>
                      <w:bCs/>
                      <w:color w:val="auto"/>
                      <w:szCs w:val="21"/>
                    </w:rPr>
                    <w:t>采样日期</w:t>
                  </w:r>
                </w:p>
              </w:tc>
              <w:tc>
                <w:tcPr>
                  <w:tcW w:w="900" w:type="dxa"/>
                  <w:tcBorders>
                    <w:tl2br w:val="nil"/>
                    <w:tr2bl w:val="nil"/>
                  </w:tcBorders>
                  <w:vAlign w:val="center"/>
                </w:tcPr>
                <w:p w14:paraId="221482C7">
                  <w:pPr>
                    <w:widowControl/>
                    <w:jc w:val="center"/>
                    <w:rPr>
                      <w:b/>
                      <w:bCs/>
                      <w:color w:val="auto"/>
                      <w:szCs w:val="21"/>
                    </w:rPr>
                  </w:pPr>
                  <w:r>
                    <w:rPr>
                      <w:rFonts w:hint="eastAsia"/>
                      <w:b/>
                      <w:bCs/>
                      <w:color w:val="auto"/>
                      <w:szCs w:val="21"/>
                    </w:rPr>
                    <w:t>检测项目</w:t>
                  </w:r>
                </w:p>
              </w:tc>
              <w:tc>
                <w:tcPr>
                  <w:tcW w:w="1750" w:type="dxa"/>
                  <w:tcBorders>
                    <w:tl2br w:val="nil"/>
                    <w:tr2bl w:val="nil"/>
                  </w:tcBorders>
                  <w:vAlign w:val="center"/>
                </w:tcPr>
                <w:p w14:paraId="07E9CBC3">
                  <w:pPr>
                    <w:widowControl/>
                    <w:jc w:val="center"/>
                    <w:rPr>
                      <w:b/>
                      <w:bCs/>
                      <w:color w:val="auto"/>
                      <w:szCs w:val="21"/>
                    </w:rPr>
                  </w:pPr>
                  <w:r>
                    <w:rPr>
                      <w:rFonts w:hint="eastAsia"/>
                      <w:b/>
                      <w:bCs/>
                      <w:color w:val="auto"/>
                      <w:szCs w:val="21"/>
                    </w:rPr>
                    <w:t>采样频次</w:t>
                  </w:r>
                </w:p>
              </w:tc>
              <w:tc>
                <w:tcPr>
                  <w:tcW w:w="1038" w:type="dxa"/>
                  <w:tcBorders>
                    <w:tl2br w:val="nil"/>
                    <w:tr2bl w:val="nil"/>
                  </w:tcBorders>
                  <w:vAlign w:val="center"/>
                </w:tcPr>
                <w:p w14:paraId="2F3AA58C">
                  <w:pPr>
                    <w:jc w:val="center"/>
                    <w:rPr>
                      <w:b/>
                      <w:bCs/>
                      <w:color w:val="auto"/>
                    </w:rPr>
                  </w:pPr>
                  <w:r>
                    <w:rPr>
                      <w:rFonts w:hint="eastAsia"/>
                      <w:b/>
                      <w:bCs/>
                      <w:color w:val="auto"/>
                    </w:rPr>
                    <w:t>上风向G1</w:t>
                  </w:r>
                </w:p>
              </w:tc>
              <w:tc>
                <w:tcPr>
                  <w:tcW w:w="1000" w:type="dxa"/>
                  <w:tcBorders>
                    <w:tl2br w:val="nil"/>
                    <w:tr2bl w:val="nil"/>
                  </w:tcBorders>
                  <w:vAlign w:val="center"/>
                </w:tcPr>
                <w:p w14:paraId="77EDBE0D">
                  <w:pPr>
                    <w:jc w:val="center"/>
                    <w:rPr>
                      <w:b/>
                      <w:bCs/>
                      <w:color w:val="auto"/>
                    </w:rPr>
                  </w:pPr>
                  <w:r>
                    <w:rPr>
                      <w:rFonts w:hint="eastAsia"/>
                      <w:b/>
                      <w:bCs/>
                      <w:color w:val="auto"/>
                    </w:rPr>
                    <w:t>下风向G2</w:t>
                  </w:r>
                </w:p>
              </w:tc>
              <w:tc>
                <w:tcPr>
                  <w:tcW w:w="1000" w:type="dxa"/>
                  <w:tcBorders>
                    <w:tl2br w:val="nil"/>
                    <w:tr2bl w:val="nil"/>
                  </w:tcBorders>
                  <w:vAlign w:val="center"/>
                </w:tcPr>
                <w:p w14:paraId="76A102E3">
                  <w:pPr>
                    <w:jc w:val="center"/>
                    <w:rPr>
                      <w:b/>
                      <w:bCs/>
                      <w:color w:val="auto"/>
                    </w:rPr>
                  </w:pPr>
                  <w:r>
                    <w:rPr>
                      <w:rFonts w:hint="eastAsia"/>
                      <w:b/>
                      <w:bCs/>
                      <w:color w:val="auto"/>
                    </w:rPr>
                    <w:t>下风向G3</w:t>
                  </w:r>
                </w:p>
              </w:tc>
              <w:tc>
                <w:tcPr>
                  <w:tcW w:w="1025" w:type="dxa"/>
                  <w:tcBorders>
                    <w:tl2br w:val="nil"/>
                    <w:tr2bl w:val="nil"/>
                  </w:tcBorders>
                  <w:vAlign w:val="center"/>
                </w:tcPr>
                <w:p w14:paraId="19F8BC92">
                  <w:pPr>
                    <w:jc w:val="center"/>
                    <w:rPr>
                      <w:b/>
                      <w:bCs/>
                      <w:color w:val="auto"/>
                    </w:rPr>
                  </w:pPr>
                  <w:r>
                    <w:rPr>
                      <w:rFonts w:hint="eastAsia"/>
                      <w:b/>
                      <w:bCs/>
                      <w:color w:val="auto"/>
                    </w:rPr>
                    <w:t>下风向G4</w:t>
                  </w:r>
                </w:p>
              </w:tc>
              <w:tc>
                <w:tcPr>
                  <w:tcW w:w="642" w:type="dxa"/>
                  <w:tcBorders>
                    <w:tl2br w:val="nil"/>
                    <w:tr2bl w:val="nil"/>
                  </w:tcBorders>
                  <w:vAlign w:val="center"/>
                </w:tcPr>
                <w:p w14:paraId="7666FB7C">
                  <w:pPr>
                    <w:jc w:val="center"/>
                    <w:rPr>
                      <w:b/>
                      <w:bCs/>
                      <w:color w:val="auto"/>
                    </w:rPr>
                  </w:pPr>
                  <w:r>
                    <w:rPr>
                      <w:rFonts w:hint="eastAsia"/>
                      <w:b/>
                      <w:bCs/>
                      <w:color w:val="auto"/>
                    </w:rPr>
                    <w:t>单位</w:t>
                  </w:r>
                </w:p>
              </w:tc>
            </w:tr>
            <w:tr w14:paraId="128DF3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90" w:type="dxa"/>
                  <w:vMerge w:val="restart"/>
                  <w:tcBorders>
                    <w:tl2br w:val="nil"/>
                    <w:tr2bl w:val="nil"/>
                  </w:tcBorders>
                  <w:vAlign w:val="center"/>
                </w:tcPr>
                <w:p w14:paraId="69DD314D">
                  <w:pPr>
                    <w:widowControl/>
                    <w:jc w:val="center"/>
                    <w:rPr>
                      <w:color w:val="auto"/>
                      <w:szCs w:val="21"/>
                    </w:rPr>
                  </w:pPr>
                  <w:r>
                    <w:rPr>
                      <w:rFonts w:hint="eastAsia"/>
                      <w:color w:val="auto"/>
                      <w:szCs w:val="21"/>
                    </w:rPr>
                    <w:t>2023.05.10</w:t>
                  </w:r>
                </w:p>
              </w:tc>
              <w:tc>
                <w:tcPr>
                  <w:tcW w:w="900" w:type="dxa"/>
                  <w:vMerge w:val="restart"/>
                  <w:tcBorders>
                    <w:tl2br w:val="nil"/>
                    <w:tr2bl w:val="nil"/>
                  </w:tcBorders>
                  <w:vAlign w:val="center"/>
                </w:tcPr>
                <w:p w14:paraId="65B946EA">
                  <w:pPr>
                    <w:widowControl/>
                    <w:jc w:val="center"/>
                    <w:rPr>
                      <w:color w:val="auto"/>
                      <w:szCs w:val="21"/>
                    </w:rPr>
                  </w:pPr>
                  <w:r>
                    <w:rPr>
                      <w:rFonts w:hint="eastAsia"/>
                      <w:color w:val="auto"/>
                      <w:szCs w:val="21"/>
                    </w:rPr>
                    <w:t>挥发性有机物（35种）</w:t>
                  </w:r>
                </w:p>
              </w:tc>
              <w:tc>
                <w:tcPr>
                  <w:tcW w:w="1750" w:type="dxa"/>
                  <w:tcBorders>
                    <w:tl2br w:val="nil"/>
                    <w:tr2bl w:val="nil"/>
                  </w:tcBorders>
                  <w:vAlign w:val="center"/>
                </w:tcPr>
                <w:p w14:paraId="0FE26716">
                  <w:pPr>
                    <w:jc w:val="center"/>
                    <w:rPr>
                      <w:color w:val="auto"/>
                    </w:rPr>
                  </w:pPr>
                  <w:r>
                    <w:rPr>
                      <w:color w:val="auto"/>
                      <w:szCs w:val="21"/>
                    </w:rPr>
                    <w:t>第一次</w:t>
                  </w:r>
                </w:p>
              </w:tc>
              <w:tc>
                <w:tcPr>
                  <w:tcW w:w="1038" w:type="dxa"/>
                  <w:tcBorders>
                    <w:tl2br w:val="nil"/>
                    <w:tr2bl w:val="nil"/>
                  </w:tcBorders>
                  <w:vAlign w:val="center"/>
                </w:tcPr>
                <w:p w14:paraId="7B9975EE">
                  <w:pPr>
                    <w:jc w:val="center"/>
                    <w:rPr>
                      <w:color w:val="auto"/>
                    </w:rPr>
                  </w:pPr>
                  <w:r>
                    <w:rPr>
                      <w:rFonts w:hint="eastAsia"/>
                      <w:color w:val="auto"/>
                    </w:rPr>
                    <w:t>178</w:t>
                  </w:r>
                </w:p>
              </w:tc>
              <w:tc>
                <w:tcPr>
                  <w:tcW w:w="1000" w:type="dxa"/>
                  <w:tcBorders>
                    <w:tl2br w:val="nil"/>
                    <w:tr2bl w:val="nil"/>
                  </w:tcBorders>
                  <w:vAlign w:val="center"/>
                </w:tcPr>
                <w:p w14:paraId="494E1B7A">
                  <w:pPr>
                    <w:jc w:val="center"/>
                    <w:rPr>
                      <w:color w:val="auto"/>
                    </w:rPr>
                  </w:pPr>
                  <w:r>
                    <w:rPr>
                      <w:rFonts w:hint="eastAsia"/>
                      <w:color w:val="auto"/>
                    </w:rPr>
                    <w:t>229</w:t>
                  </w:r>
                </w:p>
              </w:tc>
              <w:tc>
                <w:tcPr>
                  <w:tcW w:w="1000" w:type="dxa"/>
                  <w:tcBorders>
                    <w:tl2br w:val="nil"/>
                    <w:tr2bl w:val="nil"/>
                  </w:tcBorders>
                  <w:vAlign w:val="center"/>
                </w:tcPr>
                <w:p w14:paraId="54810670">
                  <w:pPr>
                    <w:jc w:val="center"/>
                    <w:rPr>
                      <w:color w:val="auto"/>
                    </w:rPr>
                  </w:pPr>
                  <w:r>
                    <w:rPr>
                      <w:rFonts w:hint="eastAsia"/>
                      <w:color w:val="auto"/>
                    </w:rPr>
                    <w:t>873</w:t>
                  </w:r>
                </w:p>
              </w:tc>
              <w:tc>
                <w:tcPr>
                  <w:tcW w:w="1025" w:type="dxa"/>
                  <w:tcBorders>
                    <w:tl2br w:val="nil"/>
                    <w:tr2bl w:val="nil"/>
                  </w:tcBorders>
                  <w:vAlign w:val="center"/>
                </w:tcPr>
                <w:p w14:paraId="74E0DED6">
                  <w:pPr>
                    <w:jc w:val="center"/>
                    <w:rPr>
                      <w:color w:val="auto"/>
                    </w:rPr>
                  </w:pPr>
                  <w:r>
                    <w:rPr>
                      <w:rFonts w:hint="eastAsia"/>
                      <w:color w:val="auto"/>
                    </w:rPr>
                    <w:t>380</w:t>
                  </w:r>
                </w:p>
              </w:tc>
              <w:tc>
                <w:tcPr>
                  <w:tcW w:w="642" w:type="dxa"/>
                  <w:vMerge w:val="restart"/>
                  <w:tcBorders>
                    <w:tl2br w:val="nil"/>
                    <w:tr2bl w:val="nil"/>
                  </w:tcBorders>
                  <w:vAlign w:val="center"/>
                </w:tcPr>
                <w:p w14:paraId="71D1A403">
                  <w:pPr>
                    <w:adjustRightInd w:val="0"/>
                    <w:snapToGrid w:val="0"/>
                    <w:jc w:val="center"/>
                    <w:rPr>
                      <w:color w:val="auto"/>
                      <w:szCs w:val="22"/>
                    </w:rPr>
                  </w:pPr>
                  <w:r>
                    <w:rPr>
                      <w:color w:val="auto"/>
                      <w:szCs w:val="21"/>
                    </w:rPr>
                    <w:t>μg/m</w:t>
                  </w:r>
                  <w:r>
                    <w:rPr>
                      <w:color w:val="auto"/>
                      <w:szCs w:val="21"/>
                      <w:vertAlign w:val="superscript"/>
                    </w:rPr>
                    <w:t>3</w:t>
                  </w:r>
                </w:p>
              </w:tc>
            </w:tr>
            <w:tr w14:paraId="574322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90" w:type="dxa"/>
                  <w:vMerge w:val="continue"/>
                  <w:tcBorders>
                    <w:tl2br w:val="nil"/>
                    <w:tr2bl w:val="nil"/>
                  </w:tcBorders>
                  <w:vAlign w:val="center"/>
                </w:tcPr>
                <w:p w14:paraId="6AB27CE9">
                  <w:pPr>
                    <w:jc w:val="center"/>
                    <w:rPr>
                      <w:color w:val="auto"/>
                    </w:rPr>
                  </w:pPr>
                </w:p>
              </w:tc>
              <w:tc>
                <w:tcPr>
                  <w:tcW w:w="900" w:type="dxa"/>
                  <w:vMerge w:val="continue"/>
                  <w:tcBorders>
                    <w:tl2br w:val="nil"/>
                    <w:tr2bl w:val="nil"/>
                  </w:tcBorders>
                  <w:vAlign w:val="center"/>
                </w:tcPr>
                <w:p w14:paraId="5C6ED727">
                  <w:pPr>
                    <w:jc w:val="center"/>
                    <w:rPr>
                      <w:color w:val="auto"/>
                    </w:rPr>
                  </w:pPr>
                </w:p>
              </w:tc>
              <w:tc>
                <w:tcPr>
                  <w:tcW w:w="1750" w:type="dxa"/>
                  <w:tcBorders>
                    <w:tl2br w:val="nil"/>
                    <w:tr2bl w:val="nil"/>
                  </w:tcBorders>
                  <w:vAlign w:val="center"/>
                </w:tcPr>
                <w:p w14:paraId="2340CB36">
                  <w:pPr>
                    <w:jc w:val="center"/>
                    <w:rPr>
                      <w:color w:val="auto"/>
                    </w:rPr>
                  </w:pPr>
                  <w:r>
                    <w:rPr>
                      <w:color w:val="auto"/>
                      <w:szCs w:val="21"/>
                    </w:rPr>
                    <w:t>第二次</w:t>
                  </w:r>
                </w:p>
              </w:tc>
              <w:tc>
                <w:tcPr>
                  <w:tcW w:w="1038" w:type="dxa"/>
                  <w:tcBorders>
                    <w:tl2br w:val="nil"/>
                    <w:tr2bl w:val="nil"/>
                  </w:tcBorders>
                  <w:vAlign w:val="center"/>
                </w:tcPr>
                <w:p w14:paraId="07C09A82">
                  <w:pPr>
                    <w:jc w:val="center"/>
                    <w:rPr>
                      <w:color w:val="auto"/>
                    </w:rPr>
                  </w:pPr>
                  <w:r>
                    <w:rPr>
                      <w:rFonts w:hint="eastAsia"/>
                      <w:color w:val="auto"/>
                    </w:rPr>
                    <w:t>169</w:t>
                  </w:r>
                </w:p>
              </w:tc>
              <w:tc>
                <w:tcPr>
                  <w:tcW w:w="1000" w:type="dxa"/>
                  <w:tcBorders>
                    <w:tl2br w:val="nil"/>
                    <w:tr2bl w:val="nil"/>
                  </w:tcBorders>
                  <w:vAlign w:val="center"/>
                </w:tcPr>
                <w:p w14:paraId="02F41013">
                  <w:pPr>
                    <w:jc w:val="center"/>
                    <w:rPr>
                      <w:color w:val="auto"/>
                    </w:rPr>
                  </w:pPr>
                  <w:r>
                    <w:rPr>
                      <w:rFonts w:hint="eastAsia"/>
                      <w:color w:val="auto"/>
                    </w:rPr>
                    <w:t>248</w:t>
                  </w:r>
                </w:p>
              </w:tc>
              <w:tc>
                <w:tcPr>
                  <w:tcW w:w="1000" w:type="dxa"/>
                  <w:tcBorders>
                    <w:tl2br w:val="nil"/>
                    <w:tr2bl w:val="nil"/>
                  </w:tcBorders>
                  <w:vAlign w:val="center"/>
                </w:tcPr>
                <w:p w14:paraId="681947C5">
                  <w:pPr>
                    <w:widowControl/>
                    <w:jc w:val="center"/>
                    <w:textAlignment w:val="center"/>
                    <w:rPr>
                      <w:color w:val="auto"/>
                      <w:szCs w:val="21"/>
                    </w:rPr>
                  </w:pPr>
                  <w:r>
                    <w:rPr>
                      <w:rFonts w:hint="eastAsia"/>
                      <w:color w:val="auto"/>
                      <w:szCs w:val="21"/>
                    </w:rPr>
                    <w:t>1.22</w:t>
                  </w:r>
                  <w:r>
                    <w:rPr>
                      <w:rFonts w:ascii="Arial" w:hAnsi="Arial" w:cs="Arial"/>
                      <w:color w:val="auto"/>
                      <w:szCs w:val="21"/>
                    </w:rPr>
                    <w:t>×</w:t>
                  </w:r>
                  <w:r>
                    <w:rPr>
                      <w:rFonts w:hint="eastAsia"/>
                      <w:color w:val="auto"/>
                      <w:szCs w:val="21"/>
                    </w:rPr>
                    <w:t>10</w:t>
                  </w:r>
                  <w:r>
                    <w:rPr>
                      <w:rFonts w:hint="eastAsia"/>
                      <w:color w:val="auto"/>
                      <w:szCs w:val="21"/>
                      <w:vertAlign w:val="superscript"/>
                    </w:rPr>
                    <w:t>3</w:t>
                  </w:r>
                </w:p>
              </w:tc>
              <w:tc>
                <w:tcPr>
                  <w:tcW w:w="1025" w:type="dxa"/>
                  <w:tcBorders>
                    <w:tl2br w:val="nil"/>
                    <w:tr2bl w:val="nil"/>
                  </w:tcBorders>
                  <w:vAlign w:val="center"/>
                </w:tcPr>
                <w:p w14:paraId="2CE34A7B">
                  <w:pPr>
                    <w:jc w:val="center"/>
                    <w:rPr>
                      <w:color w:val="auto"/>
                    </w:rPr>
                  </w:pPr>
                  <w:r>
                    <w:rPr>
                      <w:rFonts w:hint="eastAsia"/>
                      <w:color w:val="auto"/>
                    </w:rPr>
                    <w:t>277</w:t>
                  </w:r>
                </w:p>
              </w:tc>
              <w:tc>
                <w:tcPr>
                  <w:tcW w:w="642" w:type="dxa"/>
                  <w:vMerge w:val="continue"/>
                  <w:tcBorders>
                    <w:tl2br w:val="nil"/>
                    <w:tr2bl w:val="nil"/>
                  </w:tcBorders>
                  <w:vAlign w:val="center"/>
                </w:tcPr>
                <w:p w14:paraId="26AD091B">
                  <w:pPr>
                    <w:jc w:val="center"/>
                    <w:rPr>
                      <w:color w:val="auto"/>
                    </w:rPr>
                  </w:pPr>
                </w:p>
              </w:tc>
            </w:tr>
            <w:tr w14:paraId="2628F7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90" w:type="dxa"/>
                  <w:vMerge w:val="continue"/>
                  <w:tcBorders>
                    <w:tl2br w:val="nil"/>
                    <w:tr2bl w:val="nil"/>
                  </w:tcBorders>
                  <w:vAlign w:val="center"/>
                </w:tcPr>
                <w:p w14:paraId="457D62D9">
                  <w:pPr>
                    <w:jc w:val="center"/>
                    <w:rPr>
                      <w:color w:val="auto"/>
                    </w:rPr>
                  </w:pPr>
                </w:p>
              </w:tc>
              <w:tc>
                <w:tcPr>
                  <w:tcW w:w="900" w:type="dxa"/>
                  <w:vMerge w:val="continue"/>
                  <w:tcBorders>
                    <w:tl2br w:val="nil"/>
                    <w:tr2bl w:val="nil"/>
                  </w:tcBorders>
                  <w:vAlign w:val="center"/>
                </w:tcPr>
                <w:p w14:paraId="764605C8">
                  <w:pPr>
                    <w:jc w:val="center"/>
                    <w:rPr>
                      <w:color w:val="auto"/>
                    </w:rPr>
                  </w:pPr>
                </w:p>
              </w:tc>
              <w:tc>
                <w:tcPr>
                  <w:tcW w:w="1750" w:type="dxa"/>
                  <w:tcBorders>
                    <w:tl2br w:val="nil"/>
                    <w:tr2bl w:val="nil"/>
                  </w:tcBorders>
                  <w:vAlign w:val="center"/>
                </w:tcPr>
                <w:p w14:paraId="7758B985">
                  <w:pPr>
                    <w:jc w:val="center"/>
                    <w:rPr>
                      <w:color w:val="auto"/>
                    </w:rPr>
                  </w:pPr>
                  <w:r>
                    <w:rPr>
                      <w:color w:val="auto"/>
                      <w:szCs w:val="21"/>
                    </w:rPr>
                    <w:t>第三次</w:t>
                  </w:r>
                </w:p>
              </w:tc>
              <w:tc>
                <w:tcPr>
                  <w:tcW w:w="1038" w:type="dxa"/>
                  <w:tcBorders>
                    <w:tl2br w:val="nil"/>
                    <w:tr2bl w:val="nil"/>
                  </w:tcBorders>
                  <w:vAlign w:val="center"/>
                </w:tcPr>
                <w:p w14:paraId="21D22ADD">
                  <w:pPr>
                    <w:jc w:val="center"/>
                    <w:rPr>
                      <w:color w:val="auto"/>
                    </w:rPr>
                  </w:pPr>
                  <w:r>
                    <w:rPr>
                      <w:rFonts w:hint="eastAsia"/>
                      <w:color w:val="auto"/>
                    </w:rPr>
                    <w:t>166</w:t>
                  </w:r>
                </w:p>
              </w:tc>
              <w:tc>
                <w:tcPr>
                  <w:tcW w:w="1000" w:type="dxa"/>
                  <w:tcBorders>
                    <w:tl2br w:val="nil"/>
                    <w:tr2bl w:val="nil"/>
                  </w:tcBorders>
                  <w:vAlign w:val="center"/>
                </w:tcPr>
                <w:p w14:paraId="16C32A64">
                  <w:pPr>
                    <w:jc w:val="center"/>
                    <w:rPr>
                      <w:color w:val="auto"/>
                    </w:rPr>
                  </w:pPr>
                  <w:r>
                    <w:rPr>
                      <w:rFonts w:hint="eastAsia"/>
                      <w:color w:val="auto"/>
                    </w:rPr>
                    <w:t>318</w:t>
                  </w:r>
                </w:p>
              </w:tc>
              <w:tc>
                <w:tcPr>
                  <w:tcW w:w="1000" w:type="dxa"/>
                  <w:tcBorders>
                    <w:tl2br w:val="nil"/>
                    <w:tr2bl w:val="nil"/>
                  </w:tcBorders>
                  <w:vAlign w:val="center"/>
                </w:tcPr>
                <w:p w14:paraId="583E0A74">
                  <w:pPr>
                    <w:widowControl/>
                    <w:jc w:val="center"/>
                    <w:textAlignment w:val="center"/>
                    <w:rPr>
                      <w:color w:val="auto"/>
                      <w:szCs w:val="21"/>
                    </w:rPr>
                  </w:pPr>
                  <w:r>
                    <w:rPr>
                      <w:rFonts w:hint="eastAsia"/>
                      <w:color w:val="auto"/>
                      <w:szCs w:val="21"/>
                    </w:rPr>
                    <w:t>1.03</w:t>
                  </w:r>
                  <w:r>
                    <w:rPr>
                      <w:rFonts w:ascii="Arial" w:hAnsi="Arial" w:cs="Arial"/>
                      <w:color w:val="auto"/>
                      <w:szCs w:val="21"/>
                    </w:rPr>
                    <w:t>×</w:t>
                  </w:r>
                  <w:r>
                    <w:rPr>
                      <w:rFonts w:hint="eastAsia"/>
                      <w:color w:val="auto"/>
                      <w:szCs w:val="21"/>
                    </w:rPr>
                    <w:t>10</w:t>
                  </w:r>
                  <w:r>
                    <w:rPr>
                      <w:rFonts w:hint="eastAsia"/>
                      <w:color w:val="auto"/>
                      <w:szCs w:val="21"/>
                      <w:vertAlign w:val="superscript"/>
                    </w:rPr>
                    <w:t>3</w:t>
                  </w:r>
                </w:p>
              </w:tc>
              <w:tc>
                <w:tcPr>
                  <w:tcW w:w="1025" w:type="dxa"/>
                  <w:tcBorders>
                    <w:tl2br w:val="nil"/>
                    <w:tr2bl w:val="nil"/>
                  </w:tcBorders>
                  <w:vAlign w:val="center"/>
                </w:tcPr>
                <w:p w14:paraId="5F23F2F5">
                  <w:pPr>
                    <w:jc w:val="center"/>
                    <w:rPr>
                      <w:color w:val="auto"/>
                    </w:rPr>
                  </w:pPr>
                  <w:r>
                    <w:rPr>
                      <w:rFonts w:hint="eastAsia"/>
                      <w:color w:val="auto"/>
                    </w:rPr>
                    <w:t>421</w:t>
                  </w:r>
                </w:p>
              </w:tc>
              <w:tc>
                <w:tcPr>
                  <w:tcW w:w="642" w:type="dxa"/>
                  <w:vMerge w:val="continue"/>
                  <w:tcBorders>
                    <w:tl2br w:val="nil"/>
                    <w:tr2bl w:val="nil"/>
                  </w:tcBorders>
                  <w:vAlign w:val="center"/>
                </w:tcPr>
                <w:p w14:paraId="012C93A6">
                  <w:pPr>
                    <w:jc w:val="center"/>
                    <w:rPr>
                      <w:color w:val="auto"/>
                    </w:rPr>
                  </w:pPr>
                </w:p>
              </w:tc>
            </w:tr>
            <w:tr w14:paraId="00116C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90" w:type="dxa"/>
                  <w:vMerge w:val="continue"/>
                  <w:tcBorders>
                    <w:tl2br w:val="nil"/>
                    <w:tr2bl w:val="nil"/>
                  </w:tcBorders>
                  <w:vAlign w:val="center"/>
                </w:tcPr>
                <w:p w14:paraId="0CA56248">
                  <w:pPr>
                    <w:jc w:val="center"/>
                    <w:rPr>
                      <w:color w:val="auto"/>
                    </w:rPr>
                  </w:pPr>
                </w:p>
              </w:tc>
              <w:tc>
                <w:tcPr>
                  <w:tcW w:w="900" w:type="dxa"/>
                  <w:vMerge w:val="continue"/>
                  <w:tcBorders>
                    <w:tl2br w:val="nil"/>
                    <w:tr2bl w:val="nil"/>
                  </w:tcBorders>
                  <w:vAlign w:val="center"/>
                </w:tcPr>
                <w:p w14:paraId="3FB82070">
                  <w:pPr>
                    <w:jc w:val="center"/>
                    <w:rPr>
                      <w:color w:val="auto"/>
                    </w:rPr>
                  </w:pPr>
                </w:p>
              </w:tc>
              <w:tc>
                <w:tcPr>
                  <w:tcW w:w="1750" w:type="dxa"/>
                  <w:tcBorders>
                    <w:tl2br w:val="nil"/>
                    <w:tr2bl w:val="nil"/>
                  </w:tcBorders>
                  <w:vAlign w:val="center"/>
                </w:tcPr>
                <w:p w14:paraId="15C13455">
                  <w:pPr>
                    <w:jc w:val="center"/>
                    <w:rPr>
                      <w:color w:val="auto"/>
                    </w:rPr>
                  </w:pPr>
                  <w:r>
                    <w:rPr>
                      <w:rFonts w:hint="eastAsia"/>
                      <w:color w:val="auto"/>
                    </w:rPr>
                    <w:t>周界外浓度最大值</w:t>
                  </w:r>
                </w:p>
              </w:tc>
              <w:tc>
                <w:tcPr>
                  <w:tcW w:w="4063" w:type="dxa"/>
                  <w:gridSpan w:val="4"/>
                  <w:tcBorders>
                    <w:tl2br w:val="nil"/>
                    <w:tr2bl w:val="nil"/>
                  </w:tcBorders>
                  <w:vAlign w:val="center"/>
                </w:tcPr>
                <w:p w14:paraId="30014F30">
                  <w:pPr>
                    <w:jc w:val="center"/>
                    <w:rPr>
                      <w:color w:val="auto"/>
                    </w:rPr>
                  </w:pPr>
                  <w:r>
                    <w:rPr>
                      <w:rFonts w:hint="eastAsia"/>
                      <w:color w:val="auto"/>
                      <w:szCs w:val="21"/>
                    </w:rPr>
                    <w:t>1.22</w:t>
                  </w:r>
                  <w:r>
                    <w:rPr>
                      <w:rFonts w:ascii="Arial" w:hAnsi="Arial" w:cs="Arial"/>
                      <w:color w:val="auto"/>
                      <w:szCs w:val="21"/>
                    </w:rPr>
                    <w:t>×</w:t>
                  </w:r>
                  <w:r>
                    <w:rPr>
                      <w:rFonts w:hint="eastAsia"/>
                      <w:color w:val="auto"/>
                      <w:szCs w:val="21"/>
                    </w:rPr>
                    <w:t>10</w:t>
                  </w:r>
                  <w:r>
                    <w:rPr>
                      <w:rFonts w:hint="eastAsia"/>
                      <w:color w:val="auto"/>
                      <w:szCs w:val="21"/>
                      <w:vertAlign w:val="superscript"/>
                    </w:rPr>
                    <w:t>3</w:t>
                  </w:r>
                </w:p>
              </w:tc>
              <w:tc>
                <w:tcPr>
                  <w:tcW w:w="642" w:type="dxa"/>
                  <w:vMerge w:val="continue"/>
                  <w:tcBorders>
                    <w:tl2br w:val="nil"/>
                    <w:tr2bl w:val="nil"/>
                  </w:tcBorders>
                  <w:vAlign w:val="center"/>
                </w:tcPr>
                <w:p w14:paraId="3D47A1A8">
                  <w:pPr>
                    <w:jc w:val="center"/>
                    <w:rPr>
                      <w:color w:val="auto"/>
                    </w:rPr>
                  </w:pPr>
                </w:p>
              </w:tc>
            </w:tr>
            <w:tr w14:paraId="55F786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90" w:type="dxa"/>
                  <w:vMerge w:val="continue"/>
                  <w:tcBorders>
                    <w:tl2br w:val="nil"/>
                    <w:tr2bl w:val="nil"/>
                  </w:tcBorders>
                  <w:vAlign w:val="center"/>
                </w:tcPr>
                <w:p w14:paraId="378A5B63">
                  <w:pPr>
                    <w:jc w:val="center"/>
                    <w:rPr>
                      <w:color w:val="auto"/>
                    </w:rPr>
                  </w:pPr>
                </w:p>
              </w:tc>
              <w:tc>
                <w:tcPr>
                  <w:tcW w:w="900" w:type="dxa"/>
                  <w:vMerge w:val="restart"/>
                  <w:tcBorders>
                    <w:tl2br w:val="nil"/>
                    <w:tr2bl w:val="nil"/>
                  </w:tcBorders>
                  <w:vAlign w:val="center"/>
                </w:tcPr>
                <w:p w14:paraId="51E0BD88">
                  <w:pPr>
                    <w:jc w:val="center"/>
                    <w:rPr>
                      <w:color w:val="auto"/>
                    </w:rPr>
                  </w:pPr>
                  <w:r>
                    <w:rPr>
                      <w:rFonts w:hint="eastAsia"/>
                      <w:color w:val="auto"/>
                      <w:szCs w:val="21"/>
                    </w:rPr>
                    <w:t>颗粒物</w:t>
                  </w:r>
                </w:p>
              </w:tc>
              <w:tc>
                <w:tcPr>
                  <w:tcW w:w="1750" w:type="dxa"/>
                  <w:tcBorders>
                    <w:tl2br w:val="nil"/>
                    <w:tr2bl w:val="nil"/>
                  </w:tcBorders>
                  <w:vAlign w:val="center"/>
                </w:tcPr>
                <w:p w14:paraId="35D3E658">
                  <w:pPr>
                    <w:jc w:val="center"/>
                    <w:rPr>
                      <w:color w:val="auto"/>
                    </w:rPr>
                  </w:pPr>
                  <w:r>
                    <w:rPr>
                      <w:color w:val="auto"/>
                      <w:szCs w:val="21"/>
                    </w:rPr>
                    <w:t>第一次</w:t>
                  </w:r>
                </w:p>
              </w:tc>
              <w:tc>
                <w:tcPr>
                  <w:tcW w:w="1038" w:type="dxa"/>
                  <w:tcBorders>
                    <w:tl2br w:val="nil"/>
                    <w:tr2bl w:val="nil"/>
                  </w:tcBorders>
                  <w:vAlign w:val="center"/>
                </w:tcPr>
                <w:p w14:paraId="1D3892F1">
                  <w:pPr>
                    <w:jc w:val="center"/>
                    <w:rPr>
                      <w:color w:val="auto"/>
                    </w:rPr>
                  </w:pPr>
                  <w:r>
                    <w:rPr>
                      <w:rFonts w:hint="eastAsia"/>
                      <w:color w:val="auto"/>
                    </w:rPr>
                    <w:t>0.189</w:t>
                  </w:r>
                </w:p>
              </w:tc>
              <w:tc>
                <w:tcPr>
                  <w:tcW w:w="1000" w:type="dxa"/>
                  <w:tcBorders>
                    <w:tl2br w:val="nil"/>
                    <w:tr2bl w:val="nil"/>
                  </w:tcBorders>
                  <w:vAlign w:val="center"/>
                </w:tcPr>
                <w:p w14:paraId="1E69DA48">
                  <w:pPr>
                    <w:jc w:val="center"/>
                    <w:rPr>
                      <w:color w:val="auto"/>
                    </w:rPr>
                  </w:pPr>
                  <w:r>
                    <w:rPr>
                      <w:rFonts w:hint="eastAsia"/>
                      <w:color w:val="auto"/>
                    </w:rPr>
                    <w:t>0.291</w:t>
                  </w:r>
                </w:p>
              </w:tc>
              <w:tc>
                <w:tcPr>
                  <w:tcW w:w="1000" w:type="dxa"/>
                  <w:tcBorders>
                    <w:tl2br w:val="nil"/>
                    <w:tr2bl w:val="nil"/>
                  </w:tcBorders>
                  <w:vAlign w:val="center"/>
                </w:tcPr>
                <w:p w14:paraId="5DE7AE82">
                  <w:pPr>
                    <w:jc w:val="center"/>
                    <w:rPr>
                      <w:color w:val="auto"/>
                    </w:rPr>
                  </w:pPr>
                  <w:r>
                    <w:rPr>
                      <w:rFonts w:hint="eastAsia"/>
                      <w:color w:val="auto"/>
                    </w:rPr>
                    <w:t>0.288</w:t>
                  </w:r>
                </w:p>
              </w:tc>
              <w:tc>
                <w:tcPr>
                  <w:tcW w:w="1025" w:type="dxa"/>
                  <w:tcBorders>
                    <w:tl2br w:val="nil"/>
                    <w:tr2bl w:val="nil"/>
                  </w:tcBorders>
                  <w:vAlign w:val="center"/>
                </w:tcPr>
                <w:p w14:paraId="1C1E8D77">
                  <w:pPr>
                    <w:jc w:val="center"/>
                    <w:rPr>
                      <w:color w:val="auto"/>
                    </w:rPr>
                  </w:pPr>
                  <w:r>
                    <w:rPr>
                      <w:rFonts w:hint="eastAsia"/>
                      <w:color w:val="auto"/>
                    </w:rPr>
                    <w:t>0.305</w:t>
                  </w:r>
                </w:p>
              </w:tc>
              <w:tc>
                <w:tcPr>
                  <w:tcW w:w="642" w:type="dxa"/>
                  <w:vMerge w:val="restart"/>
                  <w:tcBorders>
                    <w:tl2br w:val="nil"/>
                    <w:tr2bl w:val="nil"/>
                  </w:tcBorders>
                  <w:vAlign w:val="center"/>
                </w:tcPr>
                <w:p w14:paraId="5B25D8B5">
                  <w:pPr>
                    <w:adjustRightInd w:val="0"/>
                    <w:snapToGrid w:val="0"/>
                    <w:jc w:val="center"/>
                    <w:rPr>
                      <w:color w:val="auto"/>
                      <w:szCs w:val="22"/>
                    </w:rPr>
                  </w:pPr>
                  <w:r>
                    <w:rPr>
                      <w:color w:val="auto"/>
                      <w:szCs w:val="21"/>
                    </w:rPr>
                    <w:t>mg/m</w:t>
                  </w:r>
                  <w:r>
                    <w:rPr>
                      <w:color w:val="auto"/>
                      <w:szCs w:val="21"/>
                      <w:vertAlign w:val="superscript"/>
                    </w:rPr>
                    <w:t>3</w:t>
                  </w:r>
                </w:p>
              </w:tc>
            </w:tr>
            <w:tr w14:paraId="7F0A49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90" w:type="dxa"/>
                  <w:vMerge w:val="continue"/>
                  <w:tcBorders>
                    <w:tl2br w:val="nil"/>
                    <w:tr2bl w:val="nil"/>
                  </w:tcBorders>
                  <w:vAlign w:val="center"/>
                </w:tcPr>
                <w:p w14:paraId="13F8416C">
                  <w:pPr>
                    <w:jc w:val="center"/>
                    <w:rPr>
                      <w:color w:val="auto"/>
                    </w:rPr>
                  </w:pPr>
                </w:p>
              </w:tc>
              <w:tc>
                <w:tcPr>
                  <w:tcW w:w="900" w:type="dxa"/>
                  <w:vMerge w:val="continue"/>
                  <w:tcBorders>
                    <w:tl2br w:val="nil"/>
                    <w:tr2bl w:val="nil"/>
                  </w:tcBorders>
                  <w:vAlign w:val="center"/>
                </w:tcPr>
                <w:p w14:paraId="35F29A63">
                  <w:pPr>
                    <w:jc w:val="center"/>
                    <w:rPr>
                      <w:color w:val="auto"/>
                    </w:rPr>
                  </w:pPr>
                </w:p>
              </w:tc>
              <w:tc>
                <w:tcPr>
                  <w:tcW w:w="1750" w:type="dxa"/>
                  <w:tcBorders>
                    <w:tl2br w:val="nil"/>
                    <w:tr2bl w:val="nil"/>
                  </w:tcBorders>
                  <w:vAlign w:val="center"/>
                </w:tcPr>
                <w:p w14:paraId="37198CC0">
                  <w:pPr>
                    <w:jc w:val="center"/>
                    <w:rPr>
                      <w:color w:val="auto"/>
                    </w:rPr>
                  </w:pPr>
                  <w:r>
                    <w:rPr>
                      <w:color w:val="auto"/>
                      <w:szCs w:val="21"/>
                    </w:rPr>
                    <w:t>第二次</w:t>
                  </w:r>
                </w:p>
              </w:tc>
              <w:tc>
                <w:tcPr>
                  <w:tcW w:w="1038" w:type="dxa"/>
                  <w:tcBorders>
                    <w:tl2br w:val="nil"/>
                    <w:tr2bl w:val="nil"/>
                  </w:tcBorders>
                  <w:vAlign w:val="center"/>
                </w:tcPr>
                <w:p w14:paraId="6A3971D9">
                  <w:pPr>
                    <w:jc w:val="center"/>
                    <w:rPr>
                      <w:color w:val="auto"/>
                    </w:rPr>
                  </w:pPr>
                  <w:r>
                    <w:rPr>
                      <w:rFonts w:hint="eastAsia"/>
                      <w:color w:val="auto"/>
                    </w:rPr>
                    <w:t>0.176</w:t>
                  </w:r>
                </w:p>
              </w:tc>
              <w:tc>
                <w:tcPr>
                  <w:tcW w:w="1000" w:type="dxa"/>
                  <w:tcBorders>
                    <w:tl2br w:val="nil"/>
                    <w:tr2bl w:val="nil"/>
                  </w:tcBorders>
                  <w:vAlign w:val="center"/>
                </w:tcPr>
                <w:p w14:paraId="38D17257">
                  <w:pPr>
                    <w:jc w:val="center"/>
                    <w:rPr>
                      <w:color w:val="auto"/>
                    </w:rPr>
                  </w:pPr>
                  <w:r>
                    <w:rPr>
                      <w:rFonts w:hint="eastAsia"/>
                      <w:color w:val="auto"/>
                    </w:rPr>
                    <w:t>0.315</w:t>
                  </w:r>
                </w:p>
              </w:tc>
              <w:tc>
                <w:tcPr>
                  <w:tcW w:w="1000" w:type="dxa"/>
                  <w:tcBorders>
                    <w:tl2br w:val="nil"/>
                    <w:tr2bl w:val="nil"/>
                  </w:tcBorders>
                  <w:vAlign w:val="center"/>
                </w:tcPr>
                <w:p w14:paraId="561C4BA5">
                  <w:pPr>
                    <w:jc w:val="center"/>
                    <w:rPr>
                      <w:color w:val="auto"/>
                    </w:rPr>
                  </w:pPr>
                  <w:r>
                    <w:rPr>
                      <w:rFonts w:hint="eastAsia"/>
                      <w:color w:val="auto"/>
                    </w:rPr>
                    <w:t>0.283</w:t>
                  </w:r>
                </w:p>
              </w:tc>
              <w:tc>
                <w:tcPr>
                  <w:tcW w:w="1025" w:type="dxa"/>
                  <w:tcBorders>
                    <w:tl2br w:val="nil"/>
                    <w:tr2bl w:val="nil"/>
                  </w:tcBorders>
                  <w:vAlign w:val="center"/>
                </w:tcPr>
                <w:p w14:paraId="168EE331">
                  <w:pPr>
                    <w:jc w:val="center"/>
                    <w:rPr>
                      <w:color w:val="auto"/>
                    </w:rPr>
                  </w:pPr>
                  <w:r>
                    <w:rPr>
                      <w:rFonts w:hint="eastAsia"/>
                      <w:color w:val="auto"/>
                    </w:rPr>
                    <w:t>0.282</w:t>
                  </w:r>
                </w:p>
              </w:tc>
              <w:tc>
                <w:tcPr>
                  <w:tcW w:w="642" w:type="dxa"/>
                  <w:vMerge w:val="continue"/>
                  <w:tcBorders>
                    <w:tl2br w:val="nil"/>
                    <w:tr2bl w:val="nil"/>
                  </w:tcBorders>
                  <w:vAlign w:val="center"/>
                </w:tcPr>
                <w:p w14:paraId="02AE9803">
                  <w:pPr>
                    <w:jc w:val="center"/>
                    <w:rPr>
                      <w:color w:val="auto"/>
                    </w:rPr>
                  </w:pPr>
                </w:p>
              </w:tc>
            </w:tr>
            <w:tr w14:paraId="22FF52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90" w:type="dxa"/>
                  <w:vMerge w:val="continue"/>
                  <w:tcBorders>
                    <w:tl2br w:val="nil"/>
                    <w:tr2bl w:val="nil"/>
                  </w:tcBorders>
                  <w:vAlign w:val="center"/>
                </w:tcPr>
                <w:p w14:paraId="48C435EA">
                  <w:pPr>
                    <w:jc w:val="center"/>
                    <w:rPr>
                      <w:color w:val="auto"/>
                    </w:rPr>
                  </w:pPr>
                </w:p>
              </w:tc>
              <w:tc>
                <w:tcPr>
                  <w:tcW w:w="900" w:type="dxa"/>
                  <w:vMerge w:val="continue"/>
                  <w:tcBorders>
                    <w:tl2br w:val="nil"/>
                    <w:tr2bl w:val="nil"/>
                  </w:tcBorders>
                  <w:vAlign w:val="center"/>
                </w:tcPr>
                <w:p w14:paraId="2A5530CB">
                  <w:pPr>
                    <w:jc w:val="center"/>
                    <w:rPr>
                      <w:color w:val="auto"/>
                    </w:rPr>
                  </w:pPr>
                </w:p>
              </w:tc>
              <w:tc>
                <w:tcPr>
                  <w:tcW w:w="1750" w:type="dxa"/>
                  <w:tcBorders>
                    <w:tl2br w:val="nil"/>
                    <w:tr2bl w:val="nil"/>
                  </w:tcBorders>
                  <w:vAlign w:val="center"/>
                </w:tcPr>
                <w:p w14:paraId="213DACF8">
                  <w:pPr>
                    <w:jc w:val="center"/>
                    <w:rPr>
                      <w:color w:val="auto"/>
                    </w:rPr>
                  </w:pPr>
                  <w:r>
                    <w:rPr>
                      <w:color w:val="auto"/>
                      <w:szCs w:val="21"/>
                    </w:rPr>
                    <w:t>第三次</w:t>
                  </w:r>
                </w:p>
              </w:tc>
              <w:tc>
                <w:tcPr>
                  <w:tcW w:w="1038" w:type="dxa"/>
                  <w:tcBorders>
                    <w:tl2br w:val="nil"/>
                    <w:tr2bl w:val="nil"/>
                  </w:tcBorders>
                  <w:vAlign w:val="center"/>
                </w:tcPr>
                <w:p w14:paraId="56217C09">
                  <w:pPr>
                    <w:jc w:val="center"/>
                    <w:rPr>
                      <w:color w:val="auto"/>
                    </w:rPr>
                  </w:pPr>
                  <w:r>
                    <w:rPr>
                      <w:rFonts w:hint="eastAsia"/>
                      <w:color w:val="auto"/>
                    </w:rPr>
                    <w:t>0.170</w:t>
                  </w:r>
                </w:p>
              </w:tc>
              <w:tc>
                <w:tcPr>
                  <w:tcW w:w="1000" w:type="dxa"/>
                  <w:tcBorders>
                    <w:tl2br w:val="nil"/>
                    <w:tr2bl w:val="nil"/>
                  </w:tcBorders>
                  <w:vAlign w:val="center"/>
                </w:tcPr>
                <w:p w14:paraId="5DA04C38">
                  <w:pPr>
                    <w:jc w:val="center"/>
                    <w:rPr>
                      <w:color w:val="auto"/>
                    </w:rPr>
                  </w:pPr>
                  <w:r>
                    <w:rPr>
                      <w:rFonts w:hint="eastAsia"/>
                      <w:color w:val="auto"/>
                    </w:rPr>
                    <w:t>0.264</w:t>
                  </w:r>
                </w:p>
              </w:tc>
              <w:tc>
                <w:tcPr>
                  <w:tcW w:w="1000" w:type="dxa"/>
                  <w:tcBorders>
                    <w:tl2br w:val="nil"/>
                    <w:tr2bl w:val="nil"/>
                  </w:tcBorders>
                  <w:vAlign w:val="center"/>
                </w:tcPr>
                <w:p w14:paraId="6998F036">
                  <w:pPr>
                    <w:jc w:val="center"/>
                    <w:rPr>
                      <w:color w:val="auto"/>
                    </w:rPr>
                  </w:pPr>
                  <w:r>
                    <w:rPr>
                      <w:rFonts w:hint="eastAsia"/>
                      <w:color w:val="auto"/>
                    </w:rPr>
                    <w:t>0.330</w:t>
                  </w:r>
                </w:p>
              </w:tc>
              <w:tc>
                <w:tcPr>
                  <w:tcW w:w="1025" w:type="dxa"/>
                  <w:tcBorders>
                    <w:tl2br w:val="nil"/>
                    <w:tr2bl w:val="nil"/>
                  </w:tcBorders>
                  <w:vAlign w:val="center"/>
                </w:tcPr>
                <w:p w14:paraId="2B4428BA">
                  <w:pPr>
                    <w:jc w:val="center"/>
                    <w:rPr>
                      <w:color w:val="auto"/>
                    </w:rPr>
                  </w:pPr>
                  <w:r>
                    <w:rPr>
                      <w:rFonts w:hint="eastAsia"/>
                      <w:color w:val="auto"/>
                    </w:rPr>
                    <w:t>0.277</w:t>
                  </w:r>
                </w:p>
              </w:tc>
              <w:tc>
                <w:tcPr>
                  <w:tcW w:w="642" w:type="dxa"/>
                  <w:vMerge w:val="continue"/>
                  <w:tcBorders>
                    <w:tl2br w:val="nil"/>
                    <w:tr2bl w:val="nil"/>
                  </w:tcBorders>
                  <w:vAlign w:val="center"/>
                </w:tcPr>
                <w:p w14:paraId="70DB2AA1">
                  <w:pPr>
                    <w:jc w:val="center"/>
                    <w:rPr>
                      <w:color w:val="auto"/>
                    </w:rPr>
                  </w:pPr>
                </w:p>
              </w:tc>
            </w:tr>
            <w:tr w14:paraId="38CB1F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90" w:type="dxa"/>
                  <w:vMerge w:val="continue"/>
                  <w:tcBorders>
                    <w:tl2br w:val="nil"/>
                    <w:tr2bl w:val="nil"/>
                  </w:tcBorders>
                  <w:vAlign w:val="center"/>
                </w:tcPr>
                <w:p w14:paraId="37FEAEB4">
                  <w:pPr>
                    <w:jc w:val="center"/>
                    <w:rPr>
                      <w:color w:val="auto"/>
                    </w:rPr>
                  </w:pPr>
                </w:p>
              </w:tc>
              <w:tc>
                <w:tcPr>
                  <w:tcW w:w="900" w:type="dxa"/>
                  <w:vMerge w:val="continue"/>
                  <w:tcBorders>
                    <w:tl2br w:val="nil"/>
                    <w:tr2bl w:val="nil"/>
                  </w:tcBorders>
                  <w:vAlign w:val="center"/>
                </w:tcPr>
                <w:p w14:paraId="40810CC0">
                  <w:pPr>
                    <w:jc w:val="center"/>
                    <w:rPr>
                      <w:color w:val="auto"/>
                    </w:rPr>
                  </w:pPr>
                </w:p>
              </w:tc>
              <w:tc>
                <w:tcPr>
                  <w:tcW w:w="1750" w:type="dxa"/>
                  <w:tcBorders>
                    <w:tl2br w:val="nil"/>
                    <w:tr2bl w:val="nil"/>
                  </w:tcBorders>
                  <w:vAlign w:val="center"/>
                </w:tcPr>
                <w:p w14:paraId="31D30807">
                  <w:pPr>
                    <w:jc w:val="center"/>
                    <w:rPr>
                      <w:color w:val="auto"/>
                    </w:rPr>
                  </w:pPr>
                  <w:r>
                    <w:rPr>
                      <w:rFonts w:hint="eastAsia"/>
                      <w:color w:val="auto"/>
                    </w:rPr>
                    <w:t>周界外浓度最大值</w:t>
                  </w:r>
                </w:p>
              </w:tc>
              <w:tc>
                <w:tcPr>
                  <w:tcW w:w="4063" w:type="dxa"/>
                  <w:gridSpan w:val="4"/>
                  <w:tcBorders>
                    <w:tl2br w:val="nil"/>
                    <w:tr2bl w:val="nil"/>
                  </w:tcBorders>
                  <w:vAlign w:val="center"/>
                </w:tcPr>
                <w:p w14:paraId="07E7CC10">
                  <w:pPr>
                    <w:jc w:val="center"/>
                    <w:rPr>
                      <w:color w:val="auto"/>
                    </w:rPr>
                  </w:pPr>
                  <w:r>
                    <w:rPr>
                      <w:rFonts w:hint="eastAsia"/>
                      <w:color w:val="auto"/>
                    </w:rPr>
                    <w:t>0.330</w:t>
                  </w:r>
                </w:p>
              </w:tc>
              <w:tc>
                <w:tcPr>
                  <w:tcW w:w="642" w:type="dxa"/>
                  <w:vMerge w:val="continue"/>
                  <w:tcBorders>
                    <w:tl2br w:val="nil"/>
                    <w:tr2bl w:val="nil"/>
                  </w:tcBorders>
                  <w:vAlign w:val="center"/>
                </w:tcPr>
                <w:p w14:paraId="628C3B48">
                  <w:pPr>
                    <w:jc w:val="center"/>
                    <w:rPr>
                      <w:color w:val="auto"/>
                    </w:rPr>
                  </w:pPr>
                </w:p>
              </w:tc>
            </w:tr>
            <w:tr w14:paraId="28B634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90" w:type="dxa"/>
                  <w:vMerge w:val="continue"/>
                  <w:tcBorders>
                    <w:tl2br w:val="nil"/>
                    <w:tr2bl w:val="nil"/>
                  </w:tcBorders>
                  <w:vAlign w:val="center"/>
                </w:tcPr>
                <w:p w14:paraId="63791D3A">
                  <w:pPr>
                    <w:jc w:val="center"/>
                    <w:rPr>
                      <w:color w:val="auto"/>
                    </w:rPr>
                  </w:pPr>
                </w:p>
              </w:tc>
              <w:tc>
                <w:tcPr>
                  <w:tcW w:w="900" w:type="dxa"/>
                  <w:vMerge w:val="restart"/>
                  <w:tcBorders>
                    <w:tl2br w:val="nil"/>
                    <w:tr2bl w:val="nil"/>
                  </w:tcBorders>
                  <w:vAlign w:val="center"/>
                </w:tcPr>
                <w:p w14:paraId="38632644">
                  <w:pPr>
                    <w:widowControl/>
                    <w:jc w:val="center"/>
                    <w:rPr>
                      <w:color w:val="auto"/>
                    </w:rPr>
                  </w:pPr>
                  <w:r>
                    <w:rPr>
                      <w:rFonts w:hint="eastAsia"/>
                      <w:color w:val="auto"/>
                      <w:szCs w:val="21"/>
                    </w:rPr>
                    <w:t>氯化氢</w:t>
                  </w:r>
                </w:p>
              </w:tc>
              <w:tc>
                <w:tcPr>
                  <w:tcW w:w="1750" w:type="dxa"/>
                  <w:tcBorders>
                    <w:tl2br w:val="nil"/>
                    <w:tr2bl w:val="nil"/>
                  </w:tcBorders>
                  <w:vAlign w:val="center"/>
                </w:tcPr>
                <w:p w14:paraId="4EBFE3A2">
                  <w:pPr>
                    <w:jc w:val="center"/>
                    <w:rPr>
                      <w:color w:val="auto"/>
                    </w:rPr>
                  </w:pPr>
                  <w:r>
                    <w:rPr>
                      <w:color w:val="auto"/>
                      <w:szCs w:val="21"/>
                    </w:rPr>
                    <w:t>第一次</w:t>
                  </w:r>
                </w:p>
              </w:tc>
              <w:tc>
                <w:tcPr>
                  <w:tcW w:w="1038" w:type="dxa"/>
                  <w:tcBorders>
                    <w:tl2br w:val="nil"/>
                    <w:tr2bl w:val="nil"/>
                  </w:tcBorders>
                  <w:vAlign w:val="center"/>
                </w:tcPr>
                <w:p w14:paraId="328C8B07">
                  <w:pPr>
                    <w:jc w:val="center"/>
                    <w:rPr>
                      <w:color w:val="auto"/>
                    </w:rPr>
                  </w:pPr>
                  <w:r>
                    <w:rPr>
                      <w:rFonts w:hint="eastAsia"/>
                      <w:color w:val="auto"/>
                    </w:rPr>
                    <w:t>0.040</w:t>
                  </w:r>
                </w:p>
              </w:tc>
              <w:tc>
                <w:tcPr>
                  <w:tcW w:w="1000" w:type="dxa"/>
                  <w:tcBorders>
                    <w:tl2br w:val="nil"/>
                    <w:tr2bl w:val="nil"/>
                  </w:tcBorders>
                  <w:vAlign w:val="center"/>
                </w:tcPr>
                <w:p w14:paraId="54BE68D4">
                  <w:pPr>
                    <w:jc w:val="center"/>
                    <w:rPr>
                      <w:color w:val="auto"/>
                    </w:rPr>
                  </w:pPr>
                  <w:r>
                    <w:rPr>
                      <w:rFonts w:hint="eastAsia"/>
                      <w:color w:val="auto"/>
                    </w:rPr>
                    <w:t>0.044</w:t>
                  </w:r>
                </w:p>
              </w:tc>
              <w:tc>
                <w:tcPr>
                  <w:tcW w:w="1000" w:type="dxa"/>
                  <w:tcBorders>
                    <w:tl2br w:val="nil"/>
                    <w:tr2bl w:val="nil"/>
                  </w:tcBorders>
                  <w:vAlign w:val="center"/>
                </w:tcPr>
                <w:p w14:paraId="27C86C54">
                  <w:pPr>
                    <w:jc w:val="center"/>
                    <w:rPr>
                      <w:color w:val="auto"/>
                    </w:rPr>
                  </w:pPr>
                  <w:r>
                    <w:rPr>
                      <w:rFonts w:hint="eastAsia"/>
                      <w:color w:val="auto"/>
                    </w:rPr>
                    <w:t>0.048</w:t>
                  </w:r>
                </w:p>
              </w:tc>
              <w:tc>
                <w:tcPr>
                  <w:tcW w:w="1025" w:type="dxa"/>
                  <w:tcBorders>
                    <w:tl2br w:val="nil"/>
                    <w:tr2bl w:val="nil"/>
                  </w:tcBorders>
                  <w:vAlign w:val="center"/>
                </w:tcPr>
                <w:p w14:paraId="4EF087CA">
                  <w:pPr>
                    <w:jc w:val="center"/>
                    <w:rPr>
                      <w:color w:val="auto"/>
                    </w:rPr>
                  </w:pPr>
                  <w:r>
                    <w:rPr>
                      <w:rFonts w:hint="eastAsia"/>
                      <w:color w:val="auto"/>
                    </w:rPr>
                    <w:t>0.046</w:t>
                  </w:r>
                </w:p>
              </w:tc>
              <w:tc>
                <w:tcPr>
                  <w:tcW w:w="642" w:type="dxa"/>
                  <w:vMerge w:val="restart"/>
                  <w:tcBorders>
                    <w:tl2br w:val="nil"/>
                    <w:tr2bl w:val="nil"/>
                  </w:tcBorders>
                  <w:vAlign w:val="center"/>
                </w:tcPr>
                <w:p w14:paraId="7C962FD7">
                  <w:pPr>
                    <w:adjustRightInd w:val="0"/>
                    <w:snapToGrid w:val="0"/>
                    <w:jc w:val="center"/>
                    <w:rPr>
                      <w:color w:val="auto"/>
                      <w:szCs w:val="22"/>
                    </w:rPr>
                  </w:pPr>
                  <w:r>
                    <w:rPr>
                      <w:color w:val="auto"/>
                      <w:szCs w:val="21"/>
                    </w:rPr>
                    <w:t>mg/m</w:t>
                  </w:r>
                  <w:r>
                    <w:rPr>
                      <w:color w:val="auto"/>
                      <w:szCs w:val="21"/>
                      <w:vertAlign w:val="superscript"/>
                    </w:rPr>
                    <w:t>3</w:t>
                  </w:r>
                </w:p>
              </w:tc>
            </w:tr>
            <w:tr w14:paraId="659190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90" w:type="dxa"/>
                  <w:vMerge w:val="continue"/>
                  <w:tcBorders>
                    <w:tl2br w:val="nil"/>
                    <w:tr2bl w:val="nil"/>
                  </w:tcBorders>
                  <w:vAlign w:val="center"/>
                </w:tcPr>
                <w:p w14:paraId="710FCE80">
                  <w:pPr>
                    <w:jc w:val="center"/>
                    <w:rPr>
                      <w:color w:val="auto"/>
                    </w:rPr>
                  </w:pPr>
                </w:p>
              </w:tc>
              <w:tc>
                <w:tcPr>
                  <w:tcW w:w="900" w:type="dxa"/>
                  <w:vMerge w:val="continue"/>
                  <w:tcBorders>
                    <w:tl2br w:val="nil"/>
                    <w:tr2bl w:val="nil"/>
                  </w:tcBorders>
                  <w:vAlign w:val="center"/>
                </w:tcPr>
                <w:p w14:paraId="0671F5CC">
                  <w:pPr>
                    <w:widowControl/>
                    <w:jc w:val="center"/>
                    <w:rPr>
                      <w:color w:val="auto"/>
                    </w:rPr>
                  </w:pPr>
                </w:p>
              </w:tc>
              <w:tc>
                <w:tcPr>
                  <w:tcW w:w="1750" w:type="dxa"/>
                  <w:tcBorders>
                    <w:tl2br w:val="nil"/>
                    <w:tr2bl w:val="nil"/>
                  </w:tcBorders>
                  <w:vAlign w:val="center"/>
                </w:tcPr>
                <w:p w14:paraId="5CEF38CC">
                  <w:pPr>
                    <w:jc w:val="center"/>
                    <w:rPr>
                      <w:color w:val="auto"/>
                    </w:rPr>
                  </w:pPr>
                  <w:r>
                    <w:rPr>
                      <w:color w:val="auto"/>
                      <w:szCs w:val="21"/>
                    </w:rPr>
                    <w:t>第二次</w:t>
                  </w:r>
                </w:p>
              </w:tc>
              <w:tc>
                <w:tcPr>
                  <w:tcW w:w="1038" w:type="dxa"/>
                  <w:tcBorders>
                    <w:tl2br w:val="nil"/>
                    <w:tr2bl w:val="nil"/>
                  </w:tcBorders>
                  <w:vAlign w:val="center"/>
                </w:tcPr>
                <w:p w14:paraId="6062D1F5">
                  <w:pPr>
                    <w:jc w:val="center"/>
                    <w:rPr>
                      <w:color w:val="auto"/>
                    </w:rPr>
                  </w:pPr>
                  <w:r>
                    <w:rPr>
                      <w:rFonts w:hint="eastAsia"/>
                      <w:color w:val="auto"/>
                    </w:rPr>
                    <w:t>0.040</w:t>
                  </w:r>
                </w:p>
              </w:tc>
              <w:tc>
                <w:tcPr>
                  <w:tcW w:w="1000" w:type="dxa"/>
                  <w:tcBorders>
                    <w:tl2br w:val="nil"/>
                    <w:tr2bl w:val="nil"/>
                  </w:tcBorders>
                  <w:vAlign w:val="center"/>
                </w:tcPr>
                <w:p w14:paraId="4A1D9AC4">
                  <w:pPr>
                    <w:jc w:val="center"/>
                    <w:rPr>
                      <w:color w:val="auto"/>
                    </w:rPr>
                  </w:pPr>
                  <w:r>
                    <w:rPr>
                      <w:rFonts w:hint="eastAsia"/>
                      <w:color w:val="auto"/>
                    </w:rPr>
                    <w:t>0.047</w:t>
                  </w:r>
                </w:p>
              </w:tc>
              <w:tc>
                <w:tcPr>
                  <w:tcW w:w="1000" w:type="dxa"/>
                  <w:tcBorders>
                    <w:tl2br w:val="nil"/>
                    <w:tr2bl w:val="nil"/>
                  </w:tcBorders>
                  <w:vAlign w:val="center"/>
                </w:tcPr>
                <w:p w14:paraId="6CC72738">
                  <w:pPr>
                    <w:jc w:val="center"/>
                    <w:rPr>
                      <w:color w:val="auto"/>
                    </w:rPr>
                  </w:pPr>
                  <w:r>
                    <w:rPr>
                      <w:rFonts w:hint="eastAsia"/>
                      <w:color w:val="auto"/>
                    </w:rPr>
                    <w:t>0.045</w:t>
                  </w:r>
                </w:p>
              </w:tc>
              <w:tc>
                <w:tcPr>
                  <w:tcW w:w="1025" w:type="dxa"/>
                  <w:tcBorders>
                    <w:tl2br w:val="nil"/>
                    <w:tr2bl w:val="nil"/>
                  </w:tcBorders>
                  <w:vAlign w:val="center"/>
                </w:tcPr>
                <w:p w14:paraId="2F387D44">
                  <w:pPr>
                    <w:jc w:val="center"/>
                    <w:rPr>
                      <w:color w:val="auto"/>
                    </w:rPr>
                  </w:pPr>
                  <w:r>
                    <w:rPr>
                      <w:rFonts w:hint="eastAsia"/>
                      <w:color w:val="auto"/>
                    </w:rPr>
                    <w:t>0.047</w:t>
                  </w:r>
                </w:p>
              </w:tc>
              <w:tc>
                <w:tcPr>
                  <w:tcW w:w="642" w:type="dxa"/>
                  <w:vMerge w:val="continue"/>
                  <w:tcBorders>
                    <w:tl2br w:val="nil"/>
                    <w:tr2bl w:val="nil"/>
                  </w:tcBorders>
                  <w:vAlign w:val="center"/>
                </w:tcPr>
                <w:p w14:paraId="252A5F2A">
                  <w:pPr>
                    <w:jc w:val="center"/>
                    <w:rPr>
                      <w:color w:val="auto"/>
                    </w:rPr>
                  </w:pPr>
                </w:p>
              </w:tc>
            </w:tr>
            <w:tr w14:paraId="001951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90" w:type="dxa"/>
                  <w:vMerge w:val="continue"/>
                  <w:tcBorders>
                    <w:tl2br w:val="nil"/>
                    <w:tr2bl w:val="nil"/>
                  </w:tcBorders>
                  <w:vAlign w:val="center"/>
                </w:tcPr>
                <w:p w14:paraId="1C5B61C1">
                  <w:pPr>
                    <w:jc w:val="center"/>
                    <w:rPr>
                      <w:color w:val="auto"/>
                    </w:rPr>
                  </w:pPr>
                </w:p>
              </w:tc>
              <w:tc>
                <w:tcPr>
                  <w:tcW w:w="900" w:type="dxa"/>
                  <w:vMerge w:val="continue"/>
                  <w:tcBorders>
                    <w:tl2br w:val="nil"/>
                    <w:tr2bl w:val="nil"/>
                  </w:tcBorders>
                  <w:vAlign w:val="center"/>
                </w:tcPr>
                <w:p w14:paraId="78C1DE29">
                  <w:pPr>
                    <w:widowControl/>
                    <w:jc w:val="center"/>
                    <w:rPr>
                      <w:color w:val="auto"/>
                    </w:rPr>
                  </w:pPr>
                </w:p>
              </w:tc>
              <w:tc>
                <w:tcPr>
                  <w:tcW w:w="1750" w:type="dxa"/>
                  <w:tcBorders>
                    <w:tl2br w:val="nil"/>
                    <w:tr2bl w:val="nil"/>
                  </w:tcBorders>
                  <w:vAlign w:val="center"/>
                </w:tcPr>
                <w:p w14:paraId="4074BBD0">
                  <w:pPr>
                    <w:jc w:val="center"/>
                    <w:rPr>
                      <w:color w:val="auto"/>
                    </w:rPr>
                  </w:pPr>
                  <w:r>
                    <w:rPr>
                      <w:color w:val="auto"/>
                      <w:szCs w:val="21"/>
                    </w:rPr>
                    <w:t>第三次</w:t>
                  </w:r>
                </w:p>
              </w:tc>
              <w:tc>
                <w:tcPr>
                  <w:tcW w:w="1038" w:type="dxa"/>
                  <w:tcBorders>
                    <w:tl2br w:val="nil"/>
                    <w:tr2bl w:val="nil"/>
                  </w:tcBorders>
                  <w:vAlign w:val="center"/>
                </w:tcPr>
                <w:p w14:paraId="5955EA36">
                  <w:pPr>
                    <w:jc w:val="center"/>
                    <w:rPr>
                      <w:color w:val="auto"/>
                    </w:rPr>
                  </w:pPr>
                  <w:r>
                    <w:rPr>
                      <w:rFonts w:hint="eastAsia"/>
                      <w:color w:val="auto"/>
                    </w:rPr>
                    <w:t>0.039</w:t>
                  </w:r>
                </w:p>
              </w:tc>
              <w:tc>
                <w:tcPr>
                  <w:tcW w:w="1000" w:type="dxa"/>
                  <w:tcBorders>
                    <w:tl2br w:val="nil"/>
                    <w:tr2bl w:val="nil"/>
                  </w:tcBorders>
                  <w:vAlign w:val="center"/>
                </w:tcPr>
                <w:p w14:paraId="5006F6AD">
                  <w:pPr>
                    <w:jc w:val="center"/>
                    <w:rPr>
                      <w:color w:val="auto"/>
                    </w:rPr>
                  </w:pPr>
                  <w:r>
                    <w:rPr>
                      <w:rFonts w:hint="eastAsia"/>
                      <w:color w:val="auto"/>
                    </w:rPr>
                    <w:t>0.046</w:t>
                  </w:r>
                </w:p>
              </w:tc>
              <w:tc>
                <w:tcPr>
                  <w:tcW w:w="1000" w:type="dxa"/>
                  <w:tcBorders>
                    <w:tl2br w:val="nil"/>
                    <w:tr2bl w:val="nil"/>
                  </w:tcBorders>
                  <w:vAlign w:val="center"/>
                </w:tcPr>
                <w:p w14:paraId="36323B9E">
                  <w:pPr>
                    <w:jc w:val="center"/>
                    <w:rPr>
                      <w:color w:val="auto"/>
                    </w:rPr>
                  </w:pPr>
                  <w:r>
                    <w:rPr>
                      <w:rFonts w:hint="eastAsia"/>
                      <w:color w:val="auto"/>
                    </w:rPr>
                    <w:t>0.047</w:t>
                  </w:r>
                </w:p>
              </w:tc>
              <w:tc>
                <w:tcPr>
                  <w:tcW w:w="1025" w:type="dxa"/>
                  <w:tcBorders>
                    <w:tl2br w:val="nil"/>
                    <w:tr2bl w:val="nil"/>
                  </w:tcBorders>
                  <w:vAlign w:val="center"/>
                </w:tcPr>
                <w:p w14:paraId="4025DE09">
                  <w:pPr>
                    <w:jc w:val="center"/>
                    <w:rPr>
                      <w:color w:val="auto"/>
                    </w:rPr>
                  </w:pPr>
                  <w:r>
                    <w:rPr>
                      <w:rFonts w:hint="eastAsia"/>
                      <w:color w:val="auto"/>
                    </w:rPr>
                    <w:t>0.045</w:t>
                  </w:r>
                </w:p>
              </w:tc>
              <w:tc>
                <w:tcPr>
                  <w:tcW w:w="642" w:type="dxa"/>
                  <w:vMerge w:val="continue"/>
                  <w:tcBorders>
                    <w:tl2br w:val="nil"/>
                    <w:tr2bl w:val="nil"/>
                  </w:tcBorders>
                  <w:vAlign w:val="center"/>
                </w:tcPr>
                <w:p w14:paraId="07C3DD9C">
                  <w:pPr>
                    <w:jc w:val="center"/>
                    <w:rPr>
                      <w:color w:val="auto"/>
                    </w:rPr>
                  </w:pPr>
                </w:p>
              </w:tc>
            </w:tr>
            <w:tr w14:paraId="66EE2C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90" w:type="dxa"/>
                  <w:vMerge w:val="continue"/>
                  <w:tcBorders>
                    <w:tl2br w:val="nil"/>
                    <w:tr2bl w:val="nil"/>
                  </w:tcBorders>
                  <w:vAlign w:val="center"/>
                </w:tcPr>
                <w:p w14:paraId="6648814C">
                  <w:pPr>
                    <w:jc w:val="center"/>
                    <w:rPr>
                      <w:color w:val="auto"/>
                    </w:rPr>
                  </w:pPr>
                </w:p>
              </w:tc>
              <w:tc>
                <w:tcPr>
                  <w:tcW w:w="900" w:type="dxa"/>
                  <w:vMerge w:val="continue"/>
                  <w:tcBorders>
                    <w:tl2br w:val="nil"/>
                    <w:tr2bl w:val="nil"/>
                  </w:tcBorders>
                  <w:vAlign w:val="center"/>
                </w:tcPr>
                <w:p w14:paraId="06952551">
                  <w:pPr>
                    <w:widowControl/>
                    <w:jc w:val="center"/>
                    <w:rPr>
                      <w:color w:val="auto"/>
                    </w:rPr>
                  </w:pPr>
                </w:p>
              </w:tc>
              <w:tc>
                <w:tcPr>
                  <w:tcW w:w="1750" w:type="dxa"/>
                  <w:tcBorders>
                    <w:tl2br w:val="nil"/>
                    <w:tr2bl w:val="nil"/>
                  </w:tcBorders>
                  <w:vAlign w:val="center"/>
                </w:tcPr>
                <w:p w14:paraId="22C55A56">
                  <w:pPr>
                    <w:jc w:val="center"/>
                    <w:rPr>
                      <w:color w:val="auto"/>
                    </w:rPr>
                  </w:pPr>
                  <w:r>
                    <w:rPr>
                      <w:rFonts w:hint="eastAsia"/>
                      <w:color w:val="auto"/>
                    </w:rPr>
                    <w:t>周界外浓度最大值</w:t>
                  </w:r>
                </w:p>
              </w:tc>
              <w:tc>
                <w:tcPr>
                  <w:tcW w:w="4063" w:type="dxa"/>
                  <w:gridSpan w:val="4"/>
                  <w:tcBorders>
                    <w:tl2br w:val="nil"/>
                    <w:tr2bl w:val="nil"/>
                  </w:tcBorders>
                  <w:vAlign w:val="center"/>
                </w:tcPr>
                <w:p w14:paraId="08275AC8">
                  <w:pPr>
                    <w:jc w:val="center"/>
                    <w:rPr>
                      <w:color w:val="auto"/>
                    </w:rPr>
                  </w:pPr>
                  <w:r>
                    <w:rPr>
                      <w:rFonts w:hint="eastAsia"/>
                      <w:color w:val="auto"/>
                    </w:rPr>
                    <w:t>0.048</w:t>
                  </w:r>
                </w:p>
              </w:tc>
              <w:tc>
                <w:tcPr>
                  <w:tcW w:w="642" w:type="dxa"/>
                  <w:vMerge w:val="continue"/>
                  <w:tcBorders>
                    <w:tl2br w:val="nil"/>
                    <w:tr2bl w:val="nil"/>
                  </w:tcBorders>
                  <w:vAlign w:val="center"/>
                </w:tcPr>
                <w:p w14:paraId="68D24D59">
                  <w:pPr>
                    <w:jc w:val="center"/>
                    <w:rPr>
                      <w:color w:val="auto"/>
                    </w:rPr>
                  </w:pPr>
                </w:p>
              </w:tc>
            </w:tr>
            <w:tr w14:paraId="6F884B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90" w:type="dxa"/>
                  <w:vMerge w:val="continue"/>
                  <w:tcBorders>
                    <w:tl2br w:val="nil"/>
                    <w:tr2bl w:val="nil"/>
                  </w:tcBorders>
                  <w:vAlign w:val="center"/>
                </w:tcPr>
                <w:p w14:paraId="5A40E80F">
                  <w:pPr>
                    <w:jc w:val="center"/>
                    <w:rPr>
                      <w:color w:val="auto"/>
                    </w:rPr>
                  </w:pPr>
                </w:p>
              </w:tc>
              <w:tc>
                <w:tcPr>
                  <w:tcW w:w="900" w:type="dxa"/>
                  <w:vMerge w:val="restart"/>
                  <w:tcBorders>
                    <w:tl2br w:val="nil"/>
                    <w:tr2bl w:val="nil"/>
                  </w:tcBorders>
                  <w:vAlign w:val="center"/>
                </w:tcPr>
                <w:p w14:paraId="071374D9">
                  <w:pPr>
                    <w:widowControl/>
                    <w:jc w:val="center"/>
                    <w:rPr>
                      <w:color w:val="auto"/>
                    </w:rPr>
                  </w:pPr>
                  <w:r>
                    <w:rPr>
                      <w:rFonts w:hint="eastAsia"/>
                      <w:color w:val="auto"/>
                      <w:szCs w:val="21"/>
                    </w:rPr>
                    <w:t>硫酸雾</w:t>
                  </w:r>
                </w:p>
              </w:tc>
              <w:tc>
                <w:tcPr>
                  <w:tcW w:w="1750" w:type="dxa"/>
                  <w:tcBorders>
                    <w:tl2br w:val="nil"/>
                    <w:tr2bl w:val="nil"/>
                  </w:tcBorders>
                  <w:vAlign w:val="center"/>
                </w:tcPr>
                <w:p w14:paraId="107663CE">
                  <w:pPr>
                    <w:jc w:val="center"/>
                    <w:rPr>
                      <w:color w:val="auto"/>
                    </w:rPr>
                  </w:pPr>
                  <w:r>
                    <w:rPr>
                      <w:color w:val="auto"/>
                      <w:szCs w:val="21"/>
                    </w:rPr>
                    <w:t>第一次</w:t>
                  </w:r>
                </w:p>
              </w:tc>
              <w:tc>
                <w:tcPr>
                  <w:tcW w:w="1038" w:type="dxa"/>
                  <w:tcBorders>
                    <w:tl2br w:val="nil"/>
                    <w:tr2bl w:val="nil"/>
                  </w:tcBorders>
                  <w:vAlign w:val="center"/>
                </w:tcPr>
                <w:p w14:paraId="28DF8771">
                  <w:pPr>
                    <w:jc w:val="center"/>
                    <w:rPr>
                      <w:color w:val="auto"/>
                    </w:rPr>
                  </w:pPr>
                  <w:r>
                    <w:rPr>
                      <w:rFonts w:hint="eastAsia"/>
                      <w:color w:val="auto"/>
                    </w:rPr>
                    <w:t>ND</w:t>
                  </w:r>
                </w:p>
              </w:tc>
              <w:tc>
                <w:tcPr>
                  <w:tcW w:w="1000" w:type="dxa"/>
                  <w:tcBorders>
                    <w:tl2br w:val="nil"/>
                    <w:tr2bl w:val="nil"/>
                  </w:tcBorders>
                  <w:vAlign w:val="center"/>
                </w:tcPr>
                <w:p w14:paraId="225BB6F8">
                  <w:pPr>
                    <w:jc w:val="center"/>
                    <w:rPr>
                      <w:color w:val="auto"/>
                    </w:rPr>
                  </w:pPr>
                  <w:r>
                    <w:rPr>
                      <w:rFonts w:hint="eastAsia"/>
                      <w:color w:val="auto"/>
                    </w:rPr>
                    <w:t>ND</w:t>
                  </w:r>
                </w:p>
              </w:tc>
              <w:tc>
                <w:tcPr>
                  <w:tcW w:w="1000" w:type="dxa"/>
                  <w:tcBorders>
                    <w:tl2br w:val="nil"/>
                    <w:tr2bl w:val="nil"/>
                  </w:tcBorders>
                  <w:vAlign w:val="center"/>
                </w:tcPr>
                <w:p w14:paraId="3387156C">
                  <w:pPr>
                    <w:jc w:val="center"/>
                    <w:rPr>
                      <w:color w:val="auto"/>
                    </w:rPr>
                  </w:pPr>
                  <w:r>
                    <w:rPr>
                      <w:rFonts w:hint="eastAsia"/>
                      <w:color w:val="auto"/>
                    </w:rPr>
                    <w:t>ND</w:t>
                  </w:r>
                </w:p>
              </w:tc>
              <w:tc>
                <w:tcPr>
                  <w:tcW w:w="1025" w:type="dxa"/>
                  <w:tcBorders>
                    <w:tl2br w:val="nil"/>
                    <w:tr2bl w:val="nil"/>
                  </w:tcBorders>
                  <w:vAlign w:val="center"/>
                </w:tcPr>
                <w:p w14:paraId="604D9518">
                  <w:pPr>
                    <w:jc w:val="center"/>
                    <w:rPr>
                      <w:color w:val="auto"/>
                    </w:rPr>
                  </w:pPr>
                  <w:r>
                    <w:rPr>
                      <w:rFonts w:hint="eastAsia"/>
                      <w:color w:val="auto"/>
                    </w:rPr>
                    <w:t>ND</w:t>
                  </w:r>
                </w:p>
              </w:tc>
              <w:tc>
                <w:tcPr>
                  <w:tcW w:w="642" w:type="dxa"/>
                  <w:vMerge w:val="restart"/>
                  <w:tcBorders>
                    <w:tl2br w:val="nil"/>
                    <w:tr2bl w:val="nil"/>
                  </w:tcBorders>
                  <w:vAlign w:val="center"/>
                </w:tcPr>
                <w:p w14:paraId="1B5D90CA">
                  <w:pPr>
                    <w:adjustRightInd w:val="0"/>
                    <w:snapToGrid w:val="0"/>
                    <w:jc w:val="center"/>
                    <w:rPr>
                      <w:color w:val="auto"/>
                      <w:szCs w:val="22"/>
                    </w:rPr>
                  </w:pPr>
                  <w:r>
                    <w:rPr>
                      <w:color w:val="auto"/>
                      <w:szCs w:val="21"/>
                    </w:rPr>
                    <w:t>mg/m</w:t>
                  </w:r>
                  <w:r>
                    <w:rPr>
                      <w:color w:val="auto"/>
                      <w:szCs w:val="21"/>
                      <w:vertAlign w:val="superscript"/>
                    </w:rPr>
                    <w:t>3</w:t>
                  </w:r>
                </w:p>
              </w:tc>
            </w:tr>
            <w:tr w14:paraId="1491B0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90" w:type="dxa"/>
                  <w:vMerge w:val="continue"/>
                  <w:tcBorders>
                    <w:tl2br w:val="nil"/>
                    <w:tr2bl w:val="nil"/>
                  </w:tcBorders>
                  <w:vAlign w:val="center"/>
                </w:tcPr>
                <w:p w14:paraId="5AC1AD32">
                  <w:pPr>
                    <w:jc w:val="center"/>
                    <w:rPr>
                      <w:color w:val="auto"/>
                    </w:rPr>
                  </w:pPr>
                </w:p>
              </w:tc>
              <w:tc>
                <w:tcPr>
                  <w:tcW w:w="900" w:type="dxa"/>
                  <w:vMerge w:val="continue"/>
                  <w:tcBorders>
                    <w:tl2br w:val="nil"/>
                    <w:tr2bl w:val="nil"/>
                  </w:tcBorders>
                  <w:vAlign w:val="center"/>
                </w:tcPr>
                <w:p w14:paraId="531E3DE4">
                  <w:pPr>
                    <w:widowControl/>
                    <w:jc w:val="center"/>
                    <w:rPr>
                      <w:color w:val="auto"/>
                    </w:rPr>
                  </w:pPr>
                </w:p>
              </w:tc>
              <w:tc>
                <w:tcPr>
                  <w:tcW w:w="1750" w:type="dxa"/>
                  <w:tcBorders>
                    <w:tl2br w:val="nil"/>
                    <w:tr2bl w:val="nil"/>
                  </w:tcBorders>
                  <w:vAlign w:val="center"/>
                </w:tcPr>
                <w:p w14:paraId="4A392ECA">
                  <w:pPr>
                    <w:jc w:val="center"/>
                    <w:rPr>
                      <w:color w:val="auto"/>
                    </w:rPr>
                  </w:pPr>
                  <w:r>
                    <w:rPr>
                      <w:color w:val="auto"/>
                      <w:szCs w:val="21"/>
                    </w:rPr>
                    <w:t>第二次</w:t>
                  </w:r>
                </w:p>
              </w:tc>
              <w:tc>
                <w:tcPr>
                  <w:tcW w:w="1038" w:type="dxa"/>
                  <w:tcBorders>
                    <w:tl2br w:val="nil"/>
                    <w:tr2bl w:val="nil"/>
                  </w:tcBorders>
                  <w:vAlign w:val="center"/>
                </w:tcPr>
                <w:p w14:paraId="0EC4E8DB">
                  <w:pPr>
                    <w:jc w:val="center"/>
                    <w:rPr>
                      <w:color w:val="auto"/>
                    </w:rPr>
                  </w:pPr>
                  <w:r>
                    <w:rPr>
                      <w:rFonts w:hint="eastAsia"/>
                      <w:color w:val="auto"/>
                    </w:rPr>
                    <w:t>ND</w:t>
                  </w:r>
                </w:p>
              </w:tc>
              <w:tc>
                <w:tcPr>
                  <w:tcW w:w="1000" w:type="dxa"/>
                  <w:tcBorders>
                    <w:tl2br w:val="nil"/>
                    <w:tr2bl w:val="nil"/>
                  </w:tcBorders>
                  <w:vAlign w:val="center"/>
                </w:tcPr>
                <w:p w14:paraId="3325DB7F">
                  <w:pPr>
                    <w:jc w:val="center"/>
                    <w:rPr>
                      <w:color w:val="auto"/>
                    </w:rPr>
                  </w:pPr>
                  <w:r>
                    <w:rPr>
                      <w:rFonts w:hint="eastAsia"/>
                      <w:color w:val="auto"/>
                    </w:rPr>
                    <w:t>ND</w:t>
                  </w:r>
                </w:p>
              </w:tc>
              <w:tc>
                <w:tcPr>
                  <w:tcW w:w="1000" w:type="dxa"/>
                  <w:tcBorders>
                    <w:tl2br w:val="nil"/>
                    <w:tr2bl w:val="nil"/>
                  </w:tcBorders>
                  <w:vAlign w:val="center"/>
                </w:tcPr>
                <w:p w14:paraId="4E626AFB">
                  <w:pPr>
                    <w:jc w:val="center"/>
                    <w:rPr>
                      <w:color w:val="auto"/>
                    </w:rPr>
                  </w:pPr>
                  <w:r>
                    <w:rPr>
                      <w:rFonts w:hint="eastAsia"/>
                      <w:color w:val="auto"/>
                    </w:rPr>
                    <w:t>ND</w:t>
                  </w:r>
                </w:p>
              </w:tc>
              <w:tc>
                <w:tcPr>
                  <w:tcW w:w="1025" w:type="dxa"/>
                  <w:tcBorders>
                    <w:tl2br w:val="nil"/>
                    <w:tr2bl w:val="nil"/>
                  </w:tcBorders>
                  <w:vAlign w:val="center"/>
                </w:tcPr>
                <w:p w14:paraId="30AF02D7">
                  <w:pPr>
                    <w:jc w:val="center"/>
                    <w:rPr>
                      <w:color w:val="auto"/>
                    </w:rPr>
                  </w:pPr>
                  <w:r>
                    <w:rPr>
                      <w:rFonts w:hint="eastAsia"/>
                      <w:color w:val="auto"/>
                    </w:rPr>
                    <w:t>ND</w:t>
                  </w:r>
                </w:p>
              </w:tc>
              <w:tc>
                <w:tcPr>
                  <w:tcW w:w="642" w:type="dxa"/>
                  <w:vMerge w:val="continue"/>
                  <w:tcBorders>
                    <w:tl2br w:val="nil"/>
                    <w:tr2bl w:val="nil"/>
                  </w:tcBorders>
                  <w:vAlign w:val="center"/>
                </w:tcPr>
                <w:p w14:paraId="450CBBE9">
                  <w:pPr>
                    <w:jc w:val="center"/>
                    <w:rPr>
                      <w:color w:val="auto"/>
                    </w:rPr>
                  </w:pPr>
                </w:p>
              </w:tc>
            </w:tr>
            <w:tr w14:paraId="25401F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590" w:type="dxa"/>
                  <w:vMerge w:val="continue"/>
                  <w:tcBorders>
                    <w:tl2br w:val="nil"/>
                    <w:tr2bl w:val="nil"/>
                  </w:tcBorders>
                  <w:vAlign w:val="center"/>
                </w:tcPr>
                <w:p w14:paraId="3423D348">
                  <w:pPr>
                    <w:jc w:val="center"/>
                    <w:rPr>
                      <w:color w:val="auto"/>
                    </w:rPr>
                  </w:pPr>
                </w:p>
              </w:tc>
              <w:tc>
                <w:tcPr>
                  <w:tcW w:w="900" w:type="dxa"/>
                  <w:vMerge w:val="continue"/>
                  <w:tcBorders>
                    <w:tl2br w:val="nil"/>
                    <w:tr2bl w:val="nil"/>
                  </w:tcBorders>
                  <w:vAlign w:val="center"/>
                </w:tcPr>
                <w:p w14:paraId="5D6D3BEF">
                  <w:pPr>
                    <w:widowControl/>
                    <w:jc w:val="center"/>
                    <w:rPr>
                      <w:color w:val="auto"/>
                    </w:rPr>
                  </w:pPr>
                </w:p>
              </w:tc>
              <w:tc>
                <w:tcPr>
                  <w:tcW w:w="1750" w:type="dxa"/>
                  <w:tcBorders>
                    <w:tl2br w:val="nil"/>
                    <w:tr2bl w:val="nil"/>
                  </w:tcBorders>
                  <w:vAlign w:val="center"/>
                </w:tcPr>
                <w:p w14:paraId="42A1244E">
                  <w:pPr>
                    <w:jc w:val="center"/>
                    <w:rPr>
                      <w:color w:val="auto"/>
                    </w:rPr>
                  </w:pPr>
                  <w:r>
                    <w:rPr>
                      <w:color w:val="auto"/>
                      <w:szCs w:val="21"/>
                    </w:rPr>
                    <w:t>第三次</w:t>
                  </w:r>
                </w:p>
              </w:tc>
              <w:tc>
                <w:tcPr>
                  <w:tcW w:w="1038" w:type="dxa"/>
                  <w:tcBorders>
                    <w:tl2br w:val="nil"/>
                    <w:tr2bl w:val="nil"/>
                  </w:tcBorders>
                  <w:vAlign w:val="center"/>
                </w:tcPr>
                <w:p w14:paraId="3AFA8E11">
                  <w:pPr>
                    <w:jc w:val="center"/>
                    <w:rPr>
                      <w:color w:val="auto"/>
                    </w:rPr>
                  </w:pPr>
                  <w:r>
                    <w:rPr>
                      <w:rFonts w:hint="eastAsia"/>
                      <w:color w:val="auto"/>
                    </w:rPr>
                    <w:t>ND</w:t>
                  </w:r>
                </w:p>
              </w:tc>
              <w:tc>
                <w:tcPr>
                  <w:tcW w:w="1000" w:type="dxa"/>
                  <w:tcBorders>
                    <w:tl2br w:val="nil"/>
                    <w:tr2bl w:val="nil"/>
                  </w:tcBorders>
                  <w:vAlign w:val="center"/>
                </w:tcPr>
                <w:p w14:paraId="3928F1D3">
                  <w:pPr>
                    <w:jc w:val="center"/>
                    <w:rPr>
                      <w:color w:val="auto"/>
                    </w:rPr>
                  </w:pPr>
                  <w:r>
                    <w:rPr>
                      <w:rFonts w:hint="eastAsia"/>
                      <w:color w:val="auto"/>
                    </w:rPr>
                    <w:t>ND</w:t>
                  </w:r>
                </w:p>
              </w:tc>
              <w:tc>
                <w:tcPr>
                  <w:tcW w:w="1000" w:type="dxa"/>
                  <w:tcBorders>
                    <w:tl2br w:val="nil"/>
                    <w:tr2bl w:val="nil"/>
                  </w:tcBorders>
                  <w:vAlign w:val="center"/>
                </w:tcPr>
                <w:p w14:paraId="72D208B6">
                  <w:pPr>
                    <w:jc w:val="center"/>
                    <w:rPr>
                      <w:color w:val="auto"/>
                    </w:rPr>
                  </w:pPr>
                  <w:r>
                    <w:rPr>
                      <w:rFonts w:hint="eastAsia"/>
                      <w:color w:val="auto"/>
                    </w:rPr>
                    <w:t>ND</w:t>
                  </w:r>
                </w:p>
              </w:tc>
              <w:tc>
                <w:tcPr>
                  <w:tcW w:w="1025" w:type="dxa"/>
                  <w:tcBorders>
                    <w:tl2br w:val="nil"/>
                    <w:tr2bl w:val="nil"/>
                  </w:tcBorders>
                  <w:vAlign w:val="center"/>
                </w:tcPr>
                <w:p w14:paraId="7EA51EE1">
                  <w:pPr>
                    <w:jc w:val="center"/>
                    <w:rPr>
                      <w:color w:val="auto"/>
                    </w:rPr>
                  </w:pPr>
                  <w:r>
                    <w:rPr>
                      <w:rFonts w:hint="eastAsia"/>
                      <w:color w:val="auto"/>
                    </w:rPr>
                    <w:t>ND</w:t>
                  </w:r>
                </w:p>
              </w:tc>
              <w:tc>
                <w:tcPr>
                  <w:tcW w:w="642" w:type="dxa"/>
                  <w:vMerge w:val="continue"/>
                  <w:tcBorders>
                    <w:tl2br w:val="nil"/>
                    <w:tr2bl w:val="nil"/>
                  </w:tcBorders>
                  <w:vAlign w:val="center"/>
                </w:tcPr>
                <w:p w14:paraId="1F9EAC2E">
                  <w:pPr>
                    <w:jc w:val="center"/>
                    <w:rPr>
                      <w:color w:val="auto"/>
                    </w:rPr>
                  </w:pPr>
                </w:p>
              </w:tc>
            </w:tr>
            <w:tr w14:paraId="26EA78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90" w:type="dxa"/>
                  <w:vMerge w:val="continue"/>
                  <w:tcBorders>
                    <w:tl2br w:val="nil"/>
                    <w:tr2bl w:val="nil"/>
                  </w:tcBorders>
                  <w:vAlign w:val="center"/>
                </w:tcPr>
                <w:p w14:paraId="280DF332">
                  <w:pPr>
                    <w:jc w:val="center"/>
                    <w:rPr>
                      <w:color w:val="auto"/>
                    </w:rPr>
                  </w:pPr>
                </w:p>
              </w:tc>
              <w:tc>
                <w:tcPr>
                  <w:tcW w:w="900" w:type="dxa"/>
                  <w:vMerge w:val="continue"/>
                  <w:tcBorders>
                    <w:tl2br w:val="nil"/>
                    <w:tr2bl w:val="nil"/>
                  </w:tcBorders>
                  <w:vAlign w:val="center"/>
                </w:tcPr>
                <w:p w14:paraId="3A3789B9">
                  <w:pPr>
                    <w:widowControl/>
                    <w:jc w:val="center"/>
                    <w:rPr>
                      <w:color w:val="auto"/>
                    </w:rPr>
                  </w:pPr>
                </w:p>
              </w:tc>
              <w:tc>
                <w:tcPr>
                  <w:tcW w:w="1750" w:type="dxa"/>
                  <w:tcBorders>
                    <w:tl2br w:val="nil"/>
                    <w:tr2bl w:val="nil"/>
                  </w:tcBorders>
                  <w:vAlign w:val="center"/>
                </w:tcPr>
                <w:p w14:paraId="7FAB5FC3">
                  <w:pPr>
                    <w:jc w:val="center"/>
                    <w:rPr>
                      <w:color w:val="auto"/>
                    </w:rPr>
                  </w:pPr>
                  <w:r>
                    <w:rPr>
                      <w:rFonts w:hint="eastAsia"/>
                      <w:color w:val="auto"/>
                    </w:rPr>
                    <w:t>周界外浓度最大值</w:t>
                  </w:r>
                </w:p>
              </w:tc>
              <w:tc>
                <w:tcPr>
                  <w:tcW w:w="4063" w:type="dxa"/>
                  <w:gridSpan w:val="4"/>
                  <w:tcBorders>
                    <w:tl2br w:val="nil"/>
                    <w:tr2bl w:val="nil"/>
                  </w:tcBorders>
                  <w:vAlign w:val="center"/>
                </w:tcPr>
                <w:p w14:paraId="6C85A8B5">
                  <w:pPr>
                    <w:jc w:val="center"/>
                    <w:rPr>
                      <w:color w:val="auto"/>
                    </w:rPr>
                  </w:pPr>
                  <w:r>
                    <w:rPr>
                      <w:rFonts w:hint="eastAsia"/>
                      <w:color w:val="auto"/>
                    </w:rPr>
                    <w:t>ND</w:t>
                  </w:r>
                </w:p>
              </w:tc>
              <w:tc>
                <w:tcPr>
                  <w:tcW w:w="642" w:type="dxa"/>
                  <w:vMerge w:val="continue"/>
                  <w:tcBorders>
                    <w:tl2br w:val="nil"/>
                    <w:tr2bl w:val="nil"/>
                  </w:tcBorders>
                  <w:vAlign w:val="center"/>
                </w:tcPr>
                <w:p w14:paraId="5EA6251B">
                  <w:pPr>
                    <w:jc w:val="center"/>
                    <w:rPr>
                      <w:color w:val="auto"/>
                    </w:rPr>
                  </w:pPr>
                </w:p>
              </w:tc>
            </w:tr>
            <w:tr w14:paraId="389AD8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945" w:type="dxa"/>
                  <w:gridSpan w:val="8"/>
                  <w:tcBorders>
                    <w:tl2br w:val="nil"/>
                    <w:tr2bl w:val="nil"/>
                  </w:tcBorders>
                  <w:vAlign w:val="center"/>
                </w:tcPr>
                <w:p w14:paraId="0C23F544">
                  <w:pPr>
                    <w:rPr>
                      <w:color w:val="auto"/>
                    </w:rPr>
                  </w:pPr>
                  <w:r>
                    <w:rPr>
                      <w:rFonts w:hint="eastAsia"/>
                      <w:color w:val="auto"/>
                    </w:rPr>
                    <w:t>注：1、ND表示未检出，方法检出限：硫酸雾：0.005mg/m</w:t>
                  </w:r>
                  <w:r>
                    <w:rPr>
                      <w:rFonts w:hint="eastAsia"/>
                      <w:color w:val="auto"/>
                      <w:vertAlign w:val="superscript"/>
                    </w:rPr>
                    <w:t>3</w:t>
                  </w:r>
                  <w:r>
                    <w:rPr>
                      <w:rFonts w:hint="eastAsia"/>
                      <w:color w:val="auto"/>
                    </w:rPr>
                    <w:t>；</w:t>
                  </w:r>
                </w:p>
                <w:p w14:paraId="5A84ED92">
                  <w:pPr>
                    <w:ind w:firstLine="420" w:firstLineChars="200"/>
                    <w:rPr>
                      <w:color w:val="auto"/>
                    </w:rPr>
                  </w:pPr>
                  <w:r>
                    <w:rPr>
                      <w:rFonts w:hint="eastAsia"/>
                      <w:color w:val="auto"/>
                    </w:rPr>
                    <w:t>2、</w:t>
                  </w:r>
                  <w:r>
                    <w:rPr>
                      <w:rFonts w:hint="eastAsia"/>
                      <w:color w:val="auto"/>
                      <w:szCs w:val="21"/>
                    </w:rPr>
                    <w:t>挥发性有机物（35种）各参数具体浓度见表2-1</w:t>
                  </w:r>
                  <w:r>
                    <w:rPr>
                      <w:rFonts w:hint="eastAsia"/>
                      <w:color w:val="auto"/>
                      <w:szCs w:val="21"/>
                      <w:lang w:val="en-US" w:eastAsia="zh-CN"/>
                    </w:rPr>
                    <w:t>6</w:t>
                  </w:r>
                  <w:r>
                    <w:rPr>
                      <w:rFonts w:hint="eastAsia"/>
                      <w:color w:val="auto"/>
                      <w:szCs w:val="21"/>
                    </w:rPr>
                    <w:t>，方法检出限见表2-1</w:t>
                  </w:r>
                  <w:r>
                    <w:rPr>
                      <w:rFonts w:hint="eastAsia"/>
                      <w:color w:val="auto"/>
                      <w:szCs w:val="21"/>
                      <w:lang w:val="en-US" w:eastAsia="zh-CN"/>
                    </w:rPr>
                    <w:t>5</w:t>
                  </w:r>
                  <w:r>
                    <w:rPr>
                      <w:rFonts w:hint="eastAsia"/>
                      <w:color w:val="auto"/>
                      <w:szCs w:val="21"/>
                    </w:rPr>
                    <w:t>。</w:t>
                  </w:r>
                </w:p>
              </w:tc>
            </w:tr>
          </w:tbl>
          <w:p w14:paraId="277FC7BF">
            <w:pPr>
              <w:spacing w:before="120" w:beforeLines="50"/>
              <w:jc w:val="center"/>
              <w:rPr>
                <w:b/>
                <w:bCs/>
                <w:color w:val="auto"/>
                <w:szCs w:val="21"/>
              </w:rPr>
            </w:pPr>
            <w:r>
              <w:rPr>
                <w:b/>
                <w:bCs/>
                <w:color w:val="auto"/>
                <w:szCs w:val="21"/>
              </w:rPr>
              <w:t>表</w:t>
            </w:r>
            <w:r>
              <w:rPr>
                <w:rFonts w:hint="eastAsia"/>
                <w:b/>
                <w:bCs/>
                <w:color w:val="auto"/>
                <w:szCs w:val="21"/>
              </w:rPr>
              <w:t>2-1</w:t>
            </w:r>
            <w:r>
              <w:rPr>
                <w:rFonts w:hint="eastAsia"/>
                <w:b/>
                <w:bCs/>
                <w:color w:val="auto"/>
                <w:szCs w:val="21"/>
                <w:lang w:val="en-US" w:eastAsia="zh-CN"/>
              </w:rPr>
              <w:t>5</w:t>
            </w:r>
            <w:r>
              <w:rPr>
                <w:b/>
                <w:bCs/>
                <w:color w:val="auto"/>
                <w:szCs w:val="21"/>
              </w:rPr>
              <w:t xml:space="preserve"> 无组织废气挥发性有机物</w:t>
            </w:r>
            <w:r>
              <w:rPr>
                <w:rFonts w:hint="eastAsia"/>
                <w:b/>
                <w:bCs/>
                <w:color w:val="auto"/>
                <w:szCs w:val="21"/>
              </w:rPr>
              <w:t>(</w:t>
            </w:r>
            <w:r>
              <w:rPr>
                <w:b/>
                <w:bCs/>
                <w:color w:val="auto"/>
                <w:szCs w:val="21"/>
              </w:rPr>
              <w:t>35种</w:t>
            </w:r>
            <w:r>
              <w:rPr>
                <w:rFonts w:hint="eastAsia"/>
                <w:b/>
                <w:bCs/>
                <w:color w:val="auto"/>
                <w:szCs w:val="21"/>
              </w:rPr>
              <w:t>)</w:t>
            </w:r>
            <w:r>
              <w:rPr>
                <w:b/>
                <w:bCs/>
                <w:color w:val="auto"/>
                <w:szCs w:val="21"/>
              </w:rPr>
              <w:t>方法检出限一览表</w:t>
            </w:r>
          </w:p>
          <w:p w14:paraId="6C1EBC35">
            <w:pPr>
              <w:widowControl/>
              <w:jc w:val="right"/>
              <w:rPr>
                <w:color w:val="auto"/>
                <w:szCs w:val="21"/>
              </w:rPr>
            </w:pPr>
            <w:r>
              <w:rPr>
                <w:color w:val="auto"/>
                <w:spacing w:val="-2"/>
                <w:szCs w:val="21"/>
              </w:rPr>
              <w:t>单位：</w:t>
            </w:r>
            <w:r>
              <w:rPr>
                <w:color w:val="auto"/>
                <w:szCs w:val="21"/>
              </w:rPr>
              <w:t>μg/m</w:t>
            </w:r>
            <w:r>
              <w:rPr>
                <w:color w:val="auto"/>
                <w:szCs w:val="21"/>
                <w:vertAlign w:val="superscript"/>
              </w:rPr>
              <w:t>3</w:t>
            </w:r>
          </w:p>
          <w:tbl>
            <w:tblPr>
              <w:tblStyle w:val="82"/>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28" w:type="dxa"/>
                <w:bottom w:w="0" w:type="dxa"/>
                <w:right w:w="28" w:type="dxa"/>
              </w:tblCellMar>
            </w:tblPr>
            <w:tblGrid>
              <w:gridCol w:w="3103"/>
              <w:gridCol w:w="1675"/>
              <w:gridCol w:w="2012"/>
              <w:gridCol w:w="1155"/>
            </w:tblGrid>
            <w:tr w14:paraId="5632F9C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3103" w:type="dxa"/>
                  <w:tcBorders>
                    <w:tl2br w:val="nil"/>
                    <w:tr2bl w:val="nil"/>
                  </w:tcBorders>
                  <w:vAlign w:val="center"/>
                </w:tcPr>
                <w:p w14:paraId="72272494">
                  <w:pPr>
                    <w:pStyle w:val="99"/>
                    <w:autoSpaceDE/>
                    <w:autoSpaceDN/>
                    <w:jc w:val="center"/>
                    <w:rPr>
                      <w:rFonts w:hint="eastAsia"/>
                      <w:b/>
                      <w:bCs/>
                      <w:color w:val="auto"/>
                      <w:sz w:val="21"/>
                      <w:szCs w:val="21"/>
                      <w:lang w:eastAsia="zh-CN"/>
                    </w:rPr>
                  </w:pPr>
                  <w:r>
                    <w:rPr>
                      <w:rFonts w:hint="eastAsia"/>
                      <w:b/>
                      <w:bCs/>
                      <w:color w:val="auto"/>
                      <w:spacing w:val="11"/>
                      <w:sz w:val="21"/>
                      <w:szCs w:val="21"/>
                      <w:lang w:eastAsia="zh-CN"/>
                    </w:rPr>
                    <w:t>物质</w:t>
                  </w:r>
                </w:p>
              </w:tc>
              <w:tc>
                <w:tcPr>
                  <w:tcW w:w="1675" w:type="dxa"/>
                  <w:tcBorders>
                    <w:tl2br w:val="nil"/>
                    <w:tr2bl w:val="nil"/>
                  </w:tcBorders>
                  <w:vAlign w:val="center"/>
                </w:tcPr>
                <w:p w14:paraId="62B32E2F">
                  <w:pPr>
                    <w:pStyle w:val="99"/>
                    <w:autoSpaceDE/>
                    <w:autoSpaceDN/>
                    <w:jc w:val="center"/>
                    <w:rPr>
                      <w:rFonts w:hint="eastAsia"/>
                      <w:b/>
                      <w:bCs/>
                      <w:color w:val="auto"/>
                      <w:sz w:val="21"/>
                      <w:szCs w:val="21"/>
                      <w:lang w:eastAsia="zh-CN"/>
                    </w:rPr>
                  </w:pPr>
                  <w:r>
                    <w:rPr>
                      <w:rFonts w:hint="eastAsia"/>
                      <w:b/>
                      <w:bCs/>
                      <w:color w:val="auto"/>
                      <w:spacing w:val="-2"/>
                      <w:sz w:val="21"/>
                      <w:szCs w:val="21"/>
                      <w:lang w:eastAsia="zh-CN"/>
                    </w:rPr>
                    <w:t>方法检出限</w:t>
                  </w:r>
                </w:p>
              </w:tc>
              <w:tc>
                <w:tcPr>
                  <w:tcW w:w="2012" w:type="dxa"/>
                  <w:tcBorders>
                    <w:tl2br w:val="nil"/>
                    <w:tr2bl w:val="nil"/>
                  </w:tcBorders>
                  <w:vAlign w:val="center"/>
                </w:tcPr>
                <w:p w14:paraId="0EFFBAFC">
                  <w:pPr>
                    <w:pStyle w:val="99"/>
                    <w:autoSpaceDE/>
                    <w:autoSpaceDN/>
                    <w:jc w:val="center"/>
                    <w:rPr>
                      <w:rFonts w:hint="eastAsia"/>
                      <w:b/>
                      <w:bCs/>
                      <w:color w:val="auto"/>
                      <w:sz w:val="21"/>
                      <w:szCs w:val="21"/>
                      <w:lang w:eastAsia="zh-CN"/>
                    </w:rPr>
                  </w:pPr>
                  <w:r>
                    <w:rPr>
                      <w:rFonts w:hint="eastAsia"/>
                      <w:b/>
                      <w:bCs/>
                      <w:color w:val="auto"/>
                      <w:spacing w:val="11"/>
                      <w:sz w:val="21"/>
                      <w:szCs w:val="21"/>
                      <w:lang w:eastAsia="zh-CN"/>
                    </w:rPr>
                    <w:t>物质</w:t>
                  </w:r>
                </w:p>
              </w:tc>
              <w:tc>
                <w:tcPr>
                  <w:tcW w:w="1155" w:type="dxa"/>
                  <w:tcBorders>
                    <w:tl2br w:val="nil"/>
                    <w:tr2bl w:val="nil"/>
                  </w:tcBorders>
                  <w:vAlign w:val="center"/>
                </w:tcPr>
                <w:p w14:paraId="03B51D55">
                  <w:pPr>
                    <w:pStyle w:val="99"/>
                    <w:autoSpaceDE/>
                    <w:autoSpaceDN/>
                    <w:jc w:val="center"/>
                    <w:rPr>
                      <w:rFonts w:hint="eastAsia"/>
                      <w:b/>
                      <w:bCs/>
                      <w:color w:val="auto"/>
                      <w:sz w:val="21"/>
                      <w:szCs w:val="21"/>
                      <w:lang w:eastAsia="zh-CN"/>
                    </w:rPr>
                  </w:pPr>
                  <w:r>
                    <w:rPr>
                      <w:rFonts w:hint="eastAsia"/>
                      <w:b/>
                      <w:bCs/>
                      <w:color w:val="auto"/>
                      <w:spacing w:val="-2"/>
                      <w:sz w:val="21"/>
                      <w:szCs w:val="21"/>
                      <w:lang w:eastAsia="zh-CN"/>
                    </w:rPr>
                    <w:t>方法检出限</w:t>
                  </w:r>
                </w:p>
              </w:tc>
            </w:tr>
            <w:tr w14:paraId="51319D9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3103" w:type="dxa"/>
                  <w:tcBorders>
                    <w:tl2br w:val="nil"/>
                    <w:tr2bl w:val="nil"/>
                  </w:tcBorders>
                  <w:vAlign w:val="center"/>
                </w:tcPr>
                <w:p w14:paraId="7CA628F3">
                  <w:pPr>
                    <w:pStyle w:val="99"/>
                    <w:autoSpaceDE/>
                    <w:autoSpaceDN/>
                    <w:jc w:val="center"/>
                    <w:rPr>
                      <w:rFonts w:hint="eastAsia"/>
                      <w:color w:val="auto"/>
                      <w:sz w:val="21"/>
                      <w:szCs w:val="21"/>
                      <w:lang w:eastAsia="zh-CN"/>
                    </w:rPr>
                  </w:pPr>
                  <w:r>
                    <w:rPr>
                      <w:rFonts w:ascii="Times New Roman" w:hAnsi="Times New Roman" w:cs="Times New Roman"/>
                      <w:color w:val="auto"/>
                      <w:sz w:val="21"/>
                      <w:szCs w:val="21"/>
                      <w:lang w:eastAsia="zh-CN"/>
                    </w:rPr>
                    <w:t>1</w:t>
                  </w:r>
                  <w:r>
                    <w:rPr>
                      <w:rFonts w:hint="eastAsia"/>
                      <w:color w:val="auto"/>
                      <w:sz w:val="21"/>
                      <w:szCs w:val="21"/>
                      <w:lang w:eastAsia="zh-CN"/>
                    </w:rPr>
                    <w:t>,</w:t>
                  </w:r>
                  <w:r>
                    <w:rPr>
                      <w:rFonts w:ascii="Times New Roman" w:hAnsi="Times New Roman" w:cs="Times New Roman"/>
                      <w:color w:val="auto"/>
                      <w:sz w:val="21"/>
                      <w:szCs w:val="21"/>
                      <w:lang w:eastAsia="zh-CN"/>
                    </w:rPr>
                    <w:t>1</w:t>
                  </w:r>
                  <w:r>
                    <w:rPr>
                      <w:rFonts w:hint="eastAsia"/>
                      <w:color w:val="auto"/>
                      <w:sz w:val="21"/>
                      <w:szCs w:val="21"/>
                      <w:lang w:eastAsia="zh-CN"/>
                    </w:rPr>
                    <w:t>,</w:t>
                  </w:r>
                  <w:r>
                    <w:rPr>
                      <w:rFonts w:ascii="Times New Roman" w:hAnsi="Times New Roman" w:cs="Times New Roman"/>
                      <w:color w:val="auto"/>
                      <w:sz w:val="21"/>
                      <w:szCs w:val="21"/>
                      <w:lang w:eastAsia="zh-CN"/>
                    </w:rPr>
                    <w:t>2</w:t>
                  </w:r>
                  <w:r>
                    <w:rPr>
                      <w:rFonts w:hint="eastAsia"/>
                      <w:color w:val="auto"/>
                      <w:sz w:val="21"/>
                      <w:szCs w:val="21"/>
                      <w:lang w:eastAsia="zh-CN"/>
                    </w:rPr>
                    <w:t>-三氯-</w:t>
                  </w:r>
                  <w:r>
                    <w:rPr>
                      <w:rFonts w:ascii="Times New Roman" w:hAnsi="Times New Roman" w:cs="Times New Roman"/>
                      <w:color w:val="auto"/>
                      <w:sz w:val="21"/>
                      <w:szCs w:val="21"/>
                      <w:lang w:eastAsia="zh-CN"/>
                    </w:rPr>
                    <w:t>1</w:t>
                  </w:r>
                  <w:r>
                    <w:rPr>
                      <w:rFonts w:hint="eastAsia"/>
                      <w:color w:val="auto"/>
                      <w:sz w:val="21"/>
                      <w:szCs w:val="21"/>
                      <w:lang w:eastAsia="zh-CN"/>
                    </w:rPr>
                    <w:t>,</w:t>
                  </w:r>
                  <w:r>
                    <w:rPr>
                      <w:rFonts w:hint="eastAsia" w:ascii="Times New Roman" w:hAnsi="Times New Roman" w:cs="Times New Roman"/>
                      <w:color w:val="auto"/>
                      <w:sz w:val="21"/>
                      <w:szCs w:val="21"/>
                      <w:lang w:eastAsia="zh-CN"/>
                    </w:rPr>
                    <w:t>2</w:t>
                  </w:r>
                  <w:r>
                    <w:rPr>
                      <w:rFonts w:hint="eastAsia"/>
                      <w:color w:val="auto"/>
                      <w:sz w:val="21"/>
                      <w:szCs w:val="21"/>
                      <w:lang w:eastAsia="zh-CN"/>
                    </w:rPr>
                    <w:t>,</w:t>
                  </w:r>
                  <w:r>
                    <w:rPr>
                      <w:rFonts w:ascii="Times New Roman" w:hAnsi="Times New Roman" w:cs="Times New Roman"/>
                      <w:color w:val="auto"/>
                      <w:sz w:val="21"/>
                      <w:szCs w:val="21"/>
                      <w:lang w:eastAsia="zh-CN"/>
                    </w:rPr>
                    <w:t>2</w:t>
                  </w:r>
                  <w:r>
                    <w:rPr>
                      <w:rFonts w:hint="eastAsia"/>
                      <w:color w:val="auto"/>
                      <w:sz w:val="21"/>
                      <w:szCs w:val="21"/>
                      <w:lang w:eastAsia="zh-CN"/>
                    </w:rPr>
                    <w:t>-三氟乙烷</w:t>
                  </w:r>
                </w:p>
              </w:tc>
              <w:tc>
                <w:tcPr>
                  <w:tcW w:w="1675" w:type="dxa"/>
                  <w:tcBorders>
                    <w:tl2br w:val="nil"/>
                    <w:tr2bl w:val="nil"/>
                  </w:tcBorders>
                  <w:vAlign w:val="center"/>
                </w:tcPr>
                <w:p w14:paraId="0D7DFFAC">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0.5</w:t>
                  </w:r>
                </w:p>
              </w:tc>
              <w:tc>
                <w:tcPr>
                  <w:tcW w:w="2012" w:type="dxa"/>
                  <w:tcBorders>
                    <w:tl2br w:val="nil"/>
                    <w:tr2bl w:val="nil"/>
                  </w:tcBorders>
                  <w:vAlign w:val="center"/>
                </w:tcPr>
                <w:p w14:paraId="35C613AC">
                  <w:pPr>
                    <w:pStyle w:val="99"/>
                    <w:autoSpaceDE/>
                    <w:autoSpaceDN/>
                    <w:jc w:val="center"/>
                    <w:rPr>
                      <w:rFonts w:hint="eastAsia"/>
                      <w:color w:val="auto"/>
                      <w:sz w:val="21"/>
                      <w:szCs w:val="21"/>
                      <w:lang w:eastAsia="zh-CN"/>
                    </w:rPr>
                  </w:pPr>
                  <w:r>
                    <w:rPr>
                      <w:rFonts w:hint="eastAsia"/>
                      <w:color w:val="auto"/>
                      <w:spacing w:val="2"/>
                      <w:sz w:val="21"/>
                      <w:szCs w:val="21"/>
                      <w:lang w:eastAsia="zh-CN"/>
                    </w:rPr>
                    <w:t>四氯乙烯</w:t>
                  </w:r>
                </w:p>
              </w:tc>
              <w:tc>
                <w:tcPr>
                  <w:tcW w:w="1155" w:type="dxa"/>
                  <w:tcBorders>
                    <w:tl2br w:val="nil"/>
                    <w:tr2bl w:val="nil"/>
                  </w:tcBorders>
                  <w:vAlign w:val="center"/>
                </w:tcPr>
                <w:p w14:paraId="0AED6B14">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0.4</w:t>
                  </w:r>
                </w:p>
              </w:tc>
            </w:tr>
            <w:tr w14:paraId="59CF1F0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3103" w:type="dxa"/>
                  <w:tcBorders>
                    <w:tl2br w:val="nil"/>
                    <w:tr2bl w:val="nil"/>
                  </w:tcBorders>
                  <w:vAlign w:val="center"/>
                </w:tcPr>
                <w:p w14:paraId="77772342">
                  <w:pPr>
                    <w:pStyle w:val="99"/>
                    <w:autoSpaceDE/>
                    <w:autoSpaceDN/>
                    <w:jc w:val="center"/>
                    <w:rPr>
                      <w:rFonts w:hint="eastAsia"/>
                      <w:color w:val="auto"/>
                      <w:sz w:val="21"/>
                      <w:szCs w:val="21"/>
                      <w:lang w:eastAsia="zh-CN"/>
                    </w:rPr>
                  </w:pPr>
                  <w:r>
                    <w:rPr>
                      <w:rFonts w:ascii="Times New Roman" w:hAnsi="Times New Roman" w:cs="Times New Roman"/>
                      <w:color w:val="auto"/>
                      <w:sz w:val="21"/>
                      <w:szCs w:val="21"/>
                      <w:lang w:eastAsia="zh-CN"/>
                    </w:rPr>
                    <w:t>1</w:t>
                  </w:r>
                  <w:r>
                    <w:rPr>
                      <w:rFonts w:hint="eastAsia"/>
                      <w:color w:val="auto"/>
                      <w:sz w:val="21"/>
                      <w:szCs w:val="21"/>
                      <w:lang w:eastAsia="zh-CN"/>
                    </w:rPr>
                    <w:t>,</w:t>
                  </w:r>
                  <w:r>
                    <w:rPr>
                      <w:rFonts w:ascii="Times New Roman" w:hAnsi="Times New Roman" w:cs="Times New Roman"/>
                      <w:color w:val="auto"/>
                      <w:sz w:val="21"/>
                      <w:szCs w:val="21"/>
                      <w:lang w:eastAsia="zh-CN"/>
                    </w:rPr>
                    <w:t>1</w:t>
                  </w:r>
                  <w:r>
                    <w:rPr>
                      <w:rFonts w:hint="eastAsia"/>
                      <w:color w:val="auto"/>
                      <w:spacing w:val="1"/>
                      <w:sz w:val="21"/>
                      <w:szCs w:val="21"/>
                      <w:lang w:eastAsia="zh-CN"/>
                    </w:rPr>
                    <w:t>-二氯乙烯</w:t>
                  </w:r>
                </w:p>
              </w:tc>
              <w:tc>
                <w:tcPr>
                  <w:tcW w:w="1675" w:type="dxa"/>
                  <w:tcBorders>
                    <w:tl2br w:val="nil"/>
                    <w:tr2bl w:val="nil"/>
                  </w:tcBorders>
                  <w:vAlign w:val="center"/>
                </w:tcPr>
                <w:p w14:paraId="30909BC8">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0.3</w:t>
                  </w:r>
                </w:p>
              </w:tc>
              <w:tc>
                <w:tcPr>
                  <w:tcW w:w="2012" w:type="dxa"/>
                  <w:tcBorders>
                    <w:tl2br w:val="nil"/>
                    <w:tr2bl w:val="nil"/>
                  </w:tcBorders>
                  <w:vAlign w:val="center"/>
                </w:tcPr>
                <w:p w14:paraId="36B5046D">
                  <w:pPr>
                    <w:pStyle w:val="99"/>
                    <w:autoSpaceDE/>
                    <w:autoSpaceDN/>
                    <w:jc w:val="center"/>
                    <w:rPr>
                      <w:rFonts w:hint="eastAsia"/>
                      <w:color w:val="auto"/>
                      <w:sz w:val="21"/>
                      <w:szCs w:val="21"/>
                      <w:lang w:eastAsia="zh-CN"/>
                    </w:rPr>
                  </w:pPr>
                  <w:r>
                    <w:rPr>
                      <w:rFonts w:ascii="Times New Roman" w:hAnsi="Times New Roman" w:cs="Times New Roman"/>
                      <w:color w:val="auto"/>
                      <w:sz w:val="21"/>
                      <w:szCs w:val="21"/>
                      <w:lang w:eastAsia="zh-CN"/>
                    </w:rPr>
                    <w:t>1</w:t>
                  </w:r>
                  <w:r>
                    <w:rPr>
                      <w:rFonts w:hint="eastAsia"/>
                      <w:color w:val="auto"/>
                      <w:sz w:val="21"/>
                      <w:szCs w:val="21"/>
                      <w:lang w:eastAsia="zh-CN"/>
                    </w:rPr>
                    <w:t>,</w:t>
                  </w:r>
                  <w:r>
                    <w:rPr>
                      <w:rFonts w:ascii="Times New Roman" w:hAnsi="Times New Roman" w:cs="Times New Roman"/>
                      <w:color w:val="auto"/>
                      <w:sz w:val="21"/>
                      <w:szCs w:val="21"/>
                      <w:lang w:eastAsia="zh-CN"/>
                    </w:rPr>
                    <w:t>2</w:t>
                  </w:r>
                  <w:r>
                    <w:rPr>
                      <w:rFonts w:hint="eastAsia"/>
                      <w:color w:val="auto"/>
                      <w:spacing w:val="1"/>
                      <w:sz w:val="21"/>
                      <w:szCs w:val="21"/>
                      <w:lang w:eastAsia="zh-CN"/>
                    </w:rPr>
                    <w:t>-二溴乙烷</w:t>
                  </w:r>
                </w:p>
              </w:tc>
              <w:tc>
                <w:tcPr>
                  <w:tcW w:w="1155" w:type="dxa"/>
                  <w:tcBorders>
                    <w:tl2br w:val="nil"/>
                    <w:tr2bl w:val="nil"/>
                  </w:tcBorders>
                  <w:vAlign w:val="center"/>
                </w:tcPr>
                <w:p w14:paraId="597788FC">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0.4</w:t>
                  </w:r>
                </w:p>
              </w:tc>
            </w:tr>
            <w:tr w14:paraId="7D29516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3103" w:type="dxa"/>
                  <w:tcBorders>
                    <w:tl2br w:val="nil"/>
                    <w:tr2bl w:val="nil"/>
                  </w:tcBorders>
                  <w:vAlign w:val="center"/>
                </w:tcPr>
                <w:p w14:paraId="79E58C67">
                  <w:pPr>
                    <w:pStyle w:val="99"/>
                    <w:autoSpaceDE/>
                    <w:autoSpaceDN/>
                    <w:jc w:val="center"/>
                    <w:rPr>
                      <w:rFonts w:hint="eastAsia"/>
                      <w:color w:val="auto"/>
                      <w:sz w:val="21"/>
                      <w:szCs w:val="21"/>
                      <w:lang w:eastAsia="zh-CN"/>
                    </w:rPr>
                  </w:pPr>
                  <w:r>
                    <w:rPr>
                      <w:rFonts w:hint="eastAsia"/>
                      <w:color w:val="auto"/>
                      <w:spacing w:val="3"/>
                      <w:sz w:val="21"/>
                      <w:szCs w:val="21"/>
                      <w:lang w:eastAsia="zh-CN"/>
                    </w:rPr>
                    <w:t>氯丙烯</w:t>
                  </w:r>
                </w:p>
              </w:tc>
              <w:tc>
                <w:tcPr>
                  <w:tcW w:w="1675" w:type="dxa"/>
                  <w:tcBorders>
                    <w:tl2br w:val="nil"/>
                    <w:tr2bl w:val="nil"/>
                  </w:tcBorders>
                  <w:vAlign w:val="center"/>
                </w:tcPr>
                <w:p w14:paraId="76485535">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0.3</w:t>
                  </w:r>
                </w:p>
              </w:tc>
              <w:tc>
                <w:tcPr>
                  <w:tcW w:w="2012" w:type="dxa"/>
                  <w:tcBorders>
                    <w:tl2br w:val="nil"/>
                    <w:tr2bl w:val="nil"/>
                  </w:tcBorders>
                  <w:vAlign w:val="center"/>
                </w:tcPr>
                <w:p w14:paraId="4FF9D3F4">
                  <w:pPr>
                    <w:pStyle w:val="99"/>
                    <w:autoSpaceDE/>
                    <w:autoSpaceDN/>
                    <w:jc w:val="center"/>
                    <w:rPr>
                      <w:rFonts w:hint="eastAsia"/>
                      <w:color w:val="auto"/>
                      <w:sz w:val="21"/>
                      <w:szCs w:val="21"/>
                      <w:lang w:eastAsia="zh-CN"/>
                    </w:rPr>
                  </w:pPr>
                  <w:r>
                    <w:rPr>
                      <w:rFonts w:hint="eastAsia"/>
                      <w:color w:val="auto"/>
                      <w:spacing w:val="4"/>
                      <w:sz w:val="21"/>
                      <w:szCs w:val="21"/>
                      <w:lang w:eastAsia="zh-CN"/>
                    </w:rPr>
                    <w:t>氯苯</w:t>
                  </w:r>
                </w:p>
              </w:tc>
              <w:tc>
                <w:tcPr>
                  <w:tcW w:w="1155" w:type="dxa"/>
                  <w:tcBorders>
                    <w:tl2br w:val="nil"/>
                    <w:tr2bl w:val="nil"/>
                  </w:tcBorders>
                  <w:vAlign w:val="center"/>
                </w:tcPr>
                <w:p w14:paraId="3E4521AA">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0.3</w:t>
                  </w:r>
                </w:p>
              </w:tc>
            </w:tr>
            <w:tr w14:paraId="547B1ED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3103" w:type="dxa"/>
                  <w:tcBorders>
                    <w:tl2br w:val="nil"/>
                    <w:tr2bl w:val="nil"/>
                  </w:tcBorders>
                  <w:vAlign w:val="center"/>
                </w:tcPr>
                <w:p w14:paraId="35256DD5">
                  <w:pPr>
                    <w:pStyle w:val="99"/>
                    <w:autoSpaceDE/>
                    <w:autoSpaceDN/>
                    <w:jc w:val="center"/>
                    <w:rPr>
                      <w:rFonts w:hint="eastAsia"/>
                      <w:color w:val="auto"/>
                      <w:sz w:val="21"/>
                      <w:szCs w:val="21"/>
                      <w:lang w:eastAsia="zh-CN"/>
                    </w:rPr>
                  </w:pPr>
                  <w:r>
                    <w:rPr>
                      <w:rFonts w:hint="eastAsia"/>
                      <w:color w:val="auto"/>
                      <w:spacing w:val="-3"/>
                      <w:sz w:val="21"/>
                      <w:szCs w:val="21"/>
                      <w:lang w:eastAsia="zh-CN"/>
                    </w:rPr>
                    <w:t>二氯甲烷</w:t>
                  </w:r>
                </w:p>
              </w:tc>
              <w:tc>
                <w:tcPr>
                  <w:tcW w:w="1675" w:type="dxa"/>
                  <w:tcBorders>
                    <w:tl2br w:val="nil"/>
                    <w:tr2bl w:val="nil"/>
                  </w:tcBorders>
                  <w:vAlign w:val="center"/>
                </w:tcPr>
                <w:p w14:paraId="77F356DF">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6"/>
                      <w:sz w:val="21"/>
                      <w:szCs w:val="21"/>
                      <w:lang w:eastAsia="zh-CN"/>
                    </w:rPr>
                    <w:t>1.0</w:t>
                  </w:r>
                </w:p>
              </w:tc>
              <w:tc>
                <w:tcPr>
                  <w:tcW w:w="2012" w:type="dxa"/>
                  <w:tcBorders>
                    <w:tl2br w:val="nil"/>
                    <w:tr2bl w:val="nil"/>
                  </w:tcBorders>
                  <w:vAlign w:val="center"/>
                </w:tcPr>
                <w:p w14:paraId="4D58A8B0">
                  <w:pPr>
                    <w:pStyle w:val="99"/>
                    <w:autoSpaceDE/>
                    <w:autoSpaceDN/>
                    <w:jc w:val="center"/>
                    <w:rPr>
                      <w:rFonts w:hint="eastAsia"/>
                      <w:color w:val="auto"/>
                      <w:sz w:val="21"/>
                      <w:szCs w:val="21"/>
                      <w:lang w:eastAsia="zh-CN"/>
                    </w:rPr>
                  </w:pPr>
                  <w:r>
                    <w:rPr>
                      <w:rFonts w:ascii="Times New Roman" w:hAnsi="Times New Roman" w:cs="Times New Roman"/>
                      <w:color w:val="auto"/>
                      <w:sz w:val="21"/>
                      <w:szCs w:val="21"/>
                      <w:lang w:eastAsia="zh-CN"/>
                    </w:rPr>
                    <w:t>1</w:t>
                  </w:r>
                  <w:r>
                    <w:rPr>
                      <w:rFonts w:hint="eastAsia"/>
                      <w:color w:val="auto"/>
                      <w:sz w:val="21"/>
                      <w:szCs w:val="21"/>
                      <w:lang w:eastAsia="zh-CN"/>
                    </w:rPr>
                    <w:t>,</w:t>
                  </w:r>
                  <w:r>
                    <w:rPr>
                      <w:rFonts w:ascii="Times New Roman" w:hAnsi="Times New Roman" w:cs="Times New Roman"/>
                      <w:color w:val="auto"/>
                      <w:sz w:val="21"/>
                      <w:szCs w:val="21"/>
                      <w:lang w:eastAsia="zh-CN"/>
                    </w:rPr>
                    <w:t>1</w:t>
                  </w:r>
                  <w:r>
                    <w:rPr>
                      <w:rFonts w:hint="eastAsia"/>
                      <w:color w:val="auto"/>
                      <w:sz w:val="21"/>
                      <w:szCs w:val="21"/>
                      <w:lang w:eastAsia="zh-CN"/>
                    </w:rPr>
                    <w:t>,</w:t>
                  </w:r>
                  <w:r>
                    <w:rPr>
                      <w:rFonts w:ascii="Times New Roman" w:hAnsi="Times New Roman" w:cs="Times New Roman"/>
                      <w:color w:val="auto"/>
                      <w:sz w:val="21"/>
                      <w:szCs w:val="21"/>
                      <w:lang w:eastAsia="zh-CN"/>
                    </w:rPr>
                    <w:t>2</w:t>
                  </w:r>
                  <w:r>
                    <w:rPr>
                      <w:rFonts w:hint="eastAsia"/>
                      <w:color w:val="auto"/>
                      <w:sz w:val="21"/>
                      <w:szCs w:val="21"/>
                      <w:lang w:eastAsia="zh-CN"/>
                    </w:rPr>
                    <w:t>,</w:t>
                  </w:r>
                  <w:r>
                    <w:rPr>
                      <w:rFonts w:ascii="Times New Roman" w:hAnsi="Times New Roman" w:cs="Times New Roman"/>
                      <w:color w:val="auto"/>
                      <w:sz w:val="21"/>
                      <w:szCs w:val="21"/>
                      <w:lang w:eastAsia="zh-CN"/>
                    </w:rPr>
                    <w:t>2</w:t>
                  </w:r>
                  <w:r>
                    <w:rPr>
                      <w:rFonts w:hint="eastAsia"/>
                      <w:color w:val="auto"/>
                      <w:sz w:val="21"/>
                      <w:szCs w:val="21"/>
                      <w:lang w:eastAsia="zh-CN"/>
                    </w:rPr>
                    <w:t>-四氯乙烷</w:t>
                  </w:r>
                </w:p>
              </w:tc>
              <w:tc>
                <w:tcPr>
                  <w:tcW w:w="1155" w:type="dxa"/>
                  <w:tcBorders>
                    <w:tl2br w:val="nil"/>
                    <w:tr2bl w:val="nil"/>
                  </w:tcBorders>
                  <w:vAlign w:val="center"/>
                </w:tcPr>
                <w:p w14:paraId="5D4C558E">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0.4</w:t>
                  </w:r>
                </w:p>
              </w:tc>
            </w:tr>
            <w:tr w14:paraId="6B804D7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3103" w:type="dxa"/>
                  <w:tcBorders>
                    <w:tl2br w:val="nil"/>
                    <w:tr2bl w:val="nil"/>
                  </w:tcBorders>
                  <w:vAlign w:val="center"/>
                </w:tcPr>
                <w:p w14:paraId="125A5042">
                  <w:pPr>
                    <w:pStyle w:val="99"/>
                    <w:autoSpaceDE/>
                    <w:autoSpaceDN/>
                    <w:jc w:val="center"/>
                    <w:rPr>
                      <w:rFonts w:hint="eastAsia"/>
                      <w:color w:val="auto"/>
                      <w:sz w:val="21"/>
                      <w:szCs w:val="21"/>
                      <w:lang w:eastAsia="zh-CN"/>
                    </w:rPr>
                  </w:pPr>
                  <w:r>
                    <w:rPr>
                      <w:rFonts w:ascii="Times New Roman" w:hAnsi="Times New Roman" w:cs="Times New Roman"/>
                      <w:color w:val="auto"/>
                      <w:sz w:val="21"/>
                      <w:szCs w:val="21"/>
                      <w:lang w:eastAsia="zh-CN"/>
                    </w:rPr>
                    <w:t>1</w:t>
                  </w:r>
                  <w:r>
                    <w:rPr>
                      <w:rFonts w:hint="eastAsia"/>
                      <w:color w:val="auto"/>
                      <w:sz w:val="21"/>
                      <w:szCs w:val="21"/>
                      <w:lang w:eastAsia="zh-CN"/>
                    </w:rPr>
                    <w:t>,</w:t>
                  </w:r>
                  <w:r>
                    <w:rPr>
                      <w:rFonts w:ascii="Times New Roman" w:hAnsi="Times New Roman" w:cs="Times New Roman"/>
                      <w:color w:val="auto"/>
                      <w:sz w:val="21"/>
                      <w:szCs w:val="21"/>
                      <w:lang w:eastAsia="zh-CN"/>
                    </w:rPr>
                    <w:t>1</w:t>
                  </w:r>
                  <w:r>
                    <w:rPr>
                      <w:rFonts w:hint="eastAsia"/>
                      <w:color w:val="auto"/>
                      <w:spacing w:val="1"/>
                      <w:sz w:val="21"/>
                      <w:szCs w:val="21"/>
                      <w:lang w:eastAsia="zh-CN"/>
                    </w:rPr>
                    <w:t>-二氯乙烷</w:t>
                  </w:r>
                </w:p>
              </w:tc>
              <w:tc>
                <w:tcPr>
                  <w:tcW w:w="1675" w:type="dxa"/>
                  <w:tcBorders>
                    <w:tl2br w:val="nil"/>
                    <w:tr2bl w:val="nil"/>
                  </w:tcBorders>
                  <w:vAlign w:val="center"/>
                </w:tcPr>
                <w:p w14:paraId="2DC5B205">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0.4</w:t>
                  </w:r>
                </w:p>
              </w:tc>
              <w:tc>
                <w:tcPr>
                  <w:tcW w:w="2012" w:type="dxa"/>
                  <w:tcBorders>
                    <w:tl2br w:val="nil"/>
                    <w:tr2bl w:val="nil"/>
                  </w:tcBorders>
                  <w:vAlign w:val="center"/>
                </w:tcPr>
                <w:p w14:paraId="144B2C95">
                  <w:pPr>
                    <w:pStyle w:val="99"/>
                    <w:autoSpaceDE/>
                    <w:autoSpaceDN/>
                    <w:jc w:val="center"/>
                    <w:rPr>
                      <w:rFonts w:hint="eastAsia"/>
                      <w:color w:val="auto"/>
                      <w:sz w:val="21"/>
                      <w:szCs w:val="21"/>
                      <w:lang w:eastAsia="zh-CN"/>
                    </w:rPr>
                  </w:pPr>
                  <w:r>
                    <w:rPr>
                      <w:rFonts w:hint="eastAsia"/>
                      <w:color w:val="auto"/>
                      <w:spacing w:val="4"/>
                      <w:sz w:val="21"/>
                      <w:szCs w:val="21"/>
                      <w:lang w:eastAsia="zh-CN"/>
                    </w:rPr>
                    <w:t>乙苯</w:t>
                  </w:r>
                </w:p>
              </w:tc>
              <w:tc>
                <w:tcPr>
                  <w:tcW w:w="1155" w:type="dxa"/>
                  <w:tcBorders>
                    <w:tl2br w:val="nil"/>
                    <w:tr2bl w:val="nil"/>
                  </w:tcBorders>
                  <w:vAlign w:val="center"/>
                </w:tcPr>
                <w:p w14:paraId="22F9FD8A">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0.3</w:t>
                  </w:r>
                </w:p>
              </w:tc>
            </w:tr>
            <w:tr w14:paraId="2B2185F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3103" w:type="dxa"/>
                  <w:tcBorders>
                    <w:tl2br w:val="nil"/>
                    <w:tr2bl w:val="nil"/>
                  </w:tcBorders>
                  <w:vAlign w:val="center"/>
                </w:tcPr>
                <w:p w14:paraId="34284F6E">
                  <w:pPr>
                    <w:pStyle w:val="99"/>
                    <w:autoSpaceDE/>
                    <w:autoSpaceDN/>
                    <w:jc w:val="center"/>
                    <w:rPr>
                      <w:rFonts w:hint="eastAsia"/>
                      <w:color w:val="auto"/>
                      <w:sz w:val="21"/>
                      <w:szCs w:val="21"/>
                      <w:lang w:eastAsia="zh-CN"/>
                    </w:rPr>
                  </w:pPr>
                  <w:r>
                    <w:rPr>
                      <w:rFonts w:hint="eastAsia"/>
                      <w:color w:val="auto"/>
                      <w:spacing w:val="-1"/>
                      <w:sz w:val="21"/>
                      <w:szCs w:val="21"/>
                      <w:lang w:eastAsia="zh-CN"/>
                    </w:rPr>
                    <w:t>顺式-</w:t>
                  </w:r>
                  <w:r>
                    <w:rPr>
                      <w:rFonts w:ascii="Times New Roman" w:hAnsi="Times New Roman" w:cs="Times New Roman"/>
                      <w:color w:val="auto"/>
                      <w:sz w:val="21"/>
                      <w:szCs w:val="21"/>
                      <w:lang w:eastAsia="zh-CN"/>
                    </w:rPr>
                    <w:t>1</w:t>
                  </w:r>
                  <w:r>
                    <w:rPr>
                      <w:rFonts w:hint="eastAsia"/>
                      <w:color w:val="auto"/>
                      <w:sz w:val="21"/>
                      <w:szCs w:val="21"/>
                      <w:lang w:eastAsia="zh-CN"/>
                    </w:rPr>
                    <w:t>,</w:t>
                  </w:r>
                  <w:r>
                    <w:rPr>
                      <w:rFonts w:ascii="Times New Roman" w:hAnsi="Times New Roman" w:cs="Times New Roman"/>
                      <w:color w:val="auto"/>
                      <w:sz w:val="21"/>
                      <w:szCs w:val="21"/>
                      <w:lang w:eastAsia="zh-CN"/>
                    </w:rPr>
                    <w:t>2</w:t>
                  </w:r>
                  <w:r>
                    <w:rPr>
                      <w:rFonts w:hint="eastAsia"/>
                      <w:color w:val="auto"/>
                      <w:spacing w:val="-1"/>
                      <w:sz w:val="21"/>
                      <w:szCs w:val="21"/>
                      <w:lang w:eastAsia="zh-CN"/>
                    </w:rPr>
                    <w:t>-二氯乙烯</w:t>
                  </w:r>
                </w:p>
              </w:tc>
              <w:tc>
                <w:tcPr>
                  <w:tcW w:w="1675" w:type="dxa"/>
                  <w:tcBorders>
                    <w:tl2br w:val="nil"/>
                    <w:tr2bl w:val="nil"/>
                  </w:tcBorders>
                  <w:vAlign w:val="center"/>
                </w:tcPr>
                <w:p w14:paraId="097C0535">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0.5</w:t>
                  </w:r>
                </w:p>
              </w:tc>
              <w:tc>
                <w:tcPr>
                  <w:tcW w:w="2012" w:type="dxa"/>
                  <w:tcBorders>
                    <w:tl2br w:val="nil"/>
                    <w:tr2bl w:val="nil"/>
                  </w:tcBorders>
                  <w:vAlign w:val="center"/>
                </w:tcPr>
                <w:p w14:paraId="75E07859">
                  <w:pPr>
                    <w:pStyle w:val="99"/>
                    <w:autoSpaceDE/>
                    <w:autoSpaceDN/>
                    <w:jc w:val="center"/>
                    <w:rPr>
                      <w:rFonts w:hint="eastAsia"/>
                      <w:color w:val="auto"/>
                      <w:sz w:val="21"/>
                      <w:szCs w:val="21"/>
                      <w:lang w:eastAsia="zh-CN"/>
                    </w:rPr>
                  </w:pPr>
                  <w:r>
                    <w:rPr>
                      <w:rFonts w:hint="eastAsia"/>
                      <w:color w:val="auto"/>
                      <w:spacing w:val="1"/>
                      <w:sz w:val="21"/>
                      <w:szCs w:val="21"/>
                      <w:lang w:eastAsia="zh-CN"/>
                    </w:rPr>
                    <w:t>间，对-二甲苯</w:t>
                  </w:r>
                </w:p>
              </w:tc>
              <w:tc>
                <w:tcPr>
                  <w:tcW w:w="1155" w:type="dxa"/>
                  <w:tcBorders>
                    <w:tl2br w:val="nil"/>
                    <w:tr2bl w:val="nil"/>
                  </w:tcBorders>
                  <w:vAlign w:val="center"/>
                </w:tcPr>
                <w:p w14:paraId="3F75F414">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0.6</w:t>
                  </w:r>
                </w:p>
              </w:tc>
            </w:tr>
            <w:tr w14:paraId="25B971F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3103" w:type="dxa"/>
                  <w:tcBorders>
                    <w:tl2br w:val="nil"/>
                    <w:tr2bl w:val="nil"/>
                  </w:tcBorders>
                  <w:vAlign w:val="center"/>
                </w:tcPr>
                <w:p w14:paraId="401C7738">
                  <w:pPr>
                    <w:pStyle w:val="99"/>
                    <w:autoSpaceDE/>
                    <w:autoSpaceDN/>
                    <w:jc w:val="center"/>
                    <w:rPr>
                      <w:rFonts w:hint="eastAsia"/>
                      <w:color w:val="auto"/>
                      <w:sz w:val="21"/>
                      <w:szCs w:val="21"/>
                      <w:lang w:eastAsia="zh-CN"/>
                    </w:rPr>
                  </w:pPr>
                  <w:r>
                    <w:rPr>
                      <w:rFonts w:hint="eastAsia"/>
                      <w:color w:val="auto"/>
                      <w:spacing w:val="-2"/>
                      <w:sz w:val="21"/>
                      <w:szCs w:val="21"/>
                      <w:lang w:eastAsia="zh-CN"/>
                    </w:rPr>
                    <w:t>三氯甲烷</w:t>
                  </w:r>
                </w:p>
              </w:tc>
              <w:tc>
                <w:tcPr>
                  <w:tcW w:w="1675" w:type="dxa"/>
                  <w:tcBorders>
                    <w:tl2br w:val="nil"/>
                    <w:tr2bl w:val="nil"/>
                  </w:tcBorders>
                  <w:vAlign w:val="center"/>
                </w:tcPr>
                <w:p w14:paraId="1F16852C">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0.4</w:t>
                  </w:r>
                </w:p>
              </w:tc>
              <w:tc>
                <w:tcPr>
                  <w:tcW w:w="2012" w:type="dxa"/>
                  <w:tcBorders>
                    <w:tl2br w:val="nil"/>
                    <w:tr2bl w:val="nil"/>
                  </w:tcBorders>
                  <w:vAlign w:val="center"/>
                </w:tcPr>
                <w:p w14:paraId="3DFFBD0E">
                  <w:pPr>
                    <w:pStyle w:val="99"/>
                    <w:autoSpaceDE/>
                    <w:autoSpaceDN/>
                    <w:jc w:val="center"/>
                    <w:rPr>
                      <w:rFonts w:hint="eastAsia"/>
                      <w:color w:val="auto"/>
                      <w:sz w:val="21"/>
                      <w:szCs w:val="21"/>
                      <w:lang w:eastAsia="zh-CN"/>
                    </w:rPr>
                  </w:pPr>
                  <w:r>
                    <w:rPr>
                      <w:rFonts w:hint="eastAsia"/>
                      <w:color w:val="auto"/>
                      <w:spacing w:val="-2"/>
                      <w:sz w:val="21"/>
                      <w:szCs w:val="21"/>
                      <w:lang w:eastAsia="zh-CN"/>
                    </w:rPr>
                    <w:t>邻-二甲苯</w:t>
                  </w:r>
                </w:p>
              </w:tc>
              <w:tc>
                <w:tcPr>
                  <w:tcW w:w="1155" w:type="dxa"/>
                  <w:tcBorders>
                    <w:tl2br w:val="nil"/>
                    <w:tr2bl w:val="nil"/>
                  </w:tcBorders>
                  <w:vAlign w:val="center"/>
                </w:tcPr>
                <w:p w14:paraId="17049449">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0.6</w:t>
                  </w:r>
                </w:p>
              </w:tc>
            </w:tr>
            <w:tr w14:paraId="7DD342A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3103" w:type="dxa"/>
                  <w:tcBorders>
                    <w:tl2br w:val="nil"/>
                    <w:tr2bl w:val="nil"/>
                  </w:tcBorders>
                  <w:vAlign w:val="center"/>
                </w:tcPr>
                <w:p w14:paraId="5655C21B">
                  <w:pPr>
                    <w:pStyle w:val="99"/>
                    <w:autoSpaceDE/>
                    <w:autoSpaceDN/>
                    <w:jc w:val="center"/>
                    <w:rPr>
                      <w:rFonts w:hint="eastAsia"/>
                      <w:color w:val="auto"/>
                      <w:sz w:val="21"/>
                      <w:szCs w:val="21"/>
                      <w:lang w:eastAsia="zh-CN"/>
                    </w:rPr>
                  </w:pPr>
                  <w:r>
                    <w:rPr>
                      <w:rFonts w:ascii="Times New Roman" w:hAnsi="Times New Roman" w:cs="Times New Roman"/>
                      <w:color w:val="auto"/>
                      <w:sz w:val="21"/>
                      <w:szCs w:val="21"/>
                      <w:lang w:eastAsia="zh-CN"/>
                    </w:rPr>
                    <w:t>1</w:t>
                  </w:r>
                  <w:r>
                    <w:rPr>
                      <w:rFonts w:hint="eastAsia"/>
                      <w:color w:val="auto"/>
                      <w:sz w:val="21"/>
                      <w:szCs w:val="21"/>
                      <w:lang w:eastAsia="zh-CN"/>
                    </w:rPr>
                    <w:t>,</w:t>
                  </w:r>
                  <w:r>
                    <w:rPr>
                      <w:rFonts w:ascii="Times New Roman" w:hAnsi="Times New Roman" w:cs="Times New Roman"/>
                      <w:color w:val="auto"/>
                      <w:sz w:val="21"/>
                      <w:szCs w:val="21"/>
                      <w:lang w:eastAsia="zh-CN"/>
                    </w:rPr>
                    <w:t>1</w:t>
                  </w:r>
                  <w:r>
                    <w:rPr>
                      <w:rFonts w:hint="eastAsia"/>
                      <w:color w:val="auto"/>
                      <w:sz w:val="21"/>
                      <w:szCs w:val="21"/>
                      <w:lang w:eastAsia="zh-CN"/>
                    </w:rPr>
                    <w:t>,</w:t>
                  </w:r>
                  <w:r>
                    <w:rPr>
                      <w:rFonts w:hint="eastAsia" w:ascii="Times New Roman" w:hAnsi="Times New Roman" w:cs="Times New Roman"/>
                      <w:color w:val="auto"/>
                      <w:sz w:val="21"/>
                      <w:szCs w:val="21"/>
                      <w:lang w:eastAsia="zh-CN"/>
                    </w:rPr>
                    <w:t>1</w:t>
                  </w:r>
                  <w:r>
                    <w:rPr>
                      <w:rFonts w:hint="eastAsia"/>
                      <w:color w:val="auto"/>
                      <w:sz w:val="21"/>
                      <w:szCs w:val="21"/>
                      <w:lang w:eastAsia="zh-CN"/>
                    </w:rPr>
                    <w:t>-三氯乙烷</w:t>
                  </w:r>
                </w:p>
              </w:tc>
              <w:tc>
                <w:tcPr>
                  <w:tcW w:w="1675" w:type="dxa"/>
                  <w:tcBorders>
                    <w:tl2br w:val="nil"/>
                    <w:tr2bl w:val="nil"/>
                  </w:tcBorders>
                  <w:vAlign w:val="center"/>
                </w:tcPr>
                <w:p w14:paraId="33047A8C">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0.4</w:t>
                  </w:r>
                </w:p>
              </w:tc>
              <w:tc>
                <w:tcPr>
                  <w:tcW w:w="2012" w:type="dxa"/>
                  <w:tcBorders>
                    <w:tl2br w:val="nil"/>
                    <w:tr2bl w:val="nil"/>
                  </w:tcBorders>
                  <w:vAlign w:val="center"/>
                </w:tcPr>
                <w:p w14:paraId="4DDE268C">
                  <w:pPr>
                    <w:pStyle w:val="99"/>
                    <w:autoSpaceDE/>
                    <w:autoSpaceDN/>
                    <w:jc w:val="center"/>
                    <w:rPr>
                      <w:rFonts w:hint="eastAsia"/>
                      <w:color w:val="auto"/>
                      <w:sz w:val="21"/>
                      <w:szCs w:val="21"/>
                      <w:lang w:eastAsia="zh-CN"/>
                    </w:rPr>
                  </w:pPr>
                  <w:r>
                    <w:rPr>
                      <w:rFonts w:hint="eastAsia"/>
                      <w:color w:val="auto"/>
                      <w:spacing w:val="-3"/>
                      <w:sz w:val="21"/>
                      <w:szCs w:val="21"/>
                      <w:lang w:eastAsia="zh-CN"/>
                    </w:rPr>
                    <w:t>苯乙烯</w:t>
                  </w:r>
                </w:p>
              </w:tc>
              <w:tc>
                <w:tcPr>
                  <w:tcW w:w="1155" w:type="dxa"/>
                  <w:tcBorders>
                    <w:tl2br w:val="nil"/>
                    <w:tr2bl w:val="nil"/>
                  </w:tcBorders>
                  <w:vAlign w:val="center"/>
                </w:tcPr>
                <w:p w14:paraId="5E79B2F5">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0.6</w:t>
                  </w:r>
                </w:p>
              </w:tc>
            </w:tr>
            <w:tr w14:paraId="40199D6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3103" w:type="dxa"/>
                  <w:tcBorders>
                    <w:tl2br w:val="nil"/>
                    <w:tr2bl w:val="nil"/>
                  </w:tcBorders>
                  <w:vAlign w:val="center"/>
                </w:tcPr>
                <w:p w14:paraId="2CB034B1">
                  <w:pPr>
                    <w:pStyle w:val="99"/>
                    <w:autoSpaceDE/>
                    <w:autoSpaceDN/>
                    <w:jc w:val="center"/>
                    <w:rPr>
                      <w:rFonts w:hint="eastAsia"/>
                      <w:color w:val="auto"/>
                      <w:sz w:val="21"/>
                      <w:szCs w:val="21"/>
                      <w:lang w:eastAsia="zh-CN"/>
                    </w:rPr>
                  </w:pPr>
                  <w:r>
                    <w:rPr>
                      <w:rFonts w:hint="eastAsia"/>
                      <w:color w:val="auto"/>
                      <w:spacing w:val="1"/>
                      <w:sz w:val="21"/>
                      <w:szCs w:val="21"/>
                      <w:lang w:eastAsia="zh-CN"/>
                    </w:rPr>
                    <w:t>四氯化碳</w:t>
                  </w:r>
                </w:p>
              </w:tc>
              <w:tc>
                <w:tcPr>
                  <w:tcW w:w="1675" w:type="dxa"/>
                  <w:tcBorders>
                    <w:tl2br w:val="nil"/>
                    <w:tr2bl w:val="nil"/>
                  </w:tcBorders>
                  <w:vAlign w:val="center"/>
                </w:tcPr>
                <w:p w14:paraId="7EE23D3E">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0.6</w:t>
                  </w:r>
                </w:p>
              </w:tc>
              <w:tc>
                <w:tcPr>
                  <w:tcW w:w="2012" w:type="dxa"/>
                  <w:tcBorders>
                    <w:tl2br w:val="nil"/>
                    <w:tr2bl w:val="nil"/>
                  </w:tcBorders>
                  <w:vAlign w:val="center"/>
                </w:tcPr>
                <w:p w14:paraId="485476A6">
                  <w:pPr>
                    <w:pStyle w:val="99"/>
                    <w:autoSpaceDE/>
                    <w:autoSpaceDN/>
                    <w:jc w:val="center"/>
                    <w:rPr>
                      <w:rFonts w:hint="eastAsia"/>
                      <w:color w:val="auto"/>
                      <w:sz w:val="21"/>
                      <w:szCs w:val="21"/>
                      <w:lang w:eastAsia="zh-CN"/>
                    </w:rPr>
                  </w:pPr>
                  <w:r>
                    <w:rPr>
                      <w:rFonts w:hint="eastAsia" w:ascii="Times New Roman" w:hAnsi="Times New Roman" w:cs="Times New Roman"/>
                      <w:color w:val="auto"/>
                      <w:sz w:val="21"/>
                      <w:szCs w:val="21"/>
                      <w:lang w:eastAsia="zh-CN"/>
                    </w:rPr>
                    <w:t>4</w:t>
                  </w:r>
                  <w:r>
                    <w:rPr>
                      <w:rFonts w:hint="eastAsia"/>
                      <w:color w:val="auto"/>
                      <w:spacing w:val="-2"/>
                      <w:sz w:val="21"/>
                      <w:szCs w:val="21"/>
                      <w:lang w:eastAsia="zh-CN"/>
                    </w:rPr>
                    <w:t>-乙基甲苯</w:t>
                  </w:r>
                </w:p>
              </w:tc>
              <w:tc>
                <w:tcPr>
                  <w:tcW w:w="1155" w:type="dxa"/>
                  <w:tcBorders>
                    <w:tl2br w:val="nil"/>
                    <w:tr2bl w:val="nil"/>
                  </w:tcBorders>
                  <w:vAlign w:val="center"/>
                </w:tcPr>
                <w:p w14:paraId="6B589359">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0.8</w:t>
                  </w:r>
                </w:p>
              </w:tc>
            </w:tr>
            <w:tr w14:paraId="7265789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3103" w:type="dxa"/>
                  <w:tcBorders>
                    <w:tl2br w:val="nil"/>
                    <w:tr2bl w:val="nil"/>
                  </w:tcBorders>
                  <w:vAlign w:val="center"/>
                </w:tcPr>
                <w:p w14:paraId="31B7DA13">
                  <w:pPr>
                    <w:pStyle w:val="99"/>
                    <w:autoSpaceDE/>
                    <w:autoSpaceDN/>
                    <w:jc w:val="center"/>
                    <w:rPr>
                      <w:rFonts w:hint="eastAsia"/>
                      <w:color w:val="auto"/>
                      <w:sz w:val="21"/>
                      <w:szCs w:val="21"/>
                      <w:lang w:eastAsia="zh-CN"/>
                    </w:rPr>
                  </w:pPr>
                  <w:r>
                    <w:rPr>
                      <w:rFonts w:ascii="Times New Roman" w:hAnsi="Times New Roman" w:cs="Times New Roman"/>
                      <w:color w:val="auto"/>
                      <w:sz w:val="21"/>
                      <w:szCs w:val="21"/>
                      <w:lang w:eastAsia="zh-CN"/>
                    </w:rPr>
                    <w:t>1</w:t>
                  </w:r>
                  <w:r>
                    <w:rPr>
                      <w:rFonts w:hint="eastAsia"/>
                      <w:color w:val="auto"/>
                      <w:sz w:val="21"/>
                      <w:szCs w:val="21"/>
                      <w:lang w:eastAsia="zh-CN"/>
                    </w:rPr>
                    <w:t>,</w:t>
                  </w:r>
                  <w:r>
                    <w:rPr>
                      <w:rFonts w:ascii="Times New Roman" w:hAnsi="Times New Roman" w:cs="Times New Roman"/>
                      <w:color w:val="auto"/>
                      <w:sz w:val="21"/>
                      <w:szCs w:val="21"/>
                      <w:lang w:eastAsia="zh-CN"/>
                    </w:rPr>
                    <w:t>2</w:t>
                  </w:r>
                  <w:r>
                    <w:rPr>
                      <w:rFonts w:hint="eastAsia"/>
                      <w:color w:val="auto"/>
                      <w:spacing w:val="1"/>
                      <w:sz w:val="21"/>
                      <w:szCs w:val="21"/>
                      <w:lang w:eastAsia="zh-CN"/>
                    </w:rPr>
                    <w:t>-二氯乙烷</w:t>
                  </w:r>
                </w:p>
              </w:tc>
              <w:tc>
                <w:tcPr>
                  <w:tcW w:w="1675" w:type="dxa"/>
                  <w:tcBorders>
                    <w:tl2br w:val="nil"/>
                    <w:tr2bl w:val="nil"/>
                  </w:tcBorders>
                  <w:vAlign w:val="center"/>
                </w:tcPr>
                <w:p w14:paraId="7535CF16">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0.8</w:t>
                  </w:r>
                </w:p>
              </w:tc>
              <w:tc>
                <w:tcPr>
                  <w:tcW w:w="2012" w:type="dxa"/>
                  <w:tcBorders>
                    <w:tl2br w:val="nil"/>
                    <w:tr2bl w:val="nil"/>
                  </w:tcBorders>
                  <w:vAlign w:val="center"/>
                </w:tcPr>
                <w:p w14:paraId="2C566412">
                  <w:pPr>
                    <w:pStyle w:val="99"/>
                    <w:autoSpaceDE/>
                    <w:autoSpaceDN/>
                    <w:jc w:val="center"/>
                    <w:rPr>
                      <w:rFonts w:hint="eastAsia"/>
                      <w:color w:val="auto"/>
                      <w:sz w:val="21"/>
                      <w:szCs w:val="21"/>
                      <w:lang w:eastAsia="zh-CN"/>
                    </w:rPr>
                  </w:pPr>
                  <w:r>
                    <w:rPr>
                      <w:rFonts w:ascii="Times New Roman" w:hAnsi="Times New Roman" w:cs="Times New Roman"/>
                      <w:color w:val="auto"/>
                      <w:sz w:val="21"/>
                      <w:szCs w:val="21"/>
                      <w:lang w:eastAsia="zh-CN"/>
                    </w:rPr>
                    <w:t>1</w:t>
                  </w:r>
                  <w:r>
                    <w:rPr>
                      <w:rFonts w:hint="eastAsia"/>
                      <w:color w:val="auto"/>
                      <w:sz w:val="21"/>
                      <w:szCs w:val="21"/>
                      <w:lang w:eastAsia="zh-CN"/>
                    </w:rPr>
                    <w:t>,</w:t>
                  </w:r>
                  <w:r>
                    <w:rPr>
                      <w:rFonts w:hint="eastAsia" w:ascii="Times New Roman" w:hAnsi="Times New Roman" w:cs="Times New Roman"/>
                      <w:color w:val="auto"/>
                      <w:sz w:val="21"/>
                      <w:szCs w:val="21"/>
                      <w:lang w:eastAsia="zh-CN"/>
                    </w:rPr>
                    <w:t>3</w:t>
                  </w:r>
                  <w:r>
                    <w:rPr>
                      <w:rFonts w:hint="eastAsia"/>
                      <w:color w:val="auto"/>
                      <w:sz w:val="21"/>
                      <w:szCs w:val="21"/>
                      <w:lang w:eastAsia="zh-CN"/>
                    </w:rPr>
                    <w:t>,</w:t>
                  </w:r>
                  <w:r>
                    <w:rPr>
                      <w:rFonts w:ascii="Times New Roman" w:hAnsi="Times New Roman" w:cs="Times New Roman"/>
                      <w:color w:val="auto"/>
                      <w:sz w:val="21"/>
                      <w:szCs w:val="21"/>
                      <w:lang w:eastAsia="zh-CN"/>
                    </w:rPr>
                    <w:t>5</w:t>
                  </w:r>
                  <w:r>
                    <w:rPr>
                      <w:rFonts w:hint="eastAsia"/>
                      <w:color w:val="auto"/>
                      <w:sz w:val="21"/>
                      <w:szCs w:val="21"/>
                      <w:lang w:eastAsia="zh-CN"/>
                    </w:rPr>
                    <w:t>-三甲基苯</w:t>
                  </w:r>
                </w:p>
              </w:tc>
              <w:tc>
                <w:tcPr>
                  <w:tcW w:w="1155" w:type="dxa"/>
                  <w:tcBorders>
                    <w:tl2br w:val="nil"/>
                    <w:tr2bl w:val="nil"/>
                  </w:tcBorders>
                  <w:vAlign w:val="center"/>
                </w:tcPr>
                <w:p w14:paraId="0949E1BB">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0.7</w:t>
                  </w:r>
                </w:p>
              </w:tc>
            </w:tr>
            <w:tr w14:paraId="2385547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3103" w:type="dxa"/>
                  <w:tcBorders>
                    <w:tl2br w:val="nil"/>
                    <w:tr2bl w:val="nil"/>
                  </w:tcBorders>
                  <w:vAlign w:val="center"/>
                </w:tcPr>
                <w:p w14:paraId="39CFC811">
                  <w:pPr>
                    <w:pStyle w:val="99"/>
                    <w:autoSpaceDE/>
                    <w:autoSpaceDN/>
                    <w:jc w:val="center"/>
                    <w:rPr>
                      <w:rFonts w:hint="eastAsia"/>
                      <w:color w:val="auto"/>
                      <w:sz w:val="21"/>
                      <w:szCs w:val="21"/>
                      <w:lang w:eastAsia="zh-CN"/>
                    </w:rPr>
                  </w:pPr>
                  <w:r>
                    <w:rPr>
                      <w:rFonts w:hint="eastAsia"/>
                      <w:color w:val="auto"/>
                      <w:sz w:val="21"/>
                      <w:szCs w:val="21"/>
                      <w:lang w:eastAsia="zh-CN"/>
                    </w:rPr>
                    <w:t>苯</w:t>
                  </w:r>
                </w:p>
              </w:tc>
              <w:tc>
                <w:tcPr>
                  <w:tcW w:w="1675" w:type="dxa"/>
                  <w:tcBorders>
                    <w:tl2br w:val="nil"/>
                    <w:tr2bl w:val="nil"/>
                  </w:tcBorders>
                  <w:vAlign w:val="center"/>
                </w:tcPr>
                <w:p w14:paraId="733B0937">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0.4</w:t>
                  </w:r>
                </w:p>
              </w:tc>
              <w:tc>
                <w:tcPr>
                  <w:tcW w:w="2012" w:type="dxa"/>
                  <w:tcBorders>
                    <w:tl2br w:val="nil"/>
                    <w:tr2bl w:val="nil"/>
                  </w:tcBorders>
                  <w:vAlign w:val="center"/>
                </w:tcPr>
                <w:p w14:paraId="3ADD8967">
                  <w:pPr>
                    <w:pStyle w:val="99"/>
                    <w:autoSpaceDE/>
                    <w:autoSpaceDN/>
                    <w:jc w:val="center"/>
                    <w:rPr>
                      <w:rFonts w:hint="eastAsia"/>
                      <w:color w:val="auto"/>
                      <w:sz w:val="21"/>
                      <w:szCs w:val="21"/>
                      <w:lang w:eastAsia="zh-CN"/>
                    </w:rPr>
                  </w:pPr>
                  <w:r>
                    <w:rPr>
                      <w:rFonts w:ascii="Times New Roman" w:hAnsi="Times New Roman" w:cs="Times New Roman"/>
                      <w:color w:val="auto"/>
                      <w:sz w:val="21"/>
                      <w:szCs w:val="21"/>
                      <w:lang w:eastAsia="zh-CN"/>
                    </w:rPr>
                    <w:t>1</w:t>
                  </w:r>
                  <w:r>
                    <w:rPr>
                      <w:rFonts w:hint="eastAsia"/>
                      <w:color w:val="auto"/>
                      <w:sz w:val="21"/>
                      <w:szCs w:val="21"/>
                      <w:lang w:eastAsia="zh-CN"/>
                    </w:rPr>
                    <w:t>,</w:t>
                  </w:r>
                  <w:r>
                    <w:rPr>
                      <w:rFonts w:ascii="Times New Roman" w:hAnsi="Times New Roman" w:cs="Times New Roman"/>
                      <w:color w:val="auto"/>
                      <w:sz w:val="21"/>
                      <w:szCs w:val="21"/>
                      <w:lang w:eastAsia="zh-CN"/>
                    </w:rPr>
                    <w:t>2</w:t>
                  </w:r>
                  <w:r>
                    <w:rPr>
                      <w:rFonts w:hint="eastAsia"/>
                      <w:color w:val="auto"/>
                      <w:sz w:val="21"/>
                      <w:szCs w:val="21"/>
                      <w:lang w:eastAsia="zh-CN"/>
                    </w:rPr>
                    <w:t>,</w:t>
                  </w:r>
                  <w:r>
                    <w:rPr>
                      <w:rFonts w:ascii="Times New Roman" w:hAnsi="Times New Roman" w:cs="Times New Roman"/>
                      <w:color w:val="auto"/>
                      <w:sz w:val="21"/>
                      <w:szCs w:val="21"/>
                      <w:lang w:eastAsia="zh-CN"/>
                    </w:rPr>
                    <w:t>4</w:t>
                  </w:r>
                  <w:r>
                    <w:rPr>
                      <w:rFonts w:hint="eastAsia"/>
                      <w:color w:val="auto"/>
                      <w:sz w:val="21"/>
                      <w:szCs w:val="21"/>
                      <w:lang w:eastAsia="zh-CN"/>
                    </w:rPr>
                    <w:t>-三甲基苯</w:t>
                  </w:r>
                </w:p>
              </w:tc>
              <w:tc>
                <w:tcPr>
                  <w:tcW w:w="1155" w:type="dxa"/>
                  <w:tcBorders>
                    <w:tl2br w:val="nil"/>
                    <w:tr2bl w:val="nil"/>
                  </w:tcBorders>
                  <w:vAlign w:val="center"/>
                </w:tcPr>
                <w:p w14:paraId="5FED0929">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0.8</w:t>
                  </w:r>
                </w:p>
              </w:tc>
            </w:tr>
            <w:tr w14:paraId="7456022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3103" w:type="dxa"/>
                  <w:tcBorders>
                    <w:tl2br w:val="nil"/>
                    <w:tr2bl w:val="nil"/>
                  </w:tcBorders>
                  <w:vAlign w:val="center"/>
                </w:tcPr>
                <w:p w14:paraId="4D055821">
                  <w:pPr>
                    <w:pStyle w:val="99"/>
                    <w:autoSpaceDE/>
                    <w:autoSpaceDN/>
                    <w:jc w:val="center"/>
                    <w:rPr>
                      <w:rFonts w:hint="eastAsia"/>
                      <w:color w:val="auto"/>
                      <w:sz w:val="21"/>
                      <w:szCs w:val="21"/>
                      <w:lang w:eastAsia="zh-CN"/>
                    </w:rPr>
                  </w:pPr>
                  <w:r>
                    <w:rPr>
                      <w:rFonts w:hint="eastAsia"/>
                      <w:color w:val="auto"/>
                      <w:spacing w:val="-2"/>
                      <w:sz w:val="21"/>
                      <w:szCs w:val="21"/>
                      <w:lang w:eastAsia="zh-CN"/>
                    </w:rPr>
                    <w:t>三氯乙烯</w:t>
                  </w:r>
                </w:p>
              </w:tc>
              <w:tc>
                <w:tcPr>
                  <w:tcW w:w="1675" w:type="dxa"/>
                  <w:tcBorders>
                    <w:tl2br w:val="nil"/>
                    <w:tr2bl w:val="nil"/>
                  </w:tcBorders>
                  <w:vAlign w:val="center"/>
                </w:tcPr>
                <w:p w14:paraId="6112C519">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0.5</w:t>
                  </w:r>
                </w:p>
              </w:tc>
              <w:tc>
                <w:tcPr>
                  <w:tcW w:w="2012" w:type="dxa"/>
                  <w:tcBorders>
                    <w:tl2br w:val="nil"/>
                    <w:tr2bl w:val="nil"/>
                  </w:tcBorders>
                  <w:vAlign w:val="center"/>
                </w:tcPr>
                <w:p w14:paraId="28204B7E">
                  <w:pPr>
                    <w:pStyle w:val="99"/>
                    <w:autoSpaceDE/>
                    <w:autoSpaceDN/>
                    <w:jc w:val="center"/>
                    <w:rPr>
                      <w:rFonts w:hint="eastAsia"/>
                      <w:color w:val="auto"/>
                      <w:sz w:val="21"/>
                      <w:szCs w:val="21"/>
                      <w:lang w:eastAsia="zh-CN"/>
                    </w:rPr>
                  </w:pPr>
                  <w:r>
                    <w:rPr>
                      <w:rFonts w:ascii="Times New Roman" w:hAnsi="Times New Roman" w:cs="Times New Roman"/>
                      <w:color w:val="auto"/>
                      <w:sz w:val="21"/>
                      <w:szCs w:val="21"/>
                      <w:lang w:eastAsia="zh-CN"/>
                    </w:rPr>
                    <w:t>1</w:t>
                  </w:r>
                  <w:r>
                    <w:rPr>
                      <w:rFonts w:hint="eastAsia"/>
                      <w:color w:val="auto"/>
                      <w:sz w:val="21"/>
                      <w:szCs w:val="21"/>
                      <w:lang w:eastAsia="zh-CN"/>
                    </w:rPr>
                    <w:t>,</w:t>
                  </w:r>
                  <w:r>
                    <w:rPr>
                      <w:rFonts w:hint="eastAsia" w:ascii="Times New Roman" w:hAnsi="Times New Roman" w:cs="Times New Roman"/>
                      <w:color w:val="auto"/>
                      <w:sz w:val="21"/>
                      <w:szCs w:val="21"/>
                      <w:lang w:eastAsia="zh-CN"/>
                    </w:rPr>
                    <w:t>3</w:t>
                  </w:r>
                  <w:r>
                    <w:rPr>
                      <w:rFonts w:hint="eastAsia"/>
                      <w:color w:val="auto"/>
                      <w:spacing w:val="1"/>
                      <w:sz w:val="21"/>
                      <w:szCs w:val="21"/>
                      <w:lang w:eastAsia="zh-CN"/>
                    </w:rPr>
                    <w:t>-二氯苯</w:t>
                  </w:r>
                </w:p>
              </w:tc>
              <w:tc>
                <w:tcPr>
                  <w:tcW w:w="1155" w:type="dxa"/>
                  <w:tcBorders>
                    <w:tl2br w:val="nil"/>
                    <w:tr2bl w:val="nil"/>
                  </w:tcBorders>
                  <w:vAlign w:val="center"/>
                </w:tcPr>
                <w:p w14:paraId="79FCDA77">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0.6</w:t>
                  </w:r>
                </w:p>
              </w:tc>
            </w:tr>
            <w:tr w14:paraId="38DF36E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3103" w:type="dxa"/>
                  <w:tcBorders>
                    <w:tl2br w:val="nil"/>
                    <w:tr2bl w:val="nil"/>
                  </w:tcBorders>
                  <w:vAlign w:val="center"/>
                </w:tcPr>
                <w:p w14:paraId="229EC820">
                  <w:pPr>
                    <w:pStyle w:val="99"/>
                    <w:autoSpaceDE/>
                    <w:autoSpaceDN/>
                    <w:jc w:val="center"/>
                    <w:rPr>
                      <w:rFonts w:hint="eastAsia"/>
                      <w:color w:val="auto"/>
                      <w:sz w:val="21"/>
                      <w:szCs w:val="21"/>
                      <w:lang w:eastAsia="zh-CN"/>
                    </w:rPr>
                  </w:pPr>
                  <w:r>
                    <w:rPr>
                      <w:rFonts w:ascii="Times New Roman" w:hAnsi="Times New Roman" w:cs="Times New Roman"/>
                      <w:color w:val="auto"/>
                      <w:sz w:val="21"/>
                      <w:szCs w:val="21"/>
                      <w:lang w:eastAsia="zh-CN"/>
                    </w:rPr>
                    <w:t>1</w:t>
                  </w:r>
                  <w:r>
                    <w:rPr>
                      <w:rFonts w:hint="eastAsia"/>
                      <w:color w:val="auto"/>
                      <w:sz w:val="21"/>
                      <w:szCs w:val="21"/>
                      <w:lang w:eastAsia="zh-CN"/>
                    </w:rPr>
                    <w:t>,</w:t>
                  </w:r>
                  <w:r>
                    <w:rPr>
                      <w:rFonts w:ascii="Times New Roman" w:hAnsi="Times New Roman" w:cs="Times New Roman"/>
                      <w:color w:val="auto"/>
                      <w:sz w:val="21"/>
                      <w:szCs w:val="21"/>
                      <w:lang w:eastAsia="zh-CN"/>
                    </w:rPr>
                    <w:t>2</w:t>
                  </w:r>
                  <w:r>
                    <w:rPr>
                      <w:rFonts w:hint="eastAsia"/>
                      <w:color w:val="auto"/>
                      <w:spacing w:val="1"/>
                      <w:sz w:val="21"/>
                      <w:szCs w:val="21"/>
                      <w:lang w:eastAsia="zh-CN"/>
                    </w:rPr>
                    <w:t>-二氯丙烷</w:t>
                  </w:r>
                </w:p>
              </w:tc>
              <w:tc>
                <w:tcPr>
                  <w:tcW w:w="1675" w:type="dxa"/>
                  <w:tcBorders>
                    <w:tl2br w:val="nil"/>
                    <w:tr2bl w:val="nil"/>
                  </w:tcBorders>
                  <w:vAlign w:val="center"/>
                </w:tcPr>
                <w:p w14:paraId="407041A0">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0.4</w:t>
                  </w:r>
                </w:p>
              </w:tc>
              <w:tc>
                <w:tcPr>
                  <w:tcW w:w="2012" w:type="dxa"/>
                  <w:tcBorders>
                    <w:tl2br w:val="nil"/>
                    <w:tr2bl w:val="nil"/>
                  </w:tcBorders>
                  <w:vAlign w:val="center"/>
                </w:tcPr>
                <w:p w14:paraId="2D927456">
                  <w:pPr>
                    <w:pStyle w:val="99"/>
                    <w:autoSpaceDE/>
                    <w:autoSpaceDN/>
                    <w:jc w:val="center"/>
                    <w:rPr>
                      <w:rFonts w:hint="eastAsia"/>
                      <w:color w:val="auto"/>
                      <w:sz w:val="21"/>
                      <w:szCs w:val="21"/>
                      <w:lang w:eastAsia="zh-CN"/>
                    </w:rPr>
                  </w:pPr>
                  <w:r>
                    <w:rPr>
                      <w:rFonts w:ascii="Times New Roman" w:hAnsi="Times New Roman" w:cs="Times New Roman"/>
                      <w:color w:val="auto"/>
                      <w:sz w:val="21"/>
                      <w:szCs w:val="21"/>
                      <w:lang w:eastAsia="zh-CN"/>
                    </w:rPr>
                    <w:t>1</w:t>
                  </w:r>
                  <w:r>
                    <w:rPr>
                      <w:rFonts w:hint="eastAsia"/>
                      <w:color w:val="auto"/>
                      <w:sz w:val="21"/>
                      <w:szCs w:val="21"/>
                      <w:lang w:eastAsia="zh-CN"/>
                    </w:rPr>
                    <w:t>,</w:t>
                  </w:r>
                  <w:r>
                    <w:rPr>
                      <w:rFonts w:hint="eastAsia" w:ascii="Times New Roman" w:hAnsi="Times New Roman" w:cs="Times New Roman"/>
                      <w:color w:val="auto"/>
                      <w:sz w:val="21"/>
                      <w:szCs w:val="21"/>
                      <w:lang w:eastAsia="zh-CN"/>
                    </w:rPr>
                    <w:t>4</w:t>
                  </w:r>
                  <w:r>
                    <w:rPr>
                      <w:rFonts w:hint="eastAsia"/>
                      <w:color w:val="auto"/>
                      <w:spacing w:val="1"/>
                      <w:sz w:val="21"/>
                      <w:szCs w:val="21"/>
                      <w:lang w:eastAsia="zh-CN"/>
                    </w:rPr>
                    <w:t>-二氯苯</w:t>
                  </w:r>
                </w:p>
              </w:tc>
              <w:tc>
                <w:tcPr>
                  <w:tcW w:w="1155" w:type="dxa"/>
                  <w:tcBorders>
                    <w:tl2br w:val="nil"/>
                    <w:tr2bl w:val="nil"/>
                  </w:tcBorders>
                  <w:vAlign w:val="center"/>
                </w:tcPr>
                <w:p w14:paraId="6685DF95">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0.7</w:t>
                  </w:r>
                </w:p>
              </w:tc>
            </w:tr>
            <w:tr w14:paraId="0411103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3103" w:type="dxa"/>
                  <w:tcBorders>
                    <w:tl2br w:val="nil"/>
                    <w:tr2bl w:val="nil"/>
                  </w:tcBorders>
                  <w:vAlign w:val="center"/>
                </w:tcPr>
                <w:p w14:paraId="6649818C">
                  <w:pPr>
                    <w:pStyle w:val="99"/>
                    <w:autoSpaceDE/>
                    <w:autoSpaceDN/>
                    <w:jc w:val="center"/>
                    <w:rPr>
                      <w:rFonts w:hint="eastAsia"/>
                      <w:color w:val="auto"/>
                      <w:sz w:val="21"/>
                      <w:szCs w:val="21"/>
                      <w:lang w:eastAsia="zh-CN"/>
                    </w:rPr>
                  </w:pPr>
                  <w:r>
                    <w:rPr>
                      <w:rFonts w:hint="eastAsia"/>
                      <w:color w:val="auto"/>
                      <w:spacing w:val="-1"/>
                      <w:sz w:val="21"/>
                      <w:szCs w:val="21"/>
                      <w:lang w:eastAsia="zh-CN"/>
                    </w:rPr>
                    <w:t>顺式-</w:t>
                  </w:r>
                  <w:r>
                    <w:rPr>
                      <w:rFonts w:ascii="Times New Roman" w:hAnsi="Times New Roman" w:cs="Times New Roman"/>
                      <w:color w:val="auto"/>
                      <w:sz w:val="21"/>
                      <w:szCs w:val="21"/>
                      <w:lang w:eastAsia="zh-CN"/>
                    </w:rPr>
                    <w:t>1</w:t>
                  </w:r>
                  <w:r>
                    <w:rPr>
                      <w:rFonts w:hint="eastAsia"/>
                      <w:color w:val="auto"/>
                      <w:sz w:val="21"/>
                      <w:szCs w:val="21"/>
                      <w:lang w:eastAsia="zh-CN"/>
                    </w:rPr>
                    <w:t>,</w:t>
                  </w:r>
                  <w:r>
                    <w:rPr>
                      <w:rFonts w:hint="eastAsia" w:ascii="Times New Roman" w:hAnsi="Times New Roman" w:cs="Times New Roman"/>
                      <w:color w:val="auto"/>
                      <w:sz w:val="21"/>
                      <w:szCs w:val="21"/>
                      <w:lang w:eastAsia="zh-CN"/>
                    </w:rPr>
                    <w:t>3</w:t>
                  </w:r>
                  <w:r>
                    <w:rPr>
                      <w:rFonts w:hint="eastAsia"/>
                      <w:color w:val="auto"/>
                      <w:spacing w:val="-1"/>
                      <w:sz w:val="21"/>
                      <w:szCs w:val="21"/>
                      <w:lang w:eastAsia="zh-CN"/>
                    </w:rPr>
                    <w:t>-二氯丙烯</w:t>
                  </w:r>
                </w:p>
              </w:tc>
              <w:tc>
                <w:tcPr>
                  <w:tcW w:w="1675" w:type="dxa"/>
                  <w:tcBorders>
                    <w:tl2br w:val="nil"/>
                    <w:tr2bl w:val="nil"/>
                  </w:tcBorders>
                  <w:vAlign w:val="center"/>
                </w:tcPr>
                <w:p w14:paraId="2CFBC4F5">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0.5</w:t>
                  </w:r>
                </w:p>
              </w:tc>
              <w:tc>
                <w:tcPr>
                  <w:tcW w:w="2012" w:type="dxa"/>
                  <w:tcBorders>
                    <w:tl2br w:val="nil"/>
                    <w:tr2bl w:val="nil"/>
                  </w:tcBorders>
                  <w:vAlign w:val="center"/>
                </w:tcPr>
                <w:p w14:paraId="51BFB076">
                  <w:pPr>
                    <w:pStyle w:val="99"/>
                    <w:autoSpaceDE/>
                    <w:autoSpaceDN/>
                    <w:jc w:val="center"/>
                    <w:rPr>
                      <w:rFonts w:hint="eastAsia"/>
                      <w:color w:val="auto"/>
                      <w:sz w:val="21"/>
                      <w:szCs w:val="21"/>
                      <w:lang w:eastAsia="zh-CN"/>
                    </w:rPr>
                  </w:pPr>
                  <w:r>
                    <w:rPr>
                      <w:rFonts w:hint="eastAsia"/>
                      <w:color w:val="auto"/>
                      <w:spacing w:val="-2"/>
                      <w:sz w:val="21"/>
                      <w:szCs w:val="21"/>
                      <w:lang w:eastAsia="zh-CN"/>
                    </w:rPr>
                    <w:t>苄基氯</w:t>
                  </w:r>
                </w:p>
              </w:tc>
              <w:tc>
                <w:tcPr>
                  <w:tcW w:w="1155" w:type="dxa"/>
                  <w:tcBorders>
                    <w:tl2br w:val="nil"/>
                    <w:tr2bl w:val="nil"/>
                  </w:tcBorders>
                  <w:vAlign w:val="center"/>
                </w:tcPr>
                <w:p w14:paraId="41E18751">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0.7</w:t>
                  </w:r>
                </w:p>
              </w:tc>
            </w:tr>
            <w:tr w14:paraId="7FC2400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3103" w:type="dxa"/>
                  <w:tcBorders>
                    <w:tl2br w:val="nil"/>
                    <w:tr2bl w:val="nil"/>
                  </w:tcBorders>
                  <w:vAlign w:val="center"/>
                </w:tcPr>
                <w:p w14:paraId="1DA79CAB">
                  <w:pPr>
                    <w:pStyle w:val="99"/>
                    <w:autoSpaceDE/>
                    <w:autoSpaceDN/>
                    <w:jc w:val="center"/>
                    <w:rPr>
                      <w:rFonts w:hint="eastAsia"/>
                      <w:color w:val="auto"/>
                      <w:sz w:val="21"/>
                      <w:szCs w:val="21"/>
                      <w:lang w:eastAsia="zh-CN"/>
                    </w:rPr>
                  </w:pPr>
                  <w:r>
                    <w:rPr>
                      <w:rFonts w:hint="eastAsia"/>
                      <w:color w:val="auto"/>
                      <w:spacing w:val="4"/>
                      <w:sz w:val="21"/>
                      <w:szCs w:val="21"/>
                      <w:lang w:eastAsia="zh-CN"/>
                    </w:rPr>
                    <w:t>甲苯</w:t>
                  </w:r>
                </w:p>
              </w:tc>
              <w:tc>
                <w:tcPr>
                  <w:tcW w:w="1675" w:type="dxa"/>
                  <w:tcBorders>
                    <w:tl2br w:val="nil"/>
                    <w:tr2bl w:val="nil"/>
                  </w:tcBorders>
                  <w:vAlign w:val="center"/>
                </w:tcPr>
                <w:p w14:paraId="423216AD">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0.4</w:t>
                  </w:r>
                </w:p>
              </w:tc>
              <w:tc>
                <w:tcPr>
                  <w:tcW w:w="2012" w:type="dxa"/>
                  <w:tcBorders>
                    <w:tl2br w:val="nil"/>
                    <w:tr2bl w:val="nil"/>
                  </w:tcBorders>
                  <w:vAlign w:val="center"/>
                </w:tcPr>
                <w:p w14:paraId="169CBA6D">
                  <w:pPr>
                    <w:pStyle w:val="99"/>
                    <w:autoSpaceDE/>
                    <w:autoSpaceDN/>
                    <w:jc w:val="center"/>
                    <w:rPr>
                      <w:rFonts w:hint="eastAsia"/>
                      <w:color w:val="auto"/>
                      <w:sz w:val="21"/>
                      <w:szCs w:val="21"/>
                      <w:lang w:eastAsia="zh-CN"/>
                    </w:rPr>
                  </w:pPr>
                  <w:r>
                    <w:rPr>
                      <w:rFonts w:ascii="Times New Roman" w:hAnsi="Times New Roman" w:cs="Times New Roman"/>
                      <w:color w:val="auto"/>
                      <w:sz w:val="21"/>
                      <w:szCs w:val="21"/>
                      <w:lang w:eastAsia="zh-CN"/>
                    </w:rPr>
                    <w:t>1</w:t>
                  </w:r>
                  <w:r>
                    <w:rPr>
                      <w:rFonts w:hint="eastAsia"/>
                      <w:color w:val="auto"/>
                      <w:sz w:val="21"/>
                      <w:szCs w:val="21"/>
                      <w:lang w:eastAsia="zh-CN"/>
                    </w:rPr>
                    <w:t>,</w:t>
                  </w:r>
                  <w:r>
                    <w:rPr>
                      <w:rFonts w:ascii="Times New Roman" w:hAnsi="Times New Roman" w:cs="Times New Roman"/>
                      <w:color w:val="auto"/>
                      <w:sz w:val="21"/>
                      <w:szCs w:val="21"/>
                      <w:lang w:eastAsia="zh-CN"/>
                    </w:rPr>
                    <w:t>2</w:t>
                  </w:r>
                  <w:r>
                    <w:rPr>
                      <w:rFonts w:hint="eastAsia"/>
                      <w:color w:val="auto"/>
                      <w:spacing w:val="1"/>
                      <w:sz w:val="21"/>
                      <w:szCs w:val="21"/>
                      <w:lang w:eastAsia="zh-CN"/>
                    </w:rPr>
                    <w:t>-二氯苯</w:t>
                  </w:r>
                </w:p>
              </w:tc>
              <w:tc>
                <w:tcPr>
                  <w:tcW w:w="1155" w:type="dxa"/>
                  <w:tcBorders>
                    <w:tl2br w:val="nil"/>
                    <w:tr2bl w:val="nil"/>
                  </w:tcBorders>
                  <w:vAlign w:val="center"/>
                </w:tcPr>
                <w:p w14:paraId="15A89754">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0.7</w:t>
                  </w:r>
                </w:p>
              </w:tc>
            </w:tr>
            <w:tr w14:paraId="7567659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3103" w:type="dxa"/>
                  <w:tcBorders>
                    <w:tl2br w:val="nil"/>
                    <w:tr2bl w:val="nil"/>
                  </w:tcBorders>
                  <w:vAlign w:val="center"/>
                </w:tcPr>
                <w:p w14:paraId="5A1FA742">
                  <w:pPr>
                    <w:pStyle w:val="99"/>
                    <w:autoSpaceDE/>
                    <w:autoSpaceDN/>
                    <w:jc w:val="center"/>
                    <w:rPr>
                      <w:rFonts w:hint="eastAsia"/>
                      <w:color w:val="auto"/>
                      <w:sz w:val="21"/>
                      <w:szCs w:val="21"/>
                      <w:lang w:eastAsia="zh-CN"/>
                    </w:rPr>
                  </w:pPr>
                  <w:r>
                    <w:rPr>
                      <w:rFonts w:hint="eastAsia"/>
                      <w:color w:val="auto"/>
                      <w:spacing w:val="-1"/>
                      <w:sz w:val="21"/>
                      <w:szCs w:val="21"/>
                      <w:lang w:eastAsia="zh-CN"/>
                    </w:rPr>
                    <w:t>反式-</w:t>
                  </w:r>
                  <w:r>
                    <w:rPr>
                      <w:rFonts w:ascii="Times New Roman" w:hAnsi="Times New Roman" w:cs="Times New Roman"/>
                      <w:color w:val="auto"/>
                      <w:sz w:val="21"/>
                      <w:szCs w:val="21"/>
                      <w:lang w:eastAsia="zh-CN"/>
                    </w:rPr>
                    <w:t>1</w:t>
                  </w:r>
                  <w:r>
                    <w:rPr>
                      <w:rFonts w:hint="eastAsia"/>
                      <w:color w:val="auto"/>
                      <w:sz w:val="21"/>
                      <w:szCs w:val="21"/>
                      <w:lang w:eastAsia="zh-CN"/>
                    </w:rPr>
                    <w:t>,</w:t>
                  </w:r>
                  <w:r>
                    <w:rPr>
                      <w:rFonts w:hint="eastAsia" w:ascii="Times New Roman" w:hAnsi="Times New Roman" w:cs="Times New Roman"/>
                      <w:color w:val="auto"/>
                      <w:sz w:val="21"/>
                      <w:szCs w:val="21"/>
                      <w:lang w:eastAsia="zh-CN"/>
                    </w:rPr>
                    <w:t>3</w:t>
                  </w:r>
                  <w:r>
                    <w:rPr>
                      <w:rFonts w:hint="eastAsia"/>
                      <w:color w:val="auto"/>
                      <w:spacing w:val="-1"/>
                      <w:sz w:val="21"/>
                      <w:szCs w:val="21"/>
                      <w:lang w:eastAsia="zh-CN"/>
                    </w:rPr>
                    <w:t>-二氯丙烯</w:t>
                  </w:r>
                </w:p>
              </w:tc>
              <w:tc>
                <w:tcPr>
                  <w:tcW w:w="1675" w:type="dxa"/>
                  <w:tcBorders>
                    <w:tl2br w:val="nil"/>
                    <w:tr2bl w:val="nil"/>
                  </w:tcBorders>
                  <w:vAlign w:val="center"/>
                </w:tcPr>
                <w:p w14:paraId="0B6070E9">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0.5</w:t>
                  </w:r>
                </w:p>
              </w:tc>
              <w:tc>
                <w:tcPr>
                  <w:tcW w:w="2012" w:type="dxa"/>
                  <w:tcBorders>
                    <w:tl2br w:val="nil"/>
                    <w:tr2bl w:val="nil"/>
                  </w:tcBorders>
                  <w:vAlign w:val="center"/>
                </w:tcPr>
                <w:p w14:paraId="0DD85DA2">
                  <w:pPr>
                    <w:pStyle w:val="99"/>
                    <w:autoSpaceDE/>
                    <w:autoSpaceDN/>
                    <w:jc w:val="center"/>
                    <w:rPr>
                      <w:rFonts w:hint="eastAsia"/>
                      <w:color w:val="auto"/>
                      <w:sz w:val="21"/>
                      <w:szCs w:val="21"/>
                      <w:lang w:eastAsia="zh-CN"/>
                    </w:rPr>
                  </w:pPr>
                  <w:r>
                    <w:rPr>
                      <w:rFonts w:ascii="Times New Roman" w:hAnsi="Times New Roman" w:cs="Times New Roman"/>
                      <w:color w:val="auto"/>
                      <w:sz w:val="21"/>
                      <w:szCs w:val="21"/>
                      <w:lang w:eastAsia="zh-CN"/>
                    </w:rPr>
                    <w:t>1</w:t>
                  </w:r>
                  <w:r>
                    <w:rPr>
                      <w:rFonts w:hint="eastAsia"/>
                      <w:color w:val="auto"/>
                      <w:sz w:val="21"/>
                      <w:szCs w:val="21"/>
                      <w:lang w:eastAsia="zh-CN"/>
                    </w:rPr>
                    <w:t>,</w:t>
                  </w:r>
                  <w:r>
                    <w:rPr>
                      <w:rFonts w:ascii="Times New Roman" w:hAnsi="Times New Roman" w:cs="Times New Roman"/>
                      <w:color w:val="auto"/>
                      <w:sz w:val="21"/>
                      <w:szCs w:val="21"/>
                      <w:lang w:eastAsia="zh-CN"/>
                    </w:rPr>
                    <w:t>2</w:t>
                  </w:r>
                  <w:r>
                    <w:rPr>
                      <w:rFonts w:hint="eastAsia"/>
                      <w:color w:val="auto"/>
                      <w:sz w:val="21"/>
                      <w:szCs w:val="21"/>
                      <w:lang w:eastAsia="zh-CN"/>
                    </w:rPr>
                    <w:t>,</w:t>
                  </w:r>
                  <w:r>
                    <w:rPr>
                      <w:rFonts w:ascii="Times New Roman" w:hAnsi="Times New Roman" w:cs="Times New Roman"/>
                      <w:color w:val="auto"/>
                      <w:sz w:val="21"/>
                      <w:szCs w:val="21"/>
                      <w:lang w:eastAsia="zh-CN"/>
                    </w:rPr>
                    <w:t>4</w:t>
                  </w:r>
                  <w:r>
                    <w:rPr>
                      <w:rFonts w:hint="eastAsia"/>
                      <w:color w:val="auto"/>
                      <w:spacing w:val="1"/>
                      <w:sz w:val="21"/>
                      <w:szCs w:val="21"/>
                      <w:lang w:eastAsia="zh-CN"/>
                    </w:rPr>
                    <w:t>-三氯苯</w:t>
                  </w:r>
                </w:p>
              </w:tc>
              <w:tc>
                <w:tcPr>
                  <w:tcW w:w="1155" w:type="dxa"/>
                  <w:tcBorders>
                    <w:tl2br w:val="nil"/>
                    <w:tr2bl w:val="nil"/>
                  </w:tcBorders>
                  <w:vAlign w:val="center"/>
                </w:tcPr>
                <w:p w14:paraId="408CD22A">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0.7</w:t>
                  </w:r>
                </w:p>
              </w:tc>
            </w:tr>
            <w:tr w14:paraId="78434A3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3103" w:type="dxa"/>
                  <w:tcBorders>
                    <w:tl2br w:val="nil"/>
                    <w:tr2bl w:val="nil"/>
                  </w:tcBorders>
                  <w:vAlign w:val="center"/>
                </w:tcPr>
                <w:p w14:paraId="1AB0D42E">
                  <w:pPr>
                    <w:pStyle w:val="99"/>
                    <w:autoSpaceDE/>
                    <w:autoSpaceDN/>
                    <w:jc w:val="center"/>
                    <w:rPr>
                      <w:rFonts w:hint="eastAsia"/>
                      <w:color w:val="auto"/>
                      <w:sz w:val="21"/>
                      <w:szCs w:val="21"/>
                      <w:lang w:eastAsia="zh-CN"/>
                    </w:rPr>
                  </w:pPr>
                  <w:r>
                    <w:rPr>
                      <w:rFonts w:ascii="Times New Roman" w:hAnsi="Times New Roman" w:cs="Times New Roman"/>
                      <w:color w:val="auto"/>
                      <w:sz w:val="21"/>
                      <w:szCs w:val="21"/>
                      <w:lang w:eastAsia="zh-CN"/>
                    </w:rPr>
                    <w:t>1</w:t>
                  </w:r>
                  <w:r>
                    <w:rPr>
                      <w:rFonts w:hint="eastAsia"/>
                      <w:color w:val="auto"/>
                      <w:sz w:val="21"/>
                      <w:szCs w:val="21"/>
                      <w:lang w:eastAsia="zh-CN"/>
                    </w:rPr>
                    <w:t>,</w:t>
                  </w:r>
                  <w:r>
                    <w:rPr>
                      <w:rFonts w:ascii="Times New Roman" w:hAnsi="Times New Roman" w:cs="Times New Roman"/>
                      <w:color w:val="auto"/>
                      <w:sz w:val="21"/>
                      <w:szCs w:val="21"/>
                      <w:lang w:eastAsia="zh-CN"/>
                    </w:rPr>
                    <w:t>1</w:t>
                  </w:r>
                  <w:r>
                    <w:rPr>
                      <w:rFonts w:hint="eastAsia"/>
                      <w:color w:val="auto"/>
                      <w:sz w:val="21"/>
                      <w:szCs w:val="21"/>
                      <w:lang w:eastAsia="zh-CN"/>
                    </w:rPr>
                    <w:t>,</w:t>
                  </w:r>
                  <w:r>
                    <w:rPr>
                      <w:rFonts w:ascii="Times New Roman" w:hAnsi="Times New Roman" w:cs="Times New Roman"/>
                      <w:color w:val="auto"/>
                      <w:sz w:val="21"/>
                      <w:szCs w:val="21"/>
                      <w:lang w:eastAsia="zh-CN"/>
                    </w:rPr>
                    <w:t>2</w:t>
                  </w:r>
                  <w:r>
                    <w:rPr>
                      <w:rFonts w:hint="eastAsia"/>
                      <w:color w:val="auto"/>
                      <w:sz w:val="21"/>
                      <w:szCs w:val="21"/>
                      <w:lang w:eastAsia="zh-CN"/>
                    </w:rPr>
                    <w:t>-三氯乙烷</w:t>
                  </w:r>
                </w:p>
              </w:tc>
              <w:tc>
                <w:tcPr>
                  <w:tcW w:w="1675" w:type="dxa"/>
                  <w:tcBorders>
                    <w:tl2br w:val="nil"/>
                    <w:tr2bl w:val="nil"/>
                  </w:tcBorders>
                  <w:vAlign w:val="center"/>
                </w:tcPr>
                <w:p w14:paraId="0CC8B478">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0.4</w:t>
                  </w:r>
                </w:p>
              </w:tc>
              <w:tc>
                <w:tcPr>
                  <w:tcW w:w="2012" w:type="dxa"/>
                  <w:tcBorders>
                    <w:tl2br w:val="nil"/>
                    <w:tr2bl w:val="nil"/>
                  </w:tcBorders>
                  <w:vAlign w:val="center"/>
                </w:tcPr>
                <w:p w14:paraId="0AC00536">
                  <w:pPr>
                    <w:pStyle w:val="99"/>
                    <w:autoSpaceDE/>
                    <w:autoSpaceDN/>
                    <w:jc w:val="center"/>
                    <w:rPr>
                      <w:rFonts w:hint="eastAsia"/>
                      <w:color w:val="auto"/>
                      <w:sz w:val="21"/>
                      <w:szCs w:val="21"/>
                      <w:lang w:eastAsia="zh-CN"/>
                    </w:rPr>
                  </w:pPr>
                  <w:r>
                    <w:rPr>
                      <w:rFonts w:hint="eastAsia"/>
                      <w:color w:val="auto"/>
                      <w:spacing w:val="-2"/>
                      <w:sz w:val="21"/>
                      <w:szCs w:val="21"/>
                      <w:lang w:eastAsia="zh-CN"/>
                    </w:rPr>
                    <w:t>六氯丁二烯</w:t>
                  </w:r>
                </w:p>
              </w:tc>
              <w:tc>
                <w:tcPr>
                  <w:tcW w:w="1155" w:type="dxa"/>
                  <w:tcBorders>
                    <w:tl2br w:val="nil"/>
                    <w:tr2bl w:val="nil"/>
                  </w:tcBorders>
                  <w:vAlign w:val="center"/>
                </w:tcPr>
                <w:p w14:paraId="0394A324">
                  <w:pPr>
                    <w:pStyle w:val="99"/>
                    <w:autoSpaceDE/>
                    <w:autoSpaceDN/>
                    <w:jc w:val="center"/>
                    <w:rPr>
                      <w:rFonts w:ascii="Times New Roman" w:hAnsi="Times New Roman" w:eastAsia="仿宋" w:cs="Times New Roman"/>
                      <w:color w:val="auto"/>
                      <w:sz w:val="21"/>
                      <w:szCs w:val="21"/>
                      <w:lang w:eastAsia="zh-CN"/>
                    </w:rPr>
                  </w:pPr>
                  <w:r>
                    <w:rPr>
                      <w:rFonts w:ascii="Times New Roman" w:hAnsi="Times New Roman" w:eastAsia="仿宋" w:cs="Times New Roman"/>
                      <w:color w:val="auto"/>
                      <w:spacing w:val="-3"/>
                      <w:sz w:val="21"/>
                      <w:szCs w:val="21"/>
                      <w:lang w:eastAsia="zh-CN"/>
                    </w:rPr>
                    <w:t>0.6</w:t>
                  </w:r>
                </w:p>
              </w:tc>
            </w:tr>
          </w:tbl>
          <w:p w14:paraId="4883B571">
            <w:pPr>
              <w:spacing w:before="120" w:beforeLines="50"/>
              <w:jc w:val="center"/>
              <w:rPr>
                <w:b/>
                <w:bCs/>
                <w:color w:val="auto"/>
                <w:szCs w:val="21"/>
              </w:rPr>
            </w:pPr>
            <w:r>
              <w:rPr>
                <w:b/>
                <w:bCs/>
                <w:color w:val="auto"/>
                <w:szCs w:val="21"/>
              </w:rPr>
              <w:t>表</w:t>
            </w:r>
            <w:r>
              <w:rPr>
                <w:rFonts w:hint="eastAsia"/>
                <w:b/>
                <w:bCs/>
                <w:color w:val="auto"/>
                <w:szCs w:val="21"/>
              </w:rPr>
              <w:t>2-</w:t>
            </w:r>
            <w:r>
              <w:rPr>
                <w:rFonts w:hint="eastAsia"/>
                <w:b/>
                <w:bCs/>
                <w:color w:val="auto"/>
                <w:szCs w:val="21"/>
                <w:lang w:val="en-US" w:eastAsia="zh-CN"/>
              </w:rPr>
              <w:t>16</w:t>
            </w:r>
            <w:r>
              <w:rPr>
                <w:rFonts w:hint="eastAsia"/>
                <w:b/>
                <w:bCs/>
                <w:color w:val="auto"/>
                <w:szCs w:val="21"/>
              </w:rPr>
              <w:t xml:space="preserve"> </w:t>
            </w:r>
            <w:r>
              <w:rPr>
                <w:b/>
                <w:bCs/>
                <w:color w:val="auto"/>
                <w:szCs w:val="21"/>
              </w:rPr>
              <w:t>无组织废气</w:t>
            </w:r>
            <w:r>
              <w:rPr>
                <w:rFonts w:hint="eastAsia"/>
                <w:b/>
                <w:bCs/>
                <w:color w:val="auto"/>
                <w:szCs w:val="21"/>
              </w:rPr>
              <w:t>挥发性有机物（35种）各参</w:t>
            </w:r>
            <w:r>
              <w:rPr>
                <w:rFonts w:hint="eastAsia"/>
                <w:b/>
                <w:bCs/>
                <w:color w:val="auto"/>
                <w:szCs w:val="21"/>
                <w:lang w:val="en-US" w:eastAsia="zh-CN"/>
              </w:rPr>
              <w:t>数</w:t>
            </w:r>
            <w:r>
              <w:rPr>
                <w:rFonts w:hint="eastAsia"/>
                <w:b/>
                <w:bCs/>
                <w:color w:val="auto"/>
                <w:szCs w:val="21"/>
              </w:rPr>
              <w:t>具体浓度表</w:t>
            </w:r>
          </w:p>
          <w:p w14:paraId="7FD47B33">
            <w:pPr>
              <w:widowControl/>
              <w:jc w:val="right"/>
              <w:rPr>
                <w:color w:val="auto"/>
                <w:szCs w:val="21"/>
              </w:rPr>
            </w:pPr>
            <w:r>
              <w:rPr>
                <w:color w:val="auto"/>
                <w:spacing w:val="-2"/>
                <w:szCs w:val="21"/>
              </w:rPr>
              <w:t>单位：</w:t>
            </w:r>
            <w:r>
              <w:rPr>
                <w:color w:val="auto"/>
                <w:szCs w:val="21"/>
              </w:rPr>
              <w:t>μg/m</w:t>
            </w:r>
            <w:r>
              <w:rPr>
                <w:color w:val="auto"/>
                <w:szCs w:val="21"/>
                <w:vertAlign w:val="superscript"/>
              </w:rPr>
              <w:t>3</w:t>
            </w:r>
          </w:p>
          <w:tbl>
            <w:tblPr>
              <w:tblStyle w:val="82"/>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28" w:type="dxa"/>
                <w:bottom w:w="0" w:type="dxa"/>
                <w:right w:w="28" w:type="dxa"/>
              </w:tblCellMar>
            </w:tblPr>
            <w:tblGrid>
              <w:gridCol w:w="2128"/>
              <w:gridCol w:w="960"/>
              <w:gridCol w:w="9"/>
              <w:gridCol w:w="968"/>
              <w:gridCol w:w="967"/>
              <w:gridCol w:w="11"/>
              <w:gridCol w:w="957"/>
              <w:gridCol w:w="12"/>
              <w:gridCol w:w="956"/>
              <w:gridCol w:w="13"/>
              <w:gridCol w:w="964"/>
            </w:tblGrid>
            <w:tr w14:paraId="3192650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15875ADA">
                  <w:pPr>
                    <w:pStyle w:val="99"/>
                    <w:autoSpaceDE/>
                    <w:autoSpaceDN/>
                    <w:jc w:val="center"/>
                    <w:rPr>
                      <w:rFonts w:hint="eastAsia"/>
                      <w:b/>
                      <w:bCs/>
                      <w:color w:val="auto"/>
                      <w:sz w:val="21"/>
                      <w:szCs w:val="21"/>
                    </w:rPr>
                  </w:pPr>
                  <w:r>
                    <w:rPr>
                      <w:rFonts w:hint="eastAsia"/>
                      <w:b/>
                      <w:bCs/>
                      <w:color w:val="auto"/>
                      <w:spacing w:val="3"/>
                      <w:sz w:val="21"/>
                      <w:szCs w:val="21"/>
                    </w:rPr>
                    <w:t>采样日期</w:t>
                  </w:r>
                </w:p>
              </w:tc>
              <w:tc>
                <w:tcPr>
                  <w:tcW w:w="5816" w:type="dxa"/>
                  <w:gridSpan w:val="10"/>
                  <w:tcBorders>
                    <w:tl2br w:val="nil"/>
                    <w:tr2bl w:val="nil"/>
                  </w:tcBorders>
                  <w:vAlign w:val="center"/>
                </w:tcPr>
                <w:p w14:paraId="04B51279">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1"/>
                      <w:sz w:val="21"/>
                      <w:szCs w:val="21"/>
                    </w:rPr>
                    <w:t>2023.05.10</w:t>
                  </w:r>
                </w:p>
              </w:tc>
            </w:tr>
            <w:tr w14:paraId="7BB8FA1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vMerge w:val="restart"/>
                  <w:tcBorders>
                    <w:tl2br w:val="nil"/>
                    <w:tr2bl w:val="nil"/>
                  </w:tcBorders>
                  <w:vAlign w:val="center"/>
                </w:tcPr>
                <w:p w14:paraId="583B8D4C">
                  <w:pPr>
                    <w:pStyle w:val="99"/>
                    <w:autoSpaceDE/>
                    <w:autoSpaceDN/>
                    <w:jc w:val="center"/>
                    <w:rPr>
                      <w:rFonts w:hint="eastAsia"/>
                      <w:b/>
                      <w:bCs/>
                      <w:color w:val="auto"/>
                      <w:sz w:val="21"/>
                      <w:szCs w:val="21"/>
                    </w:rPr>
                  </w:pPr>
                  <w:r>
                    <w:rPr>
                      <w:rFonts w:hint="eastAsia"/>
                      <w:b/>
                      <w:bCs/>
                      <w:color w:val="auto"/>
                      <w:spacing w:val="9"/>
                      <w:sz w:val="21"/>
                      <w:szCs w:val="21"/>
                    </w:rPr>
                    <w:t>检测项目</w:t>
                  </w:r>
                </w:p>
              </w:tc>
              <w:tc>
                <w:tcPr>
                  <w:tcW w:w="2911" w:type="dxa"/>
                  <w:gridSpan w:val="5"/>
                  <w:tcBorders>
                    <w:tl2br w:val="nil"/>
                    <w:tr2bl w:val="nil"/>
                  </w:tcBorders>
                  <w:vAlign w:val="center"/>
                </w:tcPr>
                <w:p w14:paraId="7FA873D3">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3"/>
                      <w:sz w:val="21"/>
                      <w:szCs w:val="21"/>
                    </w:rPr>
                    <w:t>上风向G</w:t>
                  </w:r>
                </w:p>
              </w:tc>
              <w:tc>
                <w:tcPr>
                  <w:tcW w:w="2905" w:type="dxa"/>
                  <w:gridSpan w:val="5"/>
                  <w:tcBorders>
                    <w:tl2br w:val="nil"/>
                    <w:tr2bl w:val="nil"/>
                  </w:tcBorders>
                  <w:vAlign w:val="center"/>
                </w:tcPr>
                <w:p w14:paraId="7C704FF9">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2"/>
                      <w:sz w:val="21"/>
                      <w:szCs w:val="21"/>
                    </w:rPr>
                    <w:t>下风向G2</w:t>
                  </w:r>
                </w:p>
              </w:tc>
            </w:tr>
            <w:tr w14:paraId="26724E5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vMerge w:val="continue"/>
                  <w:tcBorders>
                    <w:tl2br w:val="nil"/>
                    <w:tr2bl w:val="nil"/>
                  </w:tcBorders>
                  <w:vAlign w:val="center"/>
                </w:tcPr>
                <w:p w14:paraId="025E4CB3">
                  <w:pPr>
                    <w:autoSpaceDE/>
                    <w:autoSpaceDN/>
                    <w:jc w:val="center"/>
                    <w:rPr>
                      <w:rFonts w:hint="eastAsia" w:ascii="宋体" w:hAnsi="宋体" w:cs="宋体"/>
                      <w:b/>
                      <w:bCs/>
                      <w:color w:val="auto"/>
                      <w:szCs w:val="21"/>
                      <w:lang w:eastAsia="en-US"/>
                    </w:rPr>
                  </w:pPr>
                </w:p>
              </w:tc>
              <w:tc>
                <w:tcPr>
                  <w:tcW w:w="970" w:type="dxa"/>
                  <w:gridSpan w:val="2"/>
                  <w:tcBorders>
                    <w:tl2br w:val="nil"/>
                    <w:tr2bl w:val="nil"/>
                  </w:tcBorders>
                  <w:vAlign w:val="center"/>
                </w:tcPr>
                <w:p w14:paraId="76B11F81">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3"/>
                      <w:sz w:val="21"/>
                      <w:szCs w:val="21"/>
                    </w:rPr>
                    <w:t>第一次</w:t>
                  </w:r>
                </w:p>
              </w:tc>
              <w:tc>
                <w:tcPr>
                  <w:tcW w:w="962" w:type="dxa"/>
                  <w:tcBorders>
                    <w:tl2br w:val="nil"/>
                    <w:tr2bl w:val="nil"/>
                  </w:tcBorders>
                  <w:vAlign w:val="center"/>
                </w:tcPr>
                <w:p w14:paraId="041285B7">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2"/>
                      <w:sz w:val="21"/>
                      <w:szCs w:val="21"/>
                    </w:rPr>
                    <w:t>第二次</w:t>
                  </w:r>
                </w:p>
              </w:tc>
              <w:tc>
                <w:tcPr>
                  <w:tcW w:w="979" w:type="dxa"/>
                  <w:gridSpan w:val="2"/>
                  <w:tcBorders>
                    <w:tl2br w:val="nil"/>
                    <w:tr2bl w:val="nil"/>
                  </w:tcBorders>
                  <w:vAlign w:val="center"/>
                </w:tcPr>
                <w:p w14:paraId="55A06C9C">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2"/>
                      <w:sz w:val="21"/>
                      <w:szCs w:val="21"/>
                    </w:rPr>
                    <w:t>第三次</w:t>
                  </w:r>
                </w:p>
              </w:tc>
              <w:tc>
                <w:tcPr>
                  <w:tcW w:w="970" w:type="dxa"/>
                  <w:gridSpan w:val="2"/>
                  <w:tcBorders>
                    <w:tl2br w:val="nil"/>
                    <w:tr2bl w:val="nil"/>
                  </w:tcBorders>
                  <w:vAlign w:val="center"/>
                </w:tcPr>
                <w:p w14:paraId="0673802E">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3"/>
                      <w:sz w:val="21"/>
                      <w:szCs w:val="21"/>
                    </w:rPr>
                    <w:t>第一次</w:t>
                  </w:r>
                </w:p>
              </w:tc>
              <w:tc>
                <w:tcPr>
                  <w:tcW w:w="970" w:type="dxa"/>
                  <w:gridSpan w:val="2"/>
                  <w:tcBorders>
                    <w:tl2br w:val="nil"/>
                    <w:tr2bl w:val="nil"/>
                  </w:tcBorders>
                  <w:vAlign w:val="center"/>
                </w:tcPr>
                <w:p w14:paraId="18092095">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2"/>
                      <w:sz w:val="21"/>
                      <w:szCs w:val="21"/>
                    </w:rPr>
                    <w:t>第二次</w:t>
                  </w:r>
                </w:p>
              </w:tc>
              <w:tc>
                <w:tcPr>
                  <w:tcW w:w="965" w:type="dxa"/>
                  <w:tcBorders>
                    <w:tl2br w:val="nil"/>
                    <w:tr2bl w:val="nil"/>
                  </w:tcBorders>
                  <w:vAlign w:val="center"/>
                </w:tcPr>
                <w:p w14:paraId="3133ACA0">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2"/>
                      <w:sz w:val="21"/>
                      <w:szCs w:val="21"/>
                    </w:rPr>
                    <w:t>第三次</w:t>
                  </w:r>
                </w:p>
              </w:tc>
            </w:tr>
            <w:tr w14:paraId="3A8C65F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0A334B40">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1</w:t>
                  </w:r>
                  <w:r>
                    <w:rPr>
                      <w:rFonts w:hint="eastAsia"/>
                      <w:color w:val="auto"/>
                      <w:spacing w:val="1"/>
                      <w:sz w:val="21"/>
                      <w:szCs w:val="21"/>
                    </w:rPr>
                    <w:t>-二氯乙烯</w:t>
                  </w:r>
                </w:p>
              </w:tc>
              <w:tc>
                <w:tcPr>
                  <w:tcW w:w="970" w:type="dxa"/>
                  <w:gridSpan w:val="2"/>
                  <w:tcBorders>
                    <w:tl2br w:val="nil"/>
                    <w:tr2bl w:val="nil"/>
                  </w:tcBorders>
                  <w:vAlign w:val="center"/>
                </w:tcPr>
                <w:p w14:paraId="6CDA973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18E7DEF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1261766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4007607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760CD7B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65BDB9C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6964231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372FFBA3">
                  <w:pPr>
                    <w:pStyle w:val="99"/>
                    <w:autoSpaceDE/>
                    <w:autoSpaceDN/>
                    <w:jc w:val="center"/>
                    <w:rPr>
                      <w:rFonts w:hint="eastAsia"/>
                      <w:color w:val="auto"/>
                      <w:sz w:val="21"/>
                      <w:szCs w:val="21"/>
                    </w:rPr>
                  </w:pPr>
                  <w:r>
                    <w:rPr>
                      <w:rFonts w:hint="eastAsia"/>
                      <w:color w:val="auto"/>
                      <w:spacing w:val="3"/>
                      <w:sz w:val="21"/>
                      <w:szCs w:val="21"/>
                    </w:rPr>
                    <w:t>氯丙烯</w:t>
                  </w:r>
                </w:p>
              </w:tc>
              <w:tc>
                <w:tcPr>
                  <w:tcW w:w="970" w:type="dxa"/>
                  <w:gridSpan w:val="2"/>
                  <w:tcBorders>
                    <w:tl2br w:val="nil"/>
                    <w:tr2bl w:val="nil"/>
                  </w:tcBorders>
                  <w:vAlign w:val="center"/>
                </w:tcPr>
                <w:p w14:paraId="46D5665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03C323E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7045B6D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3D83AF4B">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7FE8A6C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1B53655B">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340742F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41A3B4DA">
                  <w:pPr>
                    <w:pStyle w:val="99"/>
                    <w:autoSpaceDE/>
                    <w:autoSpaceDN/>
                    <w:jc w:val="center"/>
                    <w:rPr>
                      <w:rFonts w:hint="eastAsia"/>
                      <w:color w:val="auto"/>
                      <w:sz w:val="21"/>
                      <w:szCs w:val="21"/>
                    </w:rPr>
                  </w:pPr>
                  <w:r>
                    <w:rPr>
                      <w:rFonts w:hint="eastAsia"/>
                      <w:color w:val="auto"/>
                      <w:spacing w:val="-3"/>
                      <w:sz w:val="21"/>
                      <w:szCs w:val="21"/>
                    </w:rPr>
                    <w:t>二氯甲烷</w:t>
                  </w:r>
                </w:p>
              </w:tc>
              <w:tc>
                <w:tcPr>
                  <w:tcW w:w="970" w:type="dxa"/>
                  <w:gridSpan w:val="2"/>
                  <w:tcBorders>
                    <w:tl2br w:val="nil"/>
                    <w:tr2bl w:val="nil"/>
                  </w:tcBorders>
                  <w:vAlign w:val="center"/>
                </w:tcPr>
                <w:p w14:paraId="405DD43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6AA2B3E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7EDC2C5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5F9DB86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40B84D9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7986661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0EB8157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15A0EA01">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1</w:t>
                  </w:r>
                  <w:r>
                    <w:rPr>
                      <w:rFonts w:hint="eastAsia"/>
                      <w:color w:val="auto"/>
                      <w:spacing w:val="1"/>
                      <w:sz w:val="21"/>
                      <w:szCs w:val="21"/>
                    </w:rPr>
                    <w:t>-二氯乙烷</w:t>
                  </w:r>
                </w:p>
              </w:tc>
              <w:tc>
                <w:tcPr>
                  <w:tcW w:w="970" w:type="dxa"/>
                  <w:gridSpan w:val="2"/>
                  <w:tcBorders>
                    <w:tl2br w:val="nil"/>
                    <w:tr2bl w:val="nil"/>
                  </w:tcBorders>
                  <w:vAlign w:val="center"/>
                </w:tcPr>
                <w:p w14:paraId="593DEDE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37DC599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1B66935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492EFFA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9.8</w:t>
                  </w:r>
                </w:p>
              </w:tc>
              <w:tc>
                <w:tcPr>
                  <w:tcW w:w="970" w:type="dxa"/>
                  <w:gridSpan w:val="2"/>
                  <w:tcBorders>
                    <w:tl2br w:val="nil"/>
                    <w:tr2bl w:val="nil"/>
                  </w:tcBorders>
                  <w:vAlign w:val="center"/>
                </w:tcPr>
                <w:p w14:paraId="2B130A2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14795B8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4F48099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471C5983">
                  <w:pPr>
                    <w:pStyle w:val="99"/>
                    <w:autoSpaceDE/>
                    <w:autoSpaceDN/>
                    <w:jc w:val="center"/>
                    <w:rPr>
                      <w:rFonts w:hint="eastAsia"/>
                      <w:color w:val="auto"/>
                      <w:sz w:val="21"/>
                      <w:szCs w:val="21"/>
                    </w:rPr>
                  </w:pPr>
                  <w:r>
                    <w:rPr>
                      <w:rFonts w:hint="eastAsia"/>
                      <w:color w:val="auto"/>
                      <w:spacing w:val="-1"/>
                      <w:sz w:val="21"/>
                      <w:szCs w:val="21"/>
                    </w:rPr>
                    <w:t>顺式-</w:t>
                  </w: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lang w:eastAsia="zh-CN"/>
                    </w:rPr>
                    <w:t>2</w:t>
                  </w:r>
                  <w:r>
                    <w:rPr>
                      <w:rFonts w:hint="eastAsia"/>
                      <w:color w:val="auto"/>
                      <w:spacing w:val="-1"/>
                      <w:sz w:val="21"/>
                      <w:szCs w:val="21"/>
                    </w:rPr>
                    <w:t>-二氯乙烯</w:t>
                  </w:r>
                </w:p>
              </w:tc>
              <w:tc>
                <w:tcPr>
                  <w:tcW w:w="970" w:type="dxa"/>
                  <w:gridSpan w:val="2"/>
                  <w:tcBorders>
                    <w:tl2br w:val="nil"/>
                    <w:tr2bl w:val="nil"/>
                  </w:tcBorders>
                  <w:vAlign w:val="center"/>
                </w:tcPr>
                <w:p w14:paraId="25A2C3EB">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7042D33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4EAE558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1112EC0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1DF5FBA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00C2E14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444187B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19A51903">
                  <w:pPr>
                    <w:pStyle w:val="99"/>
                    <w:autoSpaceDE/>
                    <w:autoSpaceDN/>
                    <w:jc w:val="center"/>
                    <w:rPr>
                      <w:rFonts w:hint="eastAsia"/>
                      <w:color w:val="auto"/>
                      <w:sz w:val="21"/>
                      <w:szCs w:val="21"/>
                    </w:rPr>
                  </w:pPr>
                  <w:r>
                    <w:rPr>
                      <w:rFonts w:hint="eastAsia"/>
                      <w:color w:val="auto"/>
                      <w:spacing w:val="-2"/>
                      <w:sz w:val="21"/>
                      <w:szCs w:val="21"/>
                    </w:rPr>
                    <w:t>三氯甲烷</w:t>
                  </w:r>
                </w:p>
              </w:tc>
              <w:tc>
                <w:tcPr>
                  <w:tcW w:w="970" w:type="dxa"/>
                  <w:gridSpan w:val="2"/>
                  <w:tcBorders>
                    <w:tl2br w:val="nil"/>
                    <w:tr2bl w:val="nil"/>
                  </w:tcBorders>
                  <w:vAlign w:val="center"/>
                </w:tcPr>
                <w:p w14:paraId="6DBD52A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1318538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2748C53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2DC1EBA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0379388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5C79B5D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7D39619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2100616E">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1</w:t>
                  </w:r>
                  <w:r>
                    <w:rPr>
                      <w:rFonts w:hint="eastAsia"/>
                      <w:color w:val="auto"/>
                      <w:sz w:val="21"/>
                      <w:szCs w:val="21"/>
                    </w:rPr>
                    <w:t>,</w:t>
                  </w:r>
                  <w:r>
                    <w:rPr>
                      <w:rFonts w:hint="eastAsia" w:ascii="Times New Roman" w:hAnsi="Times New Roman" w:cs="Times New Roman"/>
                      <w:color w:val="auto"/>
                      <w:sz w:val="21"/>
                      <w:szCs w:val="21"/>
                      <w:lang w:eastAsia="zh-CN"/>
                    </w:rPr>
                    <w:t>1</w:t>
                  </w:r>
                  <w:r>
                    <w:rPr>
                      <w:rFonts w:hint="eastAsia"/>
                      <w:color w:val="auto"/>
                      <w:sz w:val="21"/>
                      <w:szCs w:val="21"/>
                    </w:rPr>
                    <w:t>-三氯乙烷</w:t>
                  </w:r>
                </w:p>
              </w:tc>
              <w:tc>
                <w:tcPr>
                  <w:tcW w:w="970" w:type="dxa"/>
                  <w:gridSpan w:val="2"/>
                  <w:tcBorders>
                    <w:tl2br w:val="nil"/>
                    <w:tr2bl w:val="nil"/>
                  </w:tcBorders>
                  <w:vAlign w:val="center"/>
                </w:tcPr>
                <w:p w14:paraId="26A68CA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24.8</w:t>
                  </w:r>
                </w:p>
              </w:tc>
              <w:tc>
                <w:tcPr>
                  <w:tcW w:w="962" w:type="dxa"/>
                  <w:tcBorders>
                    <w:tl2br w:val="nil"/>
                    <w:tr2bl w:val="nil"/>
                  </w:tcBorders>
                  <w:vAlign w:val="center"/>
                </w:tcPr>
                <w:p w14:paraId="5E6EDEB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5"/>
                      <w:sz w:val="21"/>
                      <w:szCs w:val="21"/>
                    </w:rPr>
                    <w:t>12.4</w:t>
                  </w:r>
                </w:p>
              </w:tc>
              <w:tc>
                <w:tcPr>
                  <w:tcW w:w="979" w:type="dxa"/>
                  <w:gridSpan w:val="2"/>
                  <w:tcBorders>
                    <w:tl2br w:val="nil"/>
                    <w:tr2bl w:val="nil"/>
                  </w:tcBorders>
                  <w:vAlign w:val="center"/>
                </w:tcPr>
                <w:p w14:paraId="5E643DC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5"/>
                      <w:sz w:val="21"/>
                      <w:szCs w:val="21"/>
                    </w:rPr>
                    <w:t>11.3</w:t>
                  </w:r>
                </w:p>
              </w:tc>
              <w:tc>
                <w:tcPr>
                  <w:tcW w:w="970" w:type="dxa"/>
                  <w:gridSpan w:val="2"/>
                  <w:tcBorders>
                    <w:tl2br w:val="nil"/>
                    <w:tr2bl w:val="nil"/>
                  </w:tcBorders>
                  <w:vAlign w:val="center"/>
                </w:tcPr>
                <w:p w14:paraId="46A390F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47.1</w:t>
                  </w:r>
                </w:p>
              </w:tc>
              <w:tc>
                <w:tcPr>
                  <w:tcW w:w="970" w:type="dxa"/>
                  <w:gridSpan w:val="2"/>
                  <w:tcBorders>
                    <w:tl2br w:val="nil"/>
                    <w:tr2bl w:val="nil"/>
                  </w:tcBorders>
                  <w:vAlign w:val="center"/>
                </w:tcPr>
                <w:p w14:paraId="0BFDA6C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5"/>
                      <w:sz w:val="21"/>
                      <w:szCs w:val="21"/>
                    </w:rPr>
                    <w:t>18.0</w:t>
                  </w:r>
                </w:p>
              </w:tc>
              <w:tc>
                <w:tcPr>
                  <w:tcW w:w="965" w:type="dxa"/>
                  <w:tcBorders>
                    <w:tl2br w:val="nil"/>
                    <w:tr2bl w:val="nil"/>
                  </w:tcBorders>
                  <w:vAlign w:val="center"/>
                </w:tcPr>
                <w:p w14:paraId="1CF4FA7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25.2</w:t>
                  </w:r>
                </w:p>
              </w:tc>
            </w:tr>
            <w:tr w14:paraId="3F1E9DF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1D621788">
                  <w:pPr>
                    <w:pStyle w:val="99"/>
                    <w:autoSpaceDE/>
                    <w:autoSpaceDN/>
                    <w:jc w:val="center"/>
                    <w:rPr>
                      <w:rFonts w:hint="eastAsia"/>
                      <w:color w:val="auto"/>
                      <w:sz w:val="21"/>
                      <w:szCs w:val="21"/>
                    </w:rPr>
                  </w:pPr>
                  <w:r>
                    <w:rPr>
                      <w:rFonts w:hint="eastAsia"/>
                      <w:color w:val="auto"/>
                      <w:spacing w:val="1"/>
                      <w:sz w:val="21"/>
                      <w:szCs w:val="21"/>
                    </w:rPr>
                    <w:t>四氯化碳</w:t>
                  </w:r>
                </w:p>
              </w:tc>
              <w:tc>
                <w:tcPr>
                  <w:tcW w:w="970" w:type="dxa"/>
                  <w:gridSpan w:val="2"/>
                  <w:tcBorders>
                    <w:tl2br w:val="nil"/>
                    <w:tr2bl w:val="nil"/>
                  </w:tcBorders>
                  <w:vAlign w:val="center"/>
                </w:tcPr>
                <w:p w14:paraId="572D741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05CAFB8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5720693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1170865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24DFB0D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349123F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7F15DC2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149EECA4">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lang w:eastAsia="zh-CN"/>
                    </w:rPr>
                    <w:t>2</w:t>
                  </w:r>
                  <w:r>
                    <w:rPr>
                      <w:rFonts w:hint="eastAsia"/>
                      <w:color w:val="auto"/>
                      <w:spacing w:val="1"/>
                      <w:sz w:val="21"/>
                      <w:szCs w:val="21"/>
                    </w:rPr>
                    <w:t>-二氯乙烷</w:t>
                  </w:r>
                </w:p>
              </w:tc>
              <w:tc>
                <w:tcPr>
                  <w:tcW w:w="970" w:type="dxa"/>
                  <w:gridSpan w:val="2"/>
                  <w:tcBorders>
                    <w:tl2br w:val="nil"/>
                    <w:tr2bl w:val="nil"/>
                  </w:tcBorders>
                  <w:vAlign w:val="center"/>
                </w:tcPr>
                <w:p w14:paraId="2FE9163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1C06E0A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4EE52CE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48F76EC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5761CD9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5E18F90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431AB87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04ABABDF">
                  <w:pPr>
                    <w:pStyle w:val="99"/>
                    <w:autoSpaceDE/>
                    <w:autoSpaceDN/>
                    <w:jc w:val="center"/>
                    <w:rPr>
                      <w:rFonts w:hint="eastAsia"/>
                      <w:color w:val="auto"/>
                      <w:sz w:val="21"/>
                      <w:szCs w:val="21"/>
                    </w:rPr>
                  </w:pPr>
                  <w:r>
                    <w:rPr>
                      <w:rFonts w:hint="eastAsia"/>
                      <w:color w:val="auto"/>
                      <w:sz w:val="21"/>
                      <w:szCs w:val="21"/>
                    </w:rPr>
                    <w:t>苯</w:t>
                  </w:r>
                </w:p>
              </w:tc>
              <w:tc>
                <w:tcPr>
                  <w:tcW w:w="970" w:type="dxa"/>
                  <w:gridSpan w:val="2"/>
                  <w:tcBorders>
                    <w:tl2br w:val="nil"/>
                    <w:tr2bl w:val="nil"/>
                  </w:tcBorders>
                  <w:vAlign w:val="center"/>
                </w:tcPr>
                <w:p w14:paraId="48ED4C7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529B9C3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36C4D72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387EBF9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0.4</w:t>
                  </w:r>
                </w:p>
              </w:tc>
              <w:tc>
                <w:tcPr>
                  <w:tcW w:w="970" w:type="dxa"/>
                  <w:gridSpan w:val="2"/>
                  <w:tcBorders>
                    <w:tl2br w:val="nil"/>
                    <w:tr2bl w:val="nil"/>
                  </w:tcBorders>
                  <w:vAlign w:val="center"/>
                </w:tcPr>
                <w:p w14:paraId="71890E8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31FFF30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0B42459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7324A405">
                  <w:pPr>
                    <w:pStyle w:val="99"/>
                    <w:autoSpaceDE/>
                    <w:autoSpaceDN/>
                    <w:jc w:val="center"/>
                    <w:rPr>
                      <w:rFonts w:hint="eastAsia"/>
                      <w:color w:val="auto"/>
                      <w:sz w:val="21"/>
                      <w:szCs w:val="21"/>
                    </w:rPr>
                  </w:pPr>
                  <w:r>
                    <w:rPr>
                      <w:rFonts w:hint="eastAsia"/>
                      <w:color w:val="auto"/>
                      <w:spacing w:val="-2"/>
                      <w:sz w:val="21"/>
                      <w:szCs w:val="21"/>
                    </w:rPr>
                    <w:t>三氯乙烯</w:t>
                  </w:r>
                </w:p>
              </w:tc>
              <w:tc>
                <w:tcPr>
                  <w:tcW w:w="970" w:type="dxa"/>
                  <w:gridSpan w:val="2"/>
                  <w:tcBorders>
                    <w:tl2br w:val="nil"/>
                    <w:tr2bl w:val="nil"/>
                  </w:tcBorders>
                  <w:vAlign w:val="center"/>
                </w:tcPr>
                <w:p w14:paraId="5FB5436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47E6F24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01E941F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6C93A49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771D761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404752D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72A4791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0874AE3D">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lang w:eastAsia="zh-CN"/>
                    </w:rPr>
                    <w:t>2</w:t>
                  </w:r>
                  <w:r>
                    <w:rPr>
                      <w:rFonts w:hint="eastAsia"/>
                      <w:color w:val="auto"/>
                      <w:spacing w:val="1"/>
                      <w:sz w:val="21"/>
                      <w:szCs w:val="21"/>
                    </w:rPr>
                    <w:t>-二氯丙烷</w:t>
                  </w:r>
                </w:p>
              </w:tc>
              <w:tc>
                <w:tcPr>
                  <w:tcW w:w="970" w:type="dxa"/>
                  <w:gridSpan w:val="2"/>
                  <w:tcBorders>
                    <w:tl2br w:val="nil"/>
                    <w:tr2bl w:val="nil"/>
                  </w:tcBorders>
                  <w:vAlign w:val="center"/>
                </w:tcPr>
                <w:p w14:paraId="7F4D21B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4D13553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79B973B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5A988DD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2987509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472BB3FB">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0D31FE7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2AC5C663">
                  <w:pPr>
                    <w:pStyle w:val="99"/>
                    <w:autoSpaceDE/>
                    <w:autoSpaceDN/>
                    <w:jc w:val="center"/>
                    <w:rPr>
                      <w:rFonts w:hint="eastAsia"/>
                      <w:color w:val="auto"/>
                      <w:sz w:val="21"/>
                      <w:szCs w:val="21"/>
                    </w:rPr>
                  </w:pPr>
                  <w:r>
                    <w:rPr>
                      <w:rFonts w:hint="eastAsia"/>
                      <w:color w:val="auto"/>
                      <w:spacing w:val="-1"/>
                      <w:sz w:val="21"/>
                      <w:szCs w:val="21"/>
                    </w:rPr>
                    <w:t>顺式-</w:t>
                  </w:r>
                  <w:r>
                    <w:rPr>
                      <w:rFonts w:ascii="Times New Roman" w:hAnsi="Times New Roman" w:cs="Times New Roman"/>
                      <w:color w:val="auto"/>
                      <w:sz w:val="21"/>
                      <w:szCs w:val="21"/>
                    </w:rPr>
                    <w:t>1</w:t>
                  </w:r>
                  <w:r>
                    <w:rPr>
                      <w:rFonts w:hint="eastAsia"/>
                      <w:color w:val="auto"/>
                      <w:sz w:val="21"/>
                      <w:szCs w:val="21"/>
                    </w:rPr>
                    <w:t>,</w:t>
                  </w:r>
                  <w:r>
                    <w:rPr>
                      <w:rFonts w:hint="eastAsia" w:ascii="Times New Roman" w:hAnsi="Times New Roman" w:cs="Times New Roman"/>
                      <w:color w:val="auto"/>
                      <w:sz w:val="21"/>
                      <w:szCs w:val="21"/>
                      <w:lang w:eastAsia="zh-CN"/>
                    </w:rPr>
                    <w:t>3</w:t>
                  </w:r>
                  <w:r>
                    <w:rPr>
                      <w:rFonts w:hint="eastAsia"/>
                      <w:color w:val="auto"/>
                      <w:spacing w:val="-1"/>
                      <w:sz w:val="21"/>
                      <w:szCs w:val="21"/>
                    </w:rPr>
                    <w:t>-二氯丙烯</w:t>
                  </w:r>
                </w:p>
              </w:tc>
              <w:tc>
                <w:tcPr>
                  <w:tcW w:w="970" w:type="dxa"/>
                  <w:gridSpan w:val="2"/>
                  <w:tcBorders>
                    <w:tl2br w:val="nil"/>
                    <w:tr2bl w:val="nil"/>
                  </w:tcBorders>
                  <w:vAlign w:val="center"/>
                </w:tcPr>
                <w:p w14:paraId="0058A0C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631DB45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sz w:val="21"/>
                      <w:szCs w:val="21"/>
                    </w:rPr>
                    <w:t>1.5</w:t>
                  </w:r>
                </w:p>
              </w:tc>
              <w:tc>
                <w:tcPr>
                  <w:tcW w:w="979" w:type="dxa"/>
                  <w:gridSpan w:val="2"/>
                  <w:tcBorders>
                    <w:tl2br w:val="nil"/>
                    <w:tr2bl w:val="nil"/>
                  </w:tcBorders>
                  <w:vAlign w:val="center"/>
                </w:tcPr>
                <w:p w14:paraId="059C153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0.7</w:t>
                  </w:r>
                </w:p>
              </w:tc>
              <w:tc>
                <w:tcPr>
                  <w:tcW w:w="970" w:type="dxa"/>
                  <w:gridSpan w:val="2"/>
                  <w:tcBorders>
                    <w:tl2br w:val="nil"/>
                    <w:tr2bl w:val="nil"/>
                  </w:tcBorders>
                  <w:vAlign w:val="center"/>
                </w:tcPr>
                <w:p w14:paraId="4FE7D71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0C3493C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581733FB">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0513F8F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51FC3D13">
                  <w:pPr>
                    <w:pStyle w:val="99"/>
                    <w:autoSpaceDE/>
                    <w:autoSpaceDN/>
                    <w:jc w:val="center"/>
                    <w:rPr>
                      <w:rFonts w:hint="eastAsia"/>
                      <w:color w:val="auto"/>
                      <w:sz w:val="21"/>
                      <w:szCs w:val="21"/>
                    </w:rPr>
                  </w:pPr>
                  <w:r>
                    <w:rPr>
                      <w:rFonts w:hint="eastAsia"/>
                      <w:color w:val="auto"/>
                      <w:spacing w:val="4"/>
                      <w:sz w:val="21"/>
                      <w:szCs w:val="21"/>
                    </w:rPr>
                    <w:t>甲苯</w:t>
                  </w:r>
                </w:p>
              </w:tc>
              <w:tc>
                <w:tcPr>
                  <w:tcW w:w="970" w:type="dxa"/>
                  <w:gridSpan w:val="2"/>
                  <w:tcBorders>
                    <w:tl2br w:val="nil"/>
                    <w:tr2bl w:val="nil"/>
                  </w:tcBorders>
                  <w:vAlign w:val="center"/>
                </w:tcPr>
                <w:p w14:paraId="54BFE8E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6157C2E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7EDE27C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2BAA1A0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37B437C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17CBEB7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087A4D8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6A43B875">
                  <w:pPr>
                    <w:pStyle w:val="99"/>
                    <w:autoSpaceDE/>
                    <w:autoSpaceDN/>
                    <w:jc w:val="center"/>
                    <w:rPr>
                      <w:rFonts w:hint="eastAsia"/>
                      <w:color w:val="auto"/>
                      <w:sz w:val="21"/>
                      <w:szCs w:val="21"/>
                    </w:rPr>
                  </w:pPr>
                  <w:r>
                    <w:rPr>
                      <w:rFonts w:hint="eastAsia"/>
                      <w:color w:val="auto"/>
                      <w:spacing w:val="-1"/>
                      <w:sz w:val="21"/>
                      <w:szCs w:val="21"/>
                    </w:rPr>
                    <w:t>反式-</w:t>
                  </w:r>
                  <w:r>
                    <w:rPr>
                      <w:rFonts w:ascii="Times New Roman" w:hAnsi="Times New Roman" w:cs="Times New Roman"/>
                      <w:color w:val="auto"/>
                      <w:sz w:val="21"/>
                      <w:szCs w:val="21"/>
                    </w:rPr>
                    <w:t>1</w:t>
                  </w:r>
                  <w:r>
                    <w:rPr>
                      <w:rFonts w:hint="eastAsia"/>
                      <w:color w:val="auto"/>
                      <w:sz w:val="21"/>
                      <w:szCs w:val="21"/>
                    </w:rPr>
                    <w:t>,</w:t>
                  </w:r>
                  <w:r>
                    <w:rPr>
                      <w:rFonts w:hint="eastAsia" w:ascii="Times New Roman" w:hAnsi="Times New Roman" w:cs="Times New Roman"/>
                      <w:color w:val="auto"/>
                      <w:sz w:val="21"/>
                      <w:szCs w:val="21"/>
                      <w:lang w:eastAsia="zh-CN"/>
                    </w:rPr>
                    <w:t>3</w:t>
                  </w:r>
                  <w:r>
                    <w:rPr>
                      <w:rFonts w:hint="eastAsia"/>
                      <w:color w:val="auto"/>
                      <w:spacing w:val="-1"/>
                      <w:sz w:val="21"/>
                      <w:szCs w:val="21"/>
                    </w:rPr>
                    <w:t>-二氯丙烯</w:t>
                  </w:r>
                </w:p>
              </w:tc>
              <w:tc>
                <w:tcPr>
                  <w:tcW w:w="970" w:type="dxa"/>
                  <w:gridSpan w:val="2"/>
                  <w:tcBorders>
                    <w:tl2br w:val="nil"/>
                    <w:tr2bl w:val="nil"/>
                  </w:tcBorders>
                  <w:vAlign w:val="center"/>
                </w:tcPr>
                <w:p w14:paraId="4308435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2F0C041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3.7</w:t>
                  </w:r>
                </w:p>
              </w:tc>
              <w:tc>
                <w:tcPr>
                  <w:tcW w:w="979" w:type="dxa"/>
                  <w:gridSpan w:val="2"/>
                  <w:tcBorders>
                    <w:tl2br w:val="nil"/>
                    <w:tr2bl w:val="nil"/>
                  </w:tcBorders>
                  <w:vAlign w:val="center"/>
                </w:tcPr>
                <w:p w14:paraId="7B06F6D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2.3</w:t>
                  </w:r>
                </w:p>
              </w:tc>
              <w:tc>
                <w:tcPr>
                  <w:tcW w:w="970" w:type="dxa"/>
                  <w:gridSpan w:val="2"/>
                  <w:tcBorders>
                    <w:tl2br w:val="nil"/>
                    <w:tr2bl w:val="nil"/>
                  </w:tcBorders>
                  <w:vAlign w:val="center"/>
                </w:tcPr>
                <w:p w14:paraId="5538B7A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7BEA4CD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6691F53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6.1</w:t>
                  </w:r>
                </w:p>
              </w:tc>
            </w:tr>
            <w:tr w14:paraId="188546C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56FCED23">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2</w:t>
                  </w:r>
                  <w:r>
                    <w:rPr>
                      <w:rFonts w:hint="eastAsia"/>
                      <w:color w:val="auto"/>
                      <w:sz w:val="21"/>
                      <w:szCs w:val="21"/>
                    </w:rPr>
                    <w:t>-三氯乙烷</w:t>
                  </w:r>
                </w:p>
              </w:tc>
              <w:tc>
                <w:tcPr>
                  <w:tcW w:w="970" w:type="dxa"/>
                  <w:gridSpan w:val="2"/>
                  <w:tcBorders>
                    <w:tl2br w:val="nil"/>
                    <w:tr2bl w:val="nil"/>
                  </w:tcBorders>
                  <w:vAlign w:val="center"/>
                </w:tcPr>
                <w:p w14:paraId="4022414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7D2F8B1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23F8286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0232EE0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76E270F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681569B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1579399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4BF83992">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1</w:t>
                  </w:r>
                  <w:r>
                    <w:rPr>
                      <w:rFonts w:hint="eastAsia"/>
                      <w:color w:val="auto"/>
                      <w:spacing w:val="1"/>
                      <w:sz w:val="21"/>
                      <w:szCs w:val="21"/>
                    </w:rPr>
                    <w:t>-二氯乙烯</w:t>
                  </w:r>
                </w:p>
              </w:tc>
              <w:tc>
                <w:tcPr>
                  <w:tcW w:w="970" w:type="dxa"/>
                  <w:gridSpan w:val="2"/>
                  <w:tcBorders>
                    <w:tl2br w:val="nil"/>
                    <w:tr2bl w:val="nil"/>
                  </w:tcBorders>
                  <w:vAlign w:val="center"/>
                </w:tcPr>
                <w:p w14:paraId="0CC57F9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0FBD814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74145E9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4C7CFD9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7218D80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3E24666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66CE76F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66A303DC">
                  <w:pPr>
                    <w:pStyle w:val="99"/>
                    <w:autoSpaceDE/>
                    <w:autoSpaceDN/>
                    <w:jc w:val="center"/>
                    <w:rPr>
                      <w:rFonts w:hint="eastAsia"/>
                      <w:color w:val="auto"/>
                      <w:sz w:val="21"/>
                      <w:szCs w:val="21"/>
                    </w:rPr>
                  </w:pPr>
                  <w:r>
                    <w:rPr>
                      <w:rFonts w:hint="eastAsia"/>
                      <w:color w:val="auto"/>
                      <w:spacing w:val="2"/>
                      <w:sz w:val="21"/>
                      <w:szCs w:val="21"/>
                    </w:rPr>
                    <w:t>四氯乙烯</w:t>
                  </w:r>
                </w:p>
              </w:tc>
              <w:tc>
                <w:tcPr>
                  <w:tcW w:w="970" w:type="dxa"/>
                  <w:gridSpan w:val="2"/>
                  <w:tcBorders>
                    <w:tl2br w:val="nil"/>
                    <w:tr2bl w:val="nil"/>
                  </w:tcBorders>
                  <w:vAlign w:val="center"/>
                </w:tcPr>
                <w:p w14:paraId="16D7FCF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sz w:val="21"/>
                      <w:szCs w:val="21"/>
                    </w:rPr>
                    <w:t>153</w:t>
                  </w:r>
                </w:p>
              </w:tc>
              <w:tc>
                <w:tcPr>
                  <w:tcW w:w="962" w:type="dxa"/>
                  <w:tcBorders>
                    <w:tl2br w:val="nil"/>
                    <w:tr2bl w:val="nil"/>
                  </w:tcBorders>
                  <w:vAlign w:val="center"/>
                </w:tcPr>
                <w:p w14:paraId="77116F9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sz w:val="21"/>
                      <w:szCs w:val="21"/>
                    </w:rPr>
                    <w:t>151</w:t>
                  </w:r>
                </w:p>
              </w:tc>
              <w:tc>
                <w:tcPr>
                  <w:tcW w:w="979" w:type="dxa"/>
                  <w:gridSpan w:val="2"/>
                  <w:tcBorders>
                    <w:tl2br w:val="nil"/>
                    <w:tr2bl w:val="nil"/>
                  </w:tcBorders>
                  <w:vAlign w:val="center"/>
                </w:tcPr>
                <w:p w14:paraId="72F2F37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sz w:val="21"/>
                      <w:szCs w:val="21"/>
                    </w:rPr>
                    <w:t>152</w:t>
                  </w:r>
                </w:p>
              </w:tc>
              <w:tc>
                <w:tcPr>
                  <w:tcW w:w="970" w:type="dxa"/>
                  <w:gridSpan w:val="2"/>
                  <w:tcBorders>
                    <w:tl2br w:val="nil"/>
                    <w:tr2bl w:val="nil"/>
                  </w:tcBorders>
                  <w:vAlign w:val="center"/>
                </w:tcPr>
                <w:p w14:paraId="6D72B63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sz w:val="21"/>
                      <w:szCs w:val="21"/>
                    </w:rPr>
                    <w:t>172</w:t>
                  </w:r>
                </w:p>
              </w:tc>
              <w:tc>
                <w:tcPr>
                  <w:tcW w:w="970" w:type="dxa"/>
                  <w:gridSpan w:val="2"/>
                  <w:tcBorders>
                    <w:tl2br w:val="nil"/>
                    <w:tr2bl w:val="nil"/>
                  </w:tcBorders>
                  <w:vAlign w:val="center"/>
                </w:tcPr>
                <w:p w14:paraId="64C5D07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230</w:t>
                  </w:r>
                </w:p>
              </w:tc>
              <w:tc>
                <w:tcPr>
                  <w:tcW w:w="965" w:type="dxa"/>
                  <w:tcBorders>
                    <w:tl2br w:val="nil"/>
                    <w:tr2bl w:val="nil"/>
                  </w:tcBorders>
                  <w:vAlign w:val="center"/>
                </w:tcPr>
                <w:p w14:paraId="13DB801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287</w:t>
                  </w:r>
                </w:p>
              </w:tc>
            </w:tr>
            <w:tr w14:paraId="28261D1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19B6651B">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2</w:t>
                  </w:r>
                  <w:r>
                    <w:rPr>
                      <w:rFonts w:hint="eastAsia"/>
                      <w:color w:val="auto"/>
                      <w:spacing w:val="1"/>
                      <w:sz w:val="21"/>
                      <w:szCs w:val="21"/>
                    </w:rPr>
                    <w:t>-二溴乙烷</w:t>
                  </w:r>
                </w:p>
              </w:tc>
              <w:tc>
                <w:tcPr>
                  <w:tcW w:w="970" w:type="dxa"/>
                  <w:gridSpan w:val="2"/>
                  <w:tcBorders>
                    <w:tl2br w:val="nil"/>
                    <w:tr2bl w:val="nil"/>
                  </w:tcBorders>
                  <w:vAlign w:val="center"/>
                </w:tcPr>
                <w:p w14:paraId="055176F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214D46A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2C9D6B7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2E30571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0F89392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1E61C74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6F66EB1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5938088D">
                  <w:pPr>
                    <w:pStyle w:val="99"/>
                    <w:autoSpaceDE/>
                    <w:autoSpaceDN/>
                    <w:jc w:val="center"/>
                    <w:rPr>
                      <w:rFonts w:hint="eastAsia"/>
                      <w:color w:val="auto"/>
                      <w:sz w:val="21"/>
                      <w:szCs w:val="21"/>
                    </w:rPr>
                  </w:pPr>
                  <w:r>
                    <w:rPr>
                      <w:rFonts w:hint="eastAsia"/>
                      <w:color w:val="auto"/>
                      <w:spacing w:val="4"/>
                      <w:sz w:val="21"/>
                      <w:szCs w:val="21"/>
                    </w:rPr>
                    <w:t>氯苯</w:t>
                  </w:r>
                </w:p>
              </w:tc>
              <w:tc>
                <w:tcPr>
                  <w:tcW w:w="970" w:type="dxa"/>
                  <w:gridSpan w:val="2"/>
                  <w:tcBorders>
                    <w:tl2br w:val="nil"/>
                    <w:tr2bl w:val="nil"/>
                  </w:tcBorders>
                  <w:vAlign w:val="center"/>
                </w:tcPr>
                <w:p w14:paraId="55ACDE5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63DA96A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53D1955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2A5A6E2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6A401E8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38DF73B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01242BC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5A552F90">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2</w:t>
                  </w:r>
                  <w:r>
                    <w:rPr>
                      <w:rFonts w:hint="eastAsia"/>
                      <w:color w:val="auto"/>
                      <w:sz w:val="21"/>
                      <w:szCs w:val="21"/>
                    </w:rPr>
                    <w:t>,</w:t>
                  </w:r>
                  <w:r>
                    <w:rPr>
                      <w:rFonts w:ascii="Times New Roman" w:hAnsi="Times New Roman" w:cs="Times New Roman"/>
                      <w:color w:val="auto"/>
                      <w:sz w:val="21"/>
                      <w:szCs w:val="21"/>
                      <w:lang w:eastAsia="zh-CN"/>
                    </w:rPr>
                    <w:t>2</w:t>
                  </w:r>
                  <w:r>
                    <w:rPr>
                      <w:rFonts w:hint="eastAsia"/>
                      <w:color w:val="auto"/>
                      <w:sz w:val="21"/>
                      <w:szCs w:val="21"/>
                    </w:rPr>
                    <w:t>-四氯乙烷</w:t>
                  </w:r>
                </w:p>
              </w:tc>
              <w:tc>
                <w:tcPr>
                  <w:tcW w:w="970" w:type="dxa"/>
                  <w:gridSpan w:val="2"/>
                  <w:tcBorders>
                    <w:tl2br w:val="nil"/>
                    <w:tr2bl w:val="nil"/>
                  </w:tcBorders>
                  <w:vAlign w:val="center"/>
                </w:tcPr>
                <w:p w14:paraId="110E844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74F6416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26381EE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520661F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59E8A5E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4D318E1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7FF96CD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63AF04BE">
                  <w:pPr>
                    <w:pStyle w:val="99"/>
                    <w:autoSpaceDE/>
                    <w:autoSpaceDN/>
                    <w:jc w:val="center"/>
                    <w:rPr>
                      <w:rFonts w:hint="eastAsia"/>
                      <w:color w:val="auto"/>
                      <w:sz w:val="21"/>
                      <w:szCs w:val="21"/>
                    </w:rPr>
                  </w:pPr>
                  <w:r>
                    <w:rPr>
                      <w:rFonts w:hint="eastAsia"/>
                      <w:color w:val="auto"/>
                      <w:spacing w:val="4"/>
                      <w:sz w:val="21"/>
                      <w:szCs w:val="21"/>
                    </w:rPr>
                    <w:t>乙苯</w:t>
                  </w:r>
                </w:p>
              </w:tc>
              <w:tc>
                <w:tcPr>
                  <w:tcW w:w="970" w:type="dxa"/>
                  <w:gridSpan w:val="2"/>
                  <w:tcBorders>
                    <w:tl2br w:val="nil"/>
                    <w:tr2bl w:val="nil"/>
                  </w:tcBorders>
                  <w:vAlign w:val="center"/>
                </w:tcPr>
                <w:p w14:paraId="4C55DC5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14F3E44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6B8A5C3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3600F96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5E6BF60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6ECB153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04CF008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1ED1652D">
                  <w:pPr>
                    <w:pStyle w:val="99"/>
                    <w:autoSpaceDE/>
                    <w:autoSpaceDN/>
                    <w:jc w:val="center"/>
                    <w:rPr>
                      <w:rFonts w:hint="eastAsia"/>
                      <w:color w:val="auto"/>
                      <w:sz w:val="21"/>
                      <w:szCs w:val="21"/>
                    </w:rPr>
                  </w:pPr>
                  <w:r>
                    <w:rPr>
                      <w:rFonts w:hint="eastAsia"/>
                      <w:color w:val="auto"/>
                      <w:spacing w:val="1"/>
                      <w:sz w:val="21"/>
                      <w:szCs w:val="21"/>
                    </w:rPr>
                    <w:t>间，对-二甲苯</w:t>
                  </w:r>
                </w:p>
              </w:tc>
              <w:tc>
                <w:tcPr>
                  <w:tcW w:w="970" w:type="dxa"/>
                  <w:gridSpan w:val="2"/>
                  <w:tcBorders>
                    <w:tl2br w:val="nil"/>
                    <w:tr2bl w:val="nil"/>
                  </w:tcBorders>
                  <w:vAlign w:val="center"/>
                </w:tcPr>
                <w:p w14:paraId="6223269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798B83DB">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784E5A1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70E26BE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3953925B">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5622818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55A340C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14547D56">
                  <w:pPr>
                    <w:pStyle w:val="99"/>
                    <w:autoSpaceDE/>
                    <w:autoSpaceDN/>
                    <w:jc w:val="center"/>
                    <w:rPr>
                      <w:rFonts w:hint="eastAsia"/>
                      <w:color w:val="auto"/>
                      <w:sz w:val="21"/>
                      <w:szCs w:val="21"/>
                    </w:rPr>
                  </w:pPr>
                  <w:r>
                    <w:rPr>
                      <w:rFonts w:hint="eastAsia"/>
                      <w:color w:val="auto"/>
                      <w:spacing w:val="-2"/>
                      <w:sz w:val="21"/>
                      <w:szCs w:val="21"/>
                    </w:rPr>
                    <w:t>邻-二甲苯</w:t>
                  </w:r>
                </w:p>
              </w:tc>
              <w:tc>
                <w:tcPr>
                  <w:tcW w:w="970" w:type="dxa"/>
                  <w:gridSpan w:val="2"/>
                  <w:tcBorders>
                    <w:tl2br w:val="nil"/>
                    <w:tr2bl w:val="nil"/>
                  </w:tcBorders>
                  <w:vAlign w:val="center"/>
                </w:tcPr>
                <w:p w14:paraId="0858FF7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594E67E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2FF4EEA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6275099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3EFD95C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216909A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0CD626D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72F7E8BA">
                  <w:pPr>
                    <w:pStyle w:val="99"/>
                    <w:autoSpaceDE/>
                    <w:autoSpaceDN/>
                    <w:jc w:val="center"/>
                    <w:rPr>
                      <w:rFonts w:hint="eastAsia"/>
                      <w:color w:val="auto"/>
                      <w:sz w:val="21"/>
                      <w:szCs w:val="21"/>
                    </w:rPr>
                  </w:pPr>
                  <w:r>
                    <w:rPr>
                      <w:rFonts w:hint="eastAsia"/>
                      <w:color w:val="auto"/>
                      <w:spacing w:val="-3"/>
                      <w:sz w:val="21"/>
                      <w:szCs w:val="21"/>
                    </w:rPr>
                    <w:t>苯乙烯</w:t>
                  </w:r>
                </w:p>
              </w:tc>
              <w:tc>
                <w:tcPr>
                  <w:tcW w:w="970" w:type="dxa"/>
                  <w:gridSpan w:val="2"/>
                  <w:tcBorders>
                    <w:tl2br w:val="nil"/>
                    <w:tr2bl w:val="nil"/>
                  </w:tcBorders>
                  <w:vAlign w:val="center"/>
                </w:tcPr>
                <w:p w14:paraId="2BA825C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6CBD0C1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2B85CA4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46AE3D2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256C7A2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4D95F49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7149E19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0E9BFC77">
                  <w:pPr>
                    <w:pStyle w:val="99"/>
                    <w:autoSpaceDE/>
                    <w:autoSpaceDN/>
                    <w:jc w:val="center"/>
                    <w:rPr>
                      <w:rFonts w:hint="eastAsia"/>
                      <w:color w:val="auto"/>
                      <w:sz w:val="21"/>
                      <w:szCs w:val="21"/>
                    </w:rPr>
                  </w:pPr>
                  <w:r>
                    <w:rPr>
                      <w:rFonts w:hint="eastAsia" w:ascii="Times New Roman" w:hAnsi="Times New Roman" w:cs="Times New Roman"/>
                      <w:color w:val="auto"/>
                      <w:sz w:val="21"/>
                      <w:szCs w:val="21"/>
                      <w:lang w:eastAsia="zh-CN"/>
                    </w:rPr>
                    <w:t>4</w:t>
                  </w:r>
                  <w:r>
                    <w:rPr>
                      <w:rFonts w:hint="eastAsia"/>
                      <w:color w:val="auto"/>
                      <w:spacing w:val="-2"/>
                      <w:sz w:val="21"/>
                      <w:szCs w:val="21"/>
                    </w:rPr>
                    <w:t>-乙基甲苯</w:t>
                  </w:r>
                </w:p>
              </w:tc>
              <w:tc>
                <w:tcPr>
                  <w:tcW w:w="970" w:type="dxa"/>
                  <w:gridSpan w:val="2"/>
                  <w:tcBorders>
                    <w:tl2br w:val="nil"/>
                    <w:tr2bl w:val="nil"/>
                  </w:tcBorders>
                  <w:vAlign w:val="center"/>
                </w:tcPr>
                <w:p w14:paraId="1131213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24D43FD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7DA183B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38475D0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24C7882B">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15BF91D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4F5A43B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3A60D99D">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hint="eastAsia" w:ascii="Times New Roman" w:hAnsi="Times New Roman" w:cs="Times New Roman"/>
                      <w:color w:val="auto"/>
                      <w:sz w:val="21"/>
                      <w:szCs w:val="21"/>
                      <w:lang w:eastAsia="zh-CN"/>
                    </w:rPr>
                    <w:t>3</w:t>
                  </w:r>
                  <w:r>
                    <w:rPr>
                      <w:rFonts w:hint="eastAsia"/>
                      <w:color w:val="auto"/>
                      <w:sz w:val="21"/>
                      <w:szCs w:val="21"/>
                    </w:rPr>
                    <w:t>,</w:t>
                  </w:r>
                  <w:r>
                    <w:rPr>
                      <w:rFonts w:ascii="Times New Roman" w:hAnsi="Times New Roman" w:cs="Times New Roman"/>
                      <w:color w:val="auto"/>
                      <w:sz w:val="21"/>
                      <w:szCs w:val="21"/>
                    </w:rPr>
                    <w:t>5</w:t>
                  </w:r>
                  <w:r>
                    <w:rPr>
                      <w:rFonts w:hint="eastAsia"/>
                      <w:color w:val="auto"/>
                      <w:sz w:val="21"/>
                      <w:szCs w:val="21"/>
                    </w:rPr>
                    <w:t>-三甲基苯</w:t>
                  </w:r>
                </w:p>
              </w:tc>
              <w:tc>
                <w:tcPr>
                  <w:tcW w:w="970" w:type="dxa"/>
                  <w:gridSpan w:val="2"/>
                  <w:tcBorders>
                    <w:tl2br w:val="nil"/>
                    <w:tr2bl w:val="nil"/>
                  </w:tcBorders>
                  <w:vAlign w:val="center"/>
                </w:tcPr>
                <w:p w14:paraId="308941D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2" w:type="dxa"/>
                  <w:tcBorders>
                    <w:tl2br w:val="nil"/>
                    <w:tr2bl w:val="nil"/>
                  </w:tcBorders>
                  <w:vAlign w:val="center"/>
                </w:tcPr>
                <w:p w14:paraId="1CB08F5B">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9" w:type="dxa"/>
                  <w:gridSpan w:val="2"/>
                  <w:tcBorders>
                    <w:tl2br w:val="nil"/>
                    <w:tr2bl w:val="nil"/>
                  </w:tcBorders>
                  <w:vAlign w:val="center"/>
                </w:tcPr>
                <w:p w14:paraId="3C78684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7244696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0" w:type="dxa"/>
                  <w:gridSpan w:val="2"/>
                  <w:tcBorders>
                    <w:tl2br w:val="nil"/>
                    <w:tr2bl w:val="nil"/>
                  </w:tcBorders>
                  <w:vAlign w:val="center"/>
                </w:tcPr>
                <w:p w14:paraId="458D059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5" w:type="dxa"/>
                  <w:tcBorders>
                    <w:tl2br w:val="nil"/>
                    <w:tr2bl w:val="nil"/>
                  </w:tcBorders>
                  <w:vAlign w:val="center"/>
                </w:tcPr>
                <w:p w14:paraId="4E1D267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4A1B46C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54E4365E">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2</w:t>
                  </w:r>
                  <w:r>
                    <w:rPr>
                      <w:rFonts w:hint="eastAsia"/>
                      <w:color w:val="auto"/>
                      <w:sz w:val="21"/>
                      <w:szCs w:val="21"/>
                    </w:rPr>
                    <w:t>,</w:t>
                  </w:r>
                  <w:r>
                    <w:rPr>
                      <w:rFonts w:ascii="Times New Roman" w:hAnsi="Times New Roman" w:cs="Times New Roman"/>
                      <w:color w:val="auto"/>
                      <w:sz w:val="21"/>
                      <w:szCs w:val="21"/>
                    </w:rPr>
                    <w:t>4</w:t>
                  </w:r>
                  <w:r>
                    <w:rPr>
                      <w:rFonts w:hint="eastAsia"/>
                      <w:color w:val="auto"/>
                      <w:sz w:val="21"/>
                      <w:szCs w:val="21"/>
                    </w:rPr>
                    <w:t>-三甲基苯</w:t>
                  </w:r>
                </w:p>
              </w:tc>
              <w:tc>
                <w:tcPr>
                  <w:tcW w:w="970" w:type="dxa"/>
                  <w:gridSpan w:val="2"/>
                  <w:tcBorders>
                    <w:tl2br w:val="nil"/>
                    <w:tr2bl w:val="nil"/>
                  </w:tcBorders>
                  <w:vAlign w:val="center"/>
                </w:tcPr>
                <w:p w14:paraId="5206962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2" w:type="dxa"/>
                  <w:tcBorders>
                    <w:tl2br w:val="nil"/>
                    <w:tr2bl w:val="nil"/>
                  </w:tcBorders>
                  <w:vAlign w:val="center"/>
                </w:tcPr>
                <w:p w14:paraId="61BB467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9" w:type="dxa"/>
                  <w:gridSpan w:val="2"/>
                  <w:tcBorders>
                    <w:tl2br w:val="nil"/>
                    <w:tr2bl w:val="nil"/>
                  </w:tcBorders>
                  <w:vAlign w:val="center"/>
                </w:tcPr>
                <w:p w14:paraId="688BE79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0" w:type="dxa"/>
                  <w:gridSpan w:val="2"/>
                  <w:tcBorders>
                    <w:tl2br w:val="nil"/>
                    <w:tr2bl w:val="nil"/>
                  </w:tcBorders>
                  <w:vAlign w:val="center"/>
                </w:tcPr>
                <w:p w14:paraId="5A40CFA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0" w:type="dxa"/>
                  <w:gridSpan w:val="2"/>
                  <w:tcBorders>
                    <w:tl2br w:val="nil"/>
                    <w:tr2bl w:val="nil"/>
                  </w:tcBorders>
                  <w:vAlign w:val="center"/>
                </w:tcPr>
                <w:p w14:paraId="036AB87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5" w:type="dxa"/>
                  <w:tcBorders>
                    <w:tl2br w:val="nil"/>
                    <w:tr2bl w:val="nil"/>
                  </w:tcBorders>
                  <w:vAlign w:val="center"/>
                </w:tcPr>
                <w:p w14:paraId="3033B10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r>
            <w:tr w14:paraId="6430287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137786C8">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hint="eastAsia" w:ascii="Times New Roman" w:hAnsi="Times New Roman" w:cs="Times New Roman"/>
                      <w:color w:val="auto"/>
                      <w:sz w:val="21"/>
                      <w:szCs w:val="21"/>
                      <w:lang w:eastAsia="zh-CN"/>
                    </w:rPr>
                    <w:t>3</w:t>
                  </w:r>
                  <w:r>
                    <w:rPr>
                      <w:rFonts w:hint="eastAsia"/>
                      <w:color w:val="auto"/>
                      <w:spacing w:val="1"/>
                      <w:sz w:val="21"/>
                      <w:szCs w:val="21"/>
                      <w:lang w:eastAsia="zh-CN"/>
                    </w:rPr>
                    <w:t>-</w:t>
                  </w:r>
                  <w:r>
                    <w:rPr>
                      <w:rFonts w:hint="eastAsia"/>
                      <w:color w:val="auto"/>
                      <w:spacing w:val="1"/>
                      <w:sz w:val="21"/>
                      <w:szCs w:val="21"/>
                    </w:rPr>
                    <w:t>二氯苯</w:t>
                  </w:r>
                </w:p>
              </w:tc>
              <w:tc>
                <w:tcPr>
                  <w:tcW w:w="970" w:type="dxa"/>
                  <w:gridSpan w:val="2"/>
                  <w:tcBorders>
                    <w:tl2br w:val="nil"/>
                    <w:tr2bl w:val="nil"/>
                  </w:tcBorders>
                  <w:vAlign w:val="center"/>
                </w:tcPr>
                <w:p w14:paraId="6B7A608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2" w:type="dxa"/>
                  <w:tcBorders>
                    <w:tl2br w:val="nil"/>
                    <w:tr2bl w:val="nil"/>
                  </w:tcBorders>
                  <w:vAlign w:val="center"/>
                </w:tcPr>
                <w:p w14:paraId="50D4F10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9" w:type="dxa"/>
                  <w:gridSpan w:val="2"/>
                  <w:tcBorders>
                    <w:tl2br w:val="nil"/>
                    <w:tr2bl w:val="nil"/>
                  </w:tcBorders>
                  <w:vAlign w:val="center"/>
                </w:tcPr>
                <w:p w14:paraId="142F945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0" w:type="dxa"/>
                  <w:gridSpan w:val="2"/>
                  <w:tcBorders>
                    <w:tl2br w:val="nil"/>
                    <w:tr2bl w:val="nil"/>
                  </w:tcBorders>
                  <w:vAlign w:val="center"/>
                </w:tcPr>
                <w:p w14:paraId="005B0F6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0" w:type="dxa"/>
                  <w:gridSpan w:val="2"/>
                  <w:tcBorders>
                    <w:tl2br w:val="nil"/>
                    <w:tr2bl w:val="nil"/>
                  </w:tcBorders>
                  <w:vAlign w:val="center"/>
                </w:tcPr>
                <w:p w14:paraId="40697EB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5" w:type="dxa"/>
                  <w:tcBorders>
                    <w:tl2br w:val="nil"/>
                    <w:tr2bl w:val="nil"/>
                  </w:tcBorders>
                  <w:vAlign w:val="center"/>
                </w:tcPr>
                <w:p w14:paraId="2A2EE5B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r>
            <w:tr w14:paraId="3C7DBCC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268CA4BD">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hint="eastAsia" w:ascii="Times New Roman" w:hAnsi="Times New Roman" w:cs="Times New Roman"/>
                      <w:color w:val="auto"/>
                      <w:sz w:val="21"/>
                      <w:szCs w:val="21"/>
                      <w:lang w:eastAsia="zh-CN"/>
                    </w:rPr>
                    <w:t>4</w:t>
                  </w:r>
                  <w:r>
                    <w:rPr>
                      <w:rFonts w:hint="eastAsia"/>
                      <w:color w:val="auto"/>
                      <w:spacing w:val="1"/>
                      <w:sz w:val="21"/>
                      <w:szCs w:val="21"/>
                    </w:rPr>
                    <w:t>-二氯苯</w:t>
                  </w:r>
                </w:p>
              </w:tc>
              <w:tc>
                <w:tcPr>
                  <w:tcW w:w="970" w:type="dxa"/>
                  <w:gridSpan w:val="2"/>
                  <w:tcBorders>
                    <w:tl2br w:val="nil"/>
                    <w:tr2bl w:val="nil"/>
                  </w:tcBorders>
                  <w:vAlign w:val="center"/>
                </w:tcPr>
                <w:p w14:paraId="7C989BC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2" w:type="dxa"/>
                  <w:tcBorders>
                    <w:tl2br w:val="nil"/>
                    <w:tr2bl w:val="nil"/>
                  </w:tcBorders>
                  <w:vAlign w:val="center"/>
                </w:tcPr>
                <w:p w14:paraId="059D3F8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9" w:type="dxa"/>
                  <w:gridSpan w:val="2"/>
                  <w:tcBorders>
                    <w:tl2br w:val="nil"/>
                    <w:tr2bl w:val="nil"/>
                  </w:tcBorders>
                  <w:vAlign w:val="center"/>
                </w:tcPr>
                <w:p w14:paraId="7C9B82F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0" w:type="dxa"/>
                  <w:gridSpan w:val="2"/>
                  <w:tcBorders>
                    <w:tl2br w:val="nil"/>
                    <w:tr2bl w:val="nil"/>
                  </w:tcBorders>
                  <w:vAlign w:val="center"/>
                </w:tcPr>
                <w:p w14:paraId="74FB7AB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0" w:type="dxa"/>
                  <w:gridSpan w:val="2"/>
                  <w:tcBorders>
                    <w:tl2br w:val="nil"/>
                    <w:tr2bl w:val="nil"/>
                  </w:tcBorders>
                  <w:vAlign w:val="center"/>
                </w:tcPr>
                <w:p w14:paraId="6EA0BC8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5" w:type="dxa"/>
                  <w:tcBorders>
                    <w:tl2br w:val="nil"/>
                    <w:tr2bl w:val="nil"/>
                  </w:tcBorders>
                  <w:vAlign w:val="center"/>
                </w:tcPr>
                <w:p w14:paraId="276DDB2B">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r>
            <w:tr w14:paraId="136414A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3EC065C1">
                  <w:pPr>
                    <w:pStyle w:val="99"/>
                    <w:autoSpaceDE/>
                    <w:autoSpaceDN/>
                    <w:jc w:val="center"/>
                    <w:rPr>
                      <w:rFonts w:hint="eastAsia"/>
                      <w:color w:val="auto"/>
                      <w:sz w:val="21"/>
                      <w:szCs w:val="21"/>
                    </w:rPr>
                  </w:pPr>
                  <w:r>
                    <w:rPr>
                      <w:rFonts w:hint="eastAsia"/>
                      <w:color w:val="auto"/>
                      <w:spacing w:val="-2"/>
                      <w:sz w:val="21"/>
                      <w:szCs w:val="21"/>
                    </w:rPr>
                    <w:t>苄基氯</w:t>
                  </w:r>
                </w:p>
              </w:tc>
              <w:tc>
                <w:tcPr>
                  <w:tcW w:w="970" w:type="dxa"/>
                  <w:gridSpan w:val="2"/>
                  <w:tcBorders>
                    <w:tl2br w:val="nil"/>
                    <w:tr2bl w:val="nil"/>
                  </w:tcBorders>
                  <w:vAlign w:val="center"/>
                </w:tcPr>
                <w:p w14:paraId="760C64D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2" w:type="dxa"/>
                  <w:tcBorders>
                    <w:tl2br w:val="nil"/>
                    <w:tr2bl w:val="nil"/>
                  </w:tcBorders>
                  <w:vAlign w:val="center"/>
                </w:tcPr>
                <w:p w14:paraId="54849F9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9" w:type="dxa"/>
                  <w:gridSpan w:val="2"/>
                  <w:tcBorders>
                    <w:tl2br w:val="nil"/>
                    <w:tr2bl w:val="nil"/>
                  </w:tcBorders>
                  <w:vAlign w:val="center"/>
                </w:tcPr>
                <w:p w14:paraId="7EEBFCE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0" w:type="dxa"/>
                  <w:gridSpan w:val="2"/>
                  <w:tcBorders>
                    <w:tl2br w:val="nil"/>
                    <w:tr2bl w:val="nil"/>
                  </w:tcBorders>
                  <w:vAlign w:val="center"/>
                </w:tcPr>
                <w:p w14:paraId="3E525D4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0" w:type="dxa"/>
                  <w:gridSpan w:val="2"/>
                  <w:tcBorders>
                    <w:tl2br w:val="nil"/>
                    <w:tr2bl w:val="nil"/>
                  </w:tcBorders>
                  <w:vAlign w:val="center"/>
                </w:tcPr>
                <w:p w14:paraId="78D200C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5" w:type="dxa"/>
                  <w:tcBorders>
                    <w:tl2br w:val="nil"/>
                    <w:tr2bl w:val="nil"/>
                  </w:tcBorders>
                  <w:vAlign w:val="center"/>
                </w:tcPr>
                <w:p w14:paraId="2B73C54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r>
            <w:tr w14:paraId="5A6C126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0178242E">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2</w:t>
                  </w:r>
                  <w:r>
                    <w:rPr>
                      <w:rFonts w:hint="eastAsia"/>
                      <w:color w:val="auto"/>
                      <w:spacing w:val="1"/>
                      <w:sz w:val="21"/>
                      <w:szCs w:val="21"/>
                    </w:rPr>
                    <w:t>-二氯苯</w:t>
                  </w:r>
                </w:p>
              </w:tc>
              <w:tc>
                <w:tcPr>
                  <w:tcW w:w="970" w:type="dxa"/>
                  <w:gridSpan w:val="2"/>
                  <w:tcBorders>
                    <w:tl2br w:val="nil"/>
                    <w:tr2bl w:val="nil"/>
                  </w:tcBorders>
                  <w:vAlign w:val="center"/>
                </w:tcPr>
                <w:p w14:paraId="7910BB5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2" w:type="dxa"/>
                  <w:tcBorders>
                    <w:tl2br w:val="nil"/>
                    <w:tr2bl w:val="nil"/>
                  </w:tcBorders>
                  <w:vAlign w:val="center"/>
                </w:tcPr>
                <w:p w14:paraId="11EF24F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9" w:type="dxa"/>
                  <w:gridSpan w:val="2"/>
                  <w:tcBorders>
                    <w:tl2br w:val="nil"/>
                    <w:tr2bl w:val="nil"/>
                  </w:tcBorders>
                  <w:vAlign w:val="center"/>
                </w:tcPr>
                <w:p w14:paraId="1E6AC80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0" w:type="dxa"/>
                  <w:gridSpan w:val="2"/>
                  <w:tcBorders>
                    <w:tl2br w:val="nil"/>
                    <w:tr2bl w:val="nil"/>
                  </w:tcBorders>
                  <w:vAlign w:val="center"/>
                </w:tcPr>
                <w:p w14:paraId="01880D9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0" w:type="dxa"/>
                  <w:gridSpan w:val="2"/>
                  <w:tcBorders>
                    <w:tl2br w:val="nil"/>
                    <w:tr2bl w:val="nil"/>
                  </w:tcBorders>
                  <w:vAlign w:val="center"/>
                </w:tcPr>
                <w:p w14:paraId="5B7DD59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5" w:type="dxa"/>
                  <w:tcBorders>
                    <w:tl2br w:val="nil"/>
                    <w:tr2bl w:val="nil"/>
                  </w:tcBorders>
                  <w:vAlign w:val="center"/>
                </w:tcPr>
                <w:p w14:paraId="0577A7C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r>
            <w:tr w14:paraId="3CEEC78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7F0B9B9D">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2</w:t>
                  </w:r>
                  <w:r>
                    <w:rPr>
                      <w:rFonts w:hint="eastAsia"/>
                      <w:color w:val="auto"/>
                      <w:sz w:val="21"/>
                      <w:szCs w:val="21"/>
                    </w:rPr>
                    <w:t>,</w:t>
                  </w:r>
                  <w:r>
                    <w:rPr>
                      <w:rFonts w:ascii="Times New Roman" w:hAnsi="Times New Roman" w:cs="Times New Roman"/>
                      <w:color w:val="auto"/>
                      <w:sz w:val="21"/>
                      <w:szCs w:val="21"/>
                    </w:rPr>
                    <w:t>4</w:t>
                  </w:r>
                  <w:r>
                    <w:rPr>
                      <w:rFonts w:hint="eastAsia"/>
                      <w:color w:val="auto"/>
                      <w:spacing w:val="1"/>
                      <w:sz w:val="21"/>
                      <w:szCs w:val="21"/>
                    </w:rPr>
                    <w:t>-三氯苯</w:t>
                  </w:r>
                </w:p>
              </w:tc>
              <w:tc>
                <w:tcPr>
                  <w:tcW w:w="970" w:type="dxa"/>
                  <w:gridSpan w:val="2"/>
                  <w:tcBorders>
                    <w:tl2br w:val="nil"/>
                    <w:tr2bl w:val="nil"/>
                  </w:tcBorders>
                  <w:vAlign w:val="center"/>
                </w:tcPr>
                <w:p w14:paraId="7B5DC2D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2" w:type="dxa"/>
                  <w:tcBorders>
                    <w:tl2br w:val="nil"/>
                    <w:tr2bl w:val="nil"/>
                  </w:tcBorders>
                  <w:vAlign w:val="center"/>
                </w:tcPr>
                <w:p w14:paraId="5708355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9" w:type="dxa"/>
                  <w:gridSpan w:val="2"/>
                  <w:tcBorders>
                    <w:tl2br w:val="nil"/>
                    <w:tr2bl w:val="nil"/>
                  </w:tcBorders>
                  <w:vAlign w:val="center"/>
                </w:tcPr>
                <w:p w14:paraId="70F2AA2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0" w:type="dxa"/>
                  <w:gridSpan w:val="2"/>
                  <w:tcBorders>
                    <w:tl2br w:val="nil"/>
                    <w:tr2bl w:val="nil"/>
                  </w:tcBorders>
                  <w:vAlign w:val="center"/>
                </w:tcPr>
                <w:p w14:paraId="2876CE2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0" w:type="dxa"/>
                  <w:gridSpan w:val="2"/>
                  <w:tcBorders>
                    <w:tl2br w:val="nil"/>
                    <w:tr2bl w:val="nil"/>
                  </w:tcBorders>
                  <w:vAlign w:val="center"/>
                </w:tcPr>
                <w:p w14:paraId="70CF46F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5" w:type="dxa"/>
                  <w:tcBorders>
                    <w:tl2br w:val="nil"/>
                    <w:tr2bl w:val="nil"/>
                  </w:tcBorders>
                  <w:vAlign w:val="center"/>
                </w:tcPr>
                <w:p w14:paraId="5AE276A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r>
            <w:tr w14:paraId="15ABFBE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2F684361">
                  <w:pPr>
                    <w:pStyle w:val="99"/>
                    <w:autoSpaceDE/>
                    <w:autoSpaceDN/>
                    <w:jc w:val="center"/>
                    <w:rPr>
                      <w:rFonts w:hint="eastAsia"/>
                      <w:color w:val="auto"/>
                      <w:sz w:val="21"/>
                      <w:szCs w:val="21"/>
                    </w:rPr>
                  </w:pPr>
                  <w:r>
                    <w:rPr>
                      <w:rFonts w:hint="eastAsia"/>
                      <w:color w:val="auto"/>
                      <w:spacing w:val="-2"/>
                      <w:sz w:val="21"/>
                      <w:szCs w:val="21"/>
                    </w:rPr>
                    <w:t>六氯丁二烯</w:t>
                  </w:r>
                </w:p>
              </w:tc>
              <w:tc>
                <w:tcPr>
                  <w:tcW w:w="970" w:type="dxa"/>
                  <w:gridSpan w:val="2"/>
                  <w:tcBorders>
                    <w:tl2br w:val="nil"/>
                    <w:tr2bl w:val="nil"/>
                  </w:tcBorders>
                  <w:vAlign w:val="center"/>
                </w:tcPr>
                <w:p w14:paraId="4DEDBDD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2" w:type="dxa"/>
                  <w:tcBorders>
                    <w:tl2br w:val="nil"/>
                    <w:tr2bl w:val="nil"/>
                  </w:tcBorders>
                  <w:vAlign w:val="center"/>
                </w:tcPr>
                <w:p w14:paraId="34981C7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9" w:type="dxa"/>
                  <w:gridSpan w:val="2"/>
                  <w:tcBorders>
                    <w:tl2br w:val="nil"/>
                    <w:tr2bl w:val="nil"/>
                  </w:tcBorders>
                  <w:vAlign w:val="center"/>
                </w:tcPr>
                <w:p w14:paraId="4A89191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0" w:type="dxa"/>
                  <w:gridSpan w:val="2"/>
                  <w:tcBorders>
                    <w:tl2br w:val="nil"/>
                    <w:tr2bl w:val="nil"/>
                  </w:tcBorders>
                  <w:vAlign w:val="center"/>
                </w:tcPr>
                <w:p w14:paraId="0895282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0" w:type="dxa"/>
                  <w:gridSpan w:val="2"/>
                  <w:tcBorders>
                    <w:tl2br w:val="nil"/>
                    <w:tr2bl w:val="nil"/>
                  </w:tcBorders>
                  <w:vAlign w:val="center"/>
                </w:tcPr>
                <w:p w14:paraId="5D31557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5" w:type="dxa"/>
                  <w:tcBorders>
                    <w:tl2br w:val="nil"/>
                    <w:tr2bl w:val="nil"/>
                  </w:tcBorders>
                  <w:vAlign w:val="center"/>
                </w:tcPr>
                <w:p w14:paraId="48A8FAD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r>
            <w:tr w14:paraId="0B9CD53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9" w:type="dxa"/>
                  <w:tcBorders>
                    <w:tl2br w:val="nil"/>
                    <w:tr2bl w:val="nil"/>
                  </w:tcBorders>
                  <w:vAlign w:val="center"/>
                </w:tcPr>
                <w:p w14:paraId="01EC6335">
                  <w:pPr>
                    <w:pStyle w:val="99"/>
                    <w:autoSpaceDE/>
                    <w:autoSpaceDN/>
                    <w:jc w:val="center"/>
                    <w:rPr>
                      <w:rFonts w:hint="eastAsia"/>
                      <w:color w:val="auto"/>
                      <w:sz w:val="21"/>
                      <w:szCs w:val="21"/>
                    </w:rPr>
                  </w:pPr>
                  <w:r>
                    <w:rPr>
                      <w:rFonts w:hint="eastAsia"/>
                      <w:color w:val="auto"/>
                      <w:spacing w:val="3"/>
                      <w:sz w:val="21"/>
                      <w:szCs w:val="21"/>
                    </w:rPr>
                    <w:t>挥发性有机物(</w:t>
                  </w:r>
                  <w:r>
                    <w:rPr>
                      <w:rFonts w:ascii="Times New Roman" w:hAnsi="Times New Roman" w:cs="Times New Roman"/>
                      <w:color w:val="auto"/>
                      <w:spacing w:val="3"/>
                      <w:sz w:val="21"/>
                      <w:szCs w:val="21"/>
                    </w:rPr>
                    <w:t>35</w:t>
                  </w:r>
                  <w:r>
                    <w:rPr>
                      <w:rFonts w:hint="eastAsia"/>
                      <w:color w:val="auto"/>
                      <w:spacing w:val="3"/>
                      <w:sz w:val="21"/>
                      <w:szCs w:val="21"/>
                    </w:rPr>
                    <w:t>种)</w:t>
                  </w:r>
                </w:p>
              </w:tc>
              <w:tc>
                <w:tcPr>
                  <w:tcW w:w="970" w:type="dxa"/>
                  <w:gridSpan w:val="2"/>
                  <w:tcBorders>
                    <w:tl2br w:val="nil"/>
                    <w:tr2bl w:val="nil"/>
                  </w:tcBorders>
                  <w:vAlign w:val="center"/>
                </w:tcPr>
                <w:p w14:paraId="64A68CE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sz w:val="21"/>
                      <w:szCs w:val="21"/>
                    </w:rPr>
                    <w:t>178</w:t>
                  </w:r>
                </w:p>
              </w:tc>
              <w:tc>
                <w:tcPr>
                  <w:tcW w:w="962" w:type="dxa"/>
                  <w:tcBorders>
                    <w:tl2br w:val="nil"/>
                    <w:tr2bl w:val="nil"/>
                  </w:tcBorders>
                  <w:vAlign w:val="center"/>
                </w:tcPr>
                <w:p w14:paraId="6478003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sz w:val="21"/>
                      <w:szCs w:val="21"/>
                    </w:rPr>
                    <w:t>169</w:t>
                  </w:r>
                </w:p>
              </w:tc>
              <w:tc>
                <w:tcPr>
                  <w:tcW w:w="979" w:type="dxa"/>
                  <w:gridSpan w:val="2"/>
                  <w:tcBorders>
                    <w:tl2br w:val="nil"/>
                    <w:tr2bl w:val="nil"/>
                  </w:tcBorders>
                  <w:vAlign w:val="center"/>
                </w:tcPr>
                <w:p w14:paraId="6AAD125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sz w:val="21"/>
                      <w:szCs w:val="21"/>
                    </w:rPr>
                    <w:t>166</w:t>
                  </w:r>
                </w:p>
              </w:tc>
              <w:tc>
                <w:tcPr>
                  <w:tcW w:w="970" w:type="dxa"/>
                  <w:gridSpan w:val="2"/>
                  <w:tcBorders>
                    <w:tl2br w:val="nil"/>
                    <w:tr2bl w:val="nil"/>
                  </w:tcBorders>
                  <w:vAlign w:val="center"/>
                </w:tcPr>
                <w:p w14:paraId="0CA5CE6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229</w:t>
                  </w:r>
                </w:p>
              </w:tc>
              <w:tc>
                <w:tcPr>
                  <w:tcW w:w="970" w:type="dxa"/>
                  <w:gridSpan w:val="2"/>
                  <w:tcBorders>
                    <w:tl2br w:val="nil"/>
                    <w:tr2bl w:val="nil"/>
                  </w:tcBorders>
                  <w:vAlign w:val="center"/>
                </w:tcPr>
                <w:p w14:paraId="4FEC18B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248</w:t>
                  </w:r>
                </w:p>
              </w:tc>
              <w:tc>
                <w:tcPr>
                  <w:tcW w:w="965" w:type="dxa"/>
                  <w:tcBorders>
                    <w:tl2br w:val="nil"/>
                    <w:tr2bl w:val="nil"/>
                  </w:tcBorders>
                  <w:vAlign w:val="center"/>
                </w:tcPr>
                <w:p w14:paraId="2F7DE3E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318</w:t>
                  </w:r>
                </w:p>
              </w:tc>
            </w:tr>
            <w:tr w14:paraId="2804A03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1AAC2640">
                  <w:pPr>
                    <w:pStyle w:val="99"/>
                    <w:autoSpaceDE/>
                    <w:autoSpaceDN/>
                    <w:jc w:val="center"/>
                    <w:rPr>
                      <w:rFonts w:hint="eastAsia"/>
                      <w:b/>
                      <w:bCs/>
                      <w:color w:val="auto"/>
                      <w:sz w:val="21"/>
                      <w:szCs w:val="21"/>
                    </w:rPr>
                  </w:pPr>
                  <w:r>
                    <w:rPr>
                      <w:b/>
                      <w:bCs/>
                      <w:color w:val="auto"/>
                      <w:spacing w:val="3"/>
                      <w:sz w:val="21"/>
                      <w:szCs w:val="21"/>
                    </w:rPr>
                    <w:t>采样日期</w:t>
                  </w:r>
                </w:p>
              </w:tc>
              <w:tc>
                <w:tcPr>
                  <w:tcW w:w="5818" w:type="dxa"/>
                  <w:gridSpan w:val="10"/>
                  <w:tcBorders>
                    <w:tl2br w:val="nil"/>
                    <w:tr2bl w:val="nil"/>
                  </w:tcBorders>
                  <w:vAlign w:val="center"/>
                </w:tcPr>
                <w:p w14:paraId="5944307A">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1"/>
                      <w:sz w:val="21"/>
                      <w:szCs w:val="21"/>
                    </w:rPr>
                    <w:t>2023.05.10</w:t>
                  </w:r>
                </w:p>
              </w:tc>
            </w:tr>
            <w:tr w14:paraId="329C4A8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vMerge w:val="restart"/>
                  <w:tcBorders>
                    <w:tl2br w:val="nil"/>
                    <w:tr2bl w:val="nil"/>
                  </w:tcBorders>
                  <w:vAlign w:val="center"/>
                </w:tcPr>
                <w:p w14:paraId="54846841">
                  <w:pPr>
                    <w:pStyle w:val="99"/>
                    <w:autoSpaceDE/>
                    <w:autoSpaceDN/>
                    <w:jc w:val="center"/>
                    <w:rPr>
                      <w:rFonts w:hint="eastAsia"/>
                      <w:b/>
                      <w:bCs/>
                      <w:color w:val="auto"/>
                      <w:sz w:val="21"/>
                      <w:szCs w:val="21"/>
                    </w:rPr>
                  </w:pPr>
                  <w:r>
                    <w:rPr>
                      <w:b/>
                      <w:bCs/>
                      <w:color w:val="auto"/>
                      <w:spacing w:val="9"/>
                      <w:sz w:val="21"/>
                      <w:szCs w:val="21"/>
                    </w:rPr>
                    <w:t>检测项目</w:t>
                  </w:r>
                </w:p>
              </w:tc>
              <w:tc>
                <w:tcPr>
                  <w:tcW w:w="2907" w:type="dxa"/>
                  <w:gridSpan w:val="4"/>
                  <w:tcBorders>
                    <w:tl2br w:val="nil"/>
                    <w:tr2bl w:val="nil"/>
                  </w:tcBorders>
                  <w:vAlign w:val="center"/>
                </w:tcPr>
                <w:p w14:paraId="76A05782">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2"/>
                      <w:sz w:val="21"/>
                      <w:szCs w:val="21"/>
                    </w:rPr>
                    <w:t>下风向G3</w:t>
                  </w:r>
                </w:p>
              </w:tc>
              <w:tc>
                <w:tcPr>
                  <w:tcW w:w="2911" w:type="dxa"/>
                  <w:gridSpan w:val="6"/>
                  <w:tcBorders>
                    <w:tl2br w:val="nil"/>
                    <w:tr2bl w:val="nil"/>
                  </w:tcBorders>
                  <w:vAlign w:val="center"/>
                </w:tcPr>
                <w:p w14:paraId="004A0486">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1"/>
                      <w:sz w:val="21"/>
                      <w:szCs w:val="21"/>
                    </w:rPr>
                    <w:t>下风向G4</w:t>
                  </w:r>
                </w:p>
              </w:tc>
            </w:tr>
            <w:tr w14:paraId="6C32D06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vMerge w:val="continue"/>
                  <w:tcBorders>
                    <w:tl2br w:val="nil"/>
                    <w:tr2bl w:val="nil"/>
                  </w:tcBorders>
                  <w:vAlign w:val="center"/>
                </w:tcPr>
                <w:p w14:paraId="30E48360">
                  <w:pPr>
                    <w:autoSpaceDE/>
                    <w:autoSpaceDN/>
                    <w:jc w:val="center"/>
                    <w:rPr>
                      <w:rFonts w:ascii="Arial"/>
                      <w:b/>
                      <w:bCs/>
                      <w:color w:val="auto"/>
                      <w:szCs w:val="21"/>
                      <w:lang w:eastAsia="en-US"/>
                    </w:rPr>
                  </w:pPr>
                </w:p>
              </w:tc>
              <w:tc>
                <w:tcPr>
                  <w:tcW w:w="961" w:type="dxa"/>
                  <w:tcBorders>
                    <w:tl2br w:val="nil"/>
                    <w:tr2bl w:val="nil"/>
                  </w:tcBorders>
                  <w:vAlign w:val="center"/>
                </w:tcPr>
                <w:p w14:paraId="4990C9AC">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3"/>
                      <w:sz w:val="21"/>
                      <w:szCs w:val="21"/>
                    </w:rPr>
                    <w:t>第一次</w:t>
                  </w:r>
                </w:p>
              </w:tc>
              <w:tc>
                <w:tcPr>
                  <w:tcW w:w="978" w:type="dxa"/>
                  <w:gridSpan w:val="2"/>
                  <w:tcBorders>
                    <w:tl2br w:val="nil"/>
                    <w:tr2bl w:val="nil"/>
                  </w:tcBorders>
                  <w:vAlign w:val="center"/>
                </w:tcPr>
                <w:p w14:paraId="5295B67B">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2"/>
                      <w:sz w:val="21"/>
                      <w:szCs w:val="21"/>
                    </w:rPr>
                    <w:t>第二次</w:t>
                  </w:r>
                </w:p>
              </w:tc>
              <w:tc>
                <w:tcPr>
                  <w:tcW w:w="968" w:type="dxa"/>
                  <w:tcBorders>
                    <w:tl2br w:val="nil"/>
                    <w:tr2bl w:val="nil"/>
                  </w:tcBorders>
                  <w:vAlign w:val="center"/>
                </w:tcPr>
                <w:p w14:paraId="54867535">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2"/>
                      <w:sz w:val="21"/>
                      <w:szCs w:val="21"/>
                    </w:rPr>
                    <w:t>第三次</w:t>
                  </w:r>
                </w:p>
              </w:tc>
              <w:tc>
                <w:tcPr>
                  <w:tcW w:w="969" w:type="dxa"/>
                  <w:gridSpan w:val="2"/>
                  <w:tcBorders>
                    <w:tl2br w:val="nil"/>
                    <w:tr2bl w:val="nil"/>
                  </w:tcBorders>
                  <w:vAlign w:val="center"/>
                </w:tcPr>
                <w:p w14:paraId="454B5B01">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3"/>
                      <w:sz w:val="21"/>
                      <w:szCs w:val="21"/>
                    </w:rPr>
                    <w:t>第一次</w:t>
                  </w:r>
                </w:p>
              </w:tc>
              <w:tc>
                <w:tcPr>
                  <w:tcW w:w="969" w:type="dxa"/>
                  <w:gridSpan w:val="2"/>
                  <w:tcBorders>
                    <w:tl2br w:val="nil"/>
                    <w:tr2bl w:val="nil"/>
                  </w:tcBorders>
                  <w:vAlign w:val="center"/>
                </w:tcPr>
                <w:p w14:paraId="76EF0CA7">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2"/>
                      <w:sz w:val="21"/>
                      <w:szCs w:val="21"/>
                    </w:rPr>
                    <w:t>第二次</w:t>
                  </w:r>
                </w:p>
              </w:tc>
              <w:tc>
                <w:tcPr>
                  <w:tcW w:w="973" w:type="dxa"/>
                  <w:gridSpan w:val="2"/>
                  <w:tcBorders>
                    <w:tl2br w:val="nil"/>
                    <w:tr2bl w:val="nil"/>
                  </w:tcBorders>
                  <w:vAlign w:val="center"/>
                </w:tcPr>
                <w:p w14:paraId="4BC553F6">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2"/>
                      <w:sz w:val="21"/>
                      <w:szCs w:val="21"/>
                    </w:rPr>
                    <w:t>第三次</w:t>
                  </w:r>
                </w:p>
              </w:tc>
            </w:tr>
            <w:tr w14:paraId="5355749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747280B8">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1</w:t>
                  </w:r>
                  <w:r>
                    <w:rPr>
                      <w:rFonts w:hint="eastAsia"/>
                      <w:color w:val="auto"/>
                      <w:spacing w:val="1"/>
                      <w:sz w:val="21"/>
                      <w:szCs w:val="21"/>
                    </w:rPr>
                    <w:t>-二氯乙烯</w:t>
                  </w:r>
                </w:p>
              </w:tc>
              <w:tc>
                <w:tcPr>
                  <w:tcW w:w="961" w:type="dxa"/>
                  <w:tcBorders>
                    <w:tl2br w:val="nil"/>
                    <w:tr2bl w:val="nil"/>
                  </w:tcBorders>
                  <w:vAlign w:val="center"/>
                </w:tcPr>
                <w:p w14:paraId="67C109C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8" w:type="dxa"/>
                  <w:gridSpan w:val="2"/>
                  <w:tcBorders>
                    <w:tl2br w:val="nil"/>
                    <w:tr2bl w:val="nil"/>
                  </w:tcBorders>
                  <w:vAlign w:val="center"/>
                </w:tcPr>
                <w:p w14:paraId="73A0152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8" w:type="dxa"/>
                  <w:tcBorders>
                    <w:tl2br w:val="nil"/>
                    <w:tr2bl w:val="nil"/>
                  </w:tcBorders>
                  <w:vAlign w:val="center"/>
                </w:tcPr>
                <w:p w14:paraId="5F57F2B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4C078BBB">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58886DA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04E4A9D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67024C4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10661DD2">
                  <w:pPr>
                    <w:pStyle w:val="99"/>
                    <w:autoSpaceDE/>
                    <w:autoSpaceDN/>
                    <w:jc w:val="center"/>
                    <w:rPr>
                      <w:rFonts w:hint="eastAsia"/>
                      <w:color w:val="auto"/>
                      <w:sz w:val="21"/>
                      <w:szCs w:val="21"/>
                    </w:rPr>
                  </w:pPr>
                  <w:r>
                    <w:rPr>
                      <w:rFonts w:hint="eastAsia"/>
                      <w:color w:val="auto"/>
                      <w:spacing w:val="3"/>
                      <w:sz w:val="21"/>
                      <w:szCs w:val="21"/>
                    </w:rPr>
                    <w:t>氯丙烯</w:t>
                  </w:r>
                </w:p>
              </w:tc>
              <w:tc>
                <w:tcPr>
                  <w:tcW w:w="961" w:type="dxa"/>
                  <w:tcBorders>
                    <w:tl2br w:val="nil"/>
                    <w:tr2bl w:val="nil"/>
                  </w:tcBorders>
                  <w:vAlign w:val="center"/>
                </w:tcPr>
                <w:p w14:paraId="3892C2C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8" w:type="dxa"/>
                  <w:gridSpan w:val="2"/>
                  <w:tcBorders>
                    <w:tl2br w:val="nil"/>
                    <w:tr2bl w:val="nil"/>
                  </w:tcBorders>
                  <w:vAlign w:val="center"/>
                </w:tcPr>
                <w:p w14:paraId="71471CB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8" w:type="dxa"/>
                  <w:tcBorders>
                    <w:tl2br w:val="nil"/>
                    <w:tr2bl w:val="nil"/>
                  </w:tcBorders>
                  <w:vAlign w:val="center"/>
                </w:tcPr>
                <w:p w14:paraId="5024885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248E795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08D210B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7DD81DF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2C7B7A3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5E34CE1A">
                  <w:pPr>
                    <w:pStyle w:val="99"/>
                    <w:autoSpaceDE/>
                    <w:autoSpaceDN/>
                    <w:jc w:val="center"/>
                    <w:rPr>
                      <w:rFonts w:hint="eastAsia"/>
                      <w:color w:val="auto"/>
                      <w:sz w:val="21"/>
                      <w:szCs w:val="21"/>
                    </w:rPr>
                  </w:pPr>
                  <w:r>
                    <w:rPr>
                      <w:rFonts w:hint="eastAsia"/>
                      <w:color w:val="auto"/>
                      <w:spacing w:val="-3"/>
                      <w:sz w:val="21"/>
                      <w:szCs w:val="21"/>
                    </w:rPr>
                    <w:t>二氯甲烷</w:t>
                  </w:r>
                </w:p>
              </w:tc>
              <w:tc>
                <w:tcPr>
                  <w:tcW w:w="961" w:type="dxa"/>
                  <w:tcBorders>
                    <w:tl2br w:val="nil"/>
                    <w:tr2bl w:val="nil"/>
                  </w:tcBorders>
                  <w:vAlign w:val="center"/>
                </w:tcPr>
                <w:p w14:paraId="2AD3AFE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sz w:val="21"/>
                      <w:szCs w:val="21"/>
                    </w:rPr>
                    <w:t>1.9</w:t>
                  </w:r>
                </w:p>
              </w:tc>
              <w:tc>
                <w:tcPr>
                  <w:tcW w:w="978" w:type="dxa"/>
                  <w:gridSpan w:val="2"/>
                  <w:tcBorders>
                    <w:tl2br w:val="nil"/>
                    <w:tr2bl w:val="nil"/>
                  </w:tcBorders>
                  <w:vAlign w:val="center"/>
                </w:tcPr>
                <w:p w14:paraId="160F554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84.0</w:t>
                  </w:r>
                </w:p>
              </w:tc>
              <w:tc>
                <w:tcPr>
                  <w:tcW w:w="968" w:type="dxa"/>
                  <w:tcBorders>
                    <w:tl2br w:val="nil"/>
                    <w:tr2bl w:val="nil"/>
                  </w:tcBorders>
                  <w:vAlign w:val="center"/>
                </w:tcPr>
                <w:p w14:paraId="65477F6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2.6</w:t>
                  </w:r>
                </w:p>
              </w:tc>
              <w:tc>
                <w:tcPr>
                  <w:tcW w:w="969" w:type="dxa"/>
                  <w:gridSpan w:val="2"/>
                  <w:tcBorders>
                    <w:tl2br w:val="nil"/>
                    <w:tr2bl w:val="nil"/>
                  </w:tcBorders>
                  <w:vAlign w:val="center"/>
                </w:tcPr>
                <w:p w14:paraId="02EE660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2.8</w:t>
                  </w:r>
                </w:p>
              </w:tc>
              <w:tc>
                <w:tcPr>
                  <w:tcW w:w="969" w:type="dxa"/>
                  <w:gridSpan w:val="2"/>
                  <w:tcBorders>
                    <w:tl2br w:val="nil"/>
                    <w:tr2bl w:val="nil"/>
                  </w:tcBorders>
                  <w:vAlign w:val="center"/>
                </w:tcPr>
                <w:p w14:paraId="0ECC364B">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4B4B8D6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2.7</w:t>
                  </w:r>
                </w:p>
              </w:tc>
            </w:tr>
            <w:tr w14:paraId="5E67106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180C3765">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1</w:t>
                  </w:r>
                  <w:r>
                    <w:rPr>
                      <w:rFonts w:hint="eastAsia"/>
                      <w:color w:val="auto"/>
                      <w:spacing w:val="1"/>
                      <w:sz w:val="21"/>
                      <w:szCs w:val="21"/>
                    </w:rPr>
                    <w:t>-二氯乙烷</w:t>
                  </w:r>
                </w:p>
              </w:tc>
              <w:tc>
                <w:tcPr>
                  <w:tcW w:w="961" w:type="dxa"/>
                  <w:tcBorders>
                    <w:tl2br w:val="nil"/>
                    <w:tr2bl w:val="nil"/>
                  </w:tcBorders>
                  <w:vAlign w:val="center"/>
                </w:tcPr>
                <w:p w14:paraId="27B5E60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63.8</w:t>
                  </w:r>
                </w:p>
              </w:tc>
              <w:tc>
                <w:tcPr>
                  <w:tcW w:w="978" w:type="dxa"/>
                  <w:gridSpan w:val="2"/>
                  <w:tcBorders>
                    <w:tl2br w:val="nil"/>
                    <w:tr2bl w:val="nil"/>
                  </w:tcBorders>
                  <w:vAlign w:val="center"/>
                </w:tcPr>
                <w:p w14:paraId="08454C5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8" w:type="dxa"/>
                  <w:tcBorders>
                    <w:tl2br w:val="nil"/>
                    <w:tr2bl w:val="nil"/>
                  </w:tcBorders>
                  <w:vAlign w:val="center"/>
                </w:tcPr>
                <w:p w14:paraId="658E843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24.1</w:t>
                  </w:r>
                </w:p>
              </w:tc>
              <w:tc>
                <w:tcPr>
                  <w:tcW w:w="969" w:type="dxa"/>
                  <w:gridSpan w:val="2"/>
                  <w:tcBorders>
                    <w:tl2br w:val="nil"/>
                    <w:tr2bl w:val="nil"/>
                  </w:tcBorders>
                  <w:vAlign w:val="center"/>
                </w:tcPr>
                <w:p w14:paraId="277401D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9.0</w:t>
                  </w:r>
                </w:p>
              </w:tc>
              <w:tc>
                <w:tcPr>
                  <w:tcW w:w="969" w:type="dxa"/>
                  <w:gridSpan w:val="2"/>
                  <w:tcBorders>
                    <w:tl2br w:val="nil"/>
                    <w:tr2bl w:val="nil"/>
                  </w:tcBorders>
                  <w:vAlign w:val="center"/>
                </w:tcPr>
                <w:p w14:paraId="2876406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5B90D5C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5"/>
                      <w:sz w:val="21"/>
                      <w:szCs w:val="21"/>
                    </w:rPr>
                    <w:t>10.7</w:t>
                  </w:r>
                </w:p>
              </w:tc>
            </w:tr>
            <w:tr w14:paraId="5DB1934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32EC638F">
                  <w:pPr>
                    <w:pStyle w:val="99"/>
                    <w:autoSpaceDE/>
                    <w:autoSpaceDN/>
                    <w:jc w:val="center"/>
                    <w:rPr>
                      <w:rFonts w:hint="eastAsia"/>
                      <w:color w:val="auto"/>
                      <w:sz w:val="21"/>
                      <w:szCs w:val="21"/>
                    </w:rPr>
                  </w:pPr>
                  <w:r>
                    <w:rPr>
                      <w:rFonts w:hint="eastAsia"/>
                      <w:color w:val="auto"/>
                      <w:spacing w:val="-1"/>
                      <w:sz w:val="21"/>
                      <w:szCs w:val="21"/>
                    </w:rPr>
                    <w:t>顺式-</w:t>
                  </w: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lang w:eastAsia="zh-CN"/>
                    </w:rPr>
                    <w:t>2</w:t>
                  </w:r>
                  <w:r>
                    <w:rPr>
                      <w:rFonts w:hint="eastAsia"/>
                      <w:color w:val="auto"/>
                      <w:spacing w:val="-1"/>
                      <w:sz w:val="21"/>
                      <w:szCs w:val="21"/>
                    </w:rPr>
                    <w:t>-二氯乙烯</w:t>
                  </w:r>
                </w:p>
              </w:tc>
              <w:tc>
                <w:tcPr>
                  <w:tcW w:w="961" w:type="dxa"/>
                  <w:tcBorders>
                    <w:tl2br w:val="nil"/>
                    <w:tr2bl w:val="nil"/>
                  </w:tcBorders>
                  <w:vAlign w:val="center"/>
                </w:tcPr>
                <w:p w14:paraId="31B4244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8" w:type="dxa"/>
                  <w:gridSpan w:val="2"/>
                  <w:tcBorders>
                    <w:tl2br w:val="nil"/>
                    <w:tr2bl w:val="nil"/>
                  </w:tcBorders>
                  <w:vAlign w:val="center"/>
                </w:tcPr>
                <w:p w14:paraId="66E00AD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8" w:type="dxa"/>
                  <w:tcBorders>
                    <w:tl2br w:val="nil"/>
                    <w:tr2bl w:val="nil"/>
                  </w:tcBorders>
                  <w:vAlign w:val="center"/>
                </w:tcPr>
                <w:p w14:paraId="3C0C8E2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9" w:type="dxa"/>
                  <w:gridSpan w:val="2"/>
                  <w:tcBorders>
                    <w:tl2br w:val="nil"/>
                    <w:tr2bl w:val="nil"/>
                  </w:tcBorders>
                  <w:vAlign w:val="center"/>
                </w:tcPr>
                <w:p w14:paraId="48B75DC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9" w:type="dxa"/>
                  <w:gridSpan w:val="2"/>
                  <w:tcBorders>
                    <w:tl2br w:val="nil"/>
                    <w:tr2bl w:val="nil"/>
                  </w:tcBorders>
                  <w:vAlign w:val="center"/>
                </w:tcPr>
                <w:p w14:paraId="3D9506F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3" w:type="dxa"/>
                  <w:gridSpan w:val="2"/>
                  <w:tcBorders>
                    <w:tl2br w:val="nil"/>
                    <w:tr2bl w:val="nil"/>
                  </w:tcBorders>
                  <w:vAlign w:val="center"/>
                </w:tcPr>
                <w:p w14:paraId="1939E92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r>
            <w:tr w14:paraId="34973C3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006C8B34">
                  <w:pPr>
                    <w:pStyle w:val="99"/>
                    <w:autoSpaceDE/>
                    <w:autoSpaceDN/>
                    <w:jc w:val="center"/>
                    <w:rPr>
                      <w:rFonts w:hint="eastAsia"/>
                      <w:color w:val="auto"/>
                      <w:sz w:val="21"/>
                      <w:szCs w:val="21"/>
                    </w:rPr>
                  </w:pPr>
                  <w:r>
                    <w:rPr>
                      <w:rFonts w:hint="eastAsia"/>
                      <w:color w:val="auto"/>
                      <w:spacing w:val="-2"/>
                      <w:sz w:val="21"/>
                      <w:szCs w:val="21"/>
                    </w:rPr>
                    <w:t>三氯甲烷</w:t>
                  </w:r>
                </w:p>
              </w:tc>
              <w:tc>
                <w:tcPr>
                  <w:tcW w:w="961" w:type="dxa"/>
                  <w:tcBorders>
                    <w:tl2br w:val="nil"/>
                    <w:tr2bl w:val="nil"/>
                  </w:tcBorders>
                  <w:vAlign w:val="center"/>
                </w:tcPr>
                <w:p w14:paraId="5F24ED0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sz w:val="21"/>
                      <w:szCs w:val="21"/>
                    </w:rPr>
                    <w:t>1.4</w:t>
                  </w:r>
                </w:p>
              </w:tc>
              <w:tc>
                <w:tcPr>
                  <w:tcW w:w="978" w:type="dxa"/>
                  <w:gridSpan w:val="2"/>
                  <w:tcBorders>
                    <w:tl2br w:val="nil"/>
                    <w:tr2bl w:val="nil"/>
                  </w:tcBorders>
                  <w:vAlign w:val="center"/>
                </w:tcPr>
                <w:p w14:paraId="26A62D0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8" w:type="dxa"/>
                  <w:tcBorders>
                    <w:tl2br w:val="nil"/>
                    <w:tr2bl w:val="nil"/>
                  </w:tcBorders>
                  <w:vAlign w:val="center"/>
                </w:tcPr>
                <w:p w14:paraId="5019C0F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070D1E7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1D55DD4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0216827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7035189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28EDB392">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1</w:t>
                  </w:r>
                  <w:r>
                    <w:rPr>
                      <w:rFonts w:hint="eastAsia"/>
                      <w:color w:val="auto"/>
                      <w:sz w:val="21"/>
                      <w:szCs w:val="21"/>
                    </w:rPr>
                    <w:t>,</w:t>
                  </w:r>
                  <w:r>
                    <w:rPr>
                      <w:rFonts w:hint="eastAsia" w:ascii="Times New Roman" w:hAnsi="Times New Roman" w:cs="Times New Roman"/>
                      <w:color w:val="auto"/>
                      <w:sz w:val="21"/>
                      <w:szCs w:val="21"/>
                      <w:lang w:eastAsia="zh-CN"/>
                    </w:rPr>
                    <w:t>1</w:t>
                  </w:r>
                  <w:r>
                    <w:rPr>
                      <w:rFonts w:hint="eastAsia"/>
                      <w:color w:val="auto"/>
                      <w:sz w:val="21"/>
                      <w:szCs w:val="21"/>
                    </w:rPr>
                    <w:t>-三氯乙烷</w:t>
                  </w:r>
                </w:p>
              </w:tc>
              <w:tc>
                <w:tcPr>
                  <w:tcW w:w="961" w:type="dxa"/>
                  <w:tcBorders>
                    <w:tl2br w:val="nil"/>
                    <w:tr2bl w:val="nil"/>
                  </w:tcBorders>
                  <w:vAlign w:val="center"/>
                </w:tcPr>
                <w:p w14:paraId="420EAB4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203</w:t>
                  </w:r>
                </w:p>
              </w:tc>
              <w:tc>
                <w:tcPr>
                  <w:tcW w:w="978" w:type="dxa"/>
                  <w:gridSpan w:val="2"/>
                  <w:tcBorders>
                    <w:tl2br w:val="nil"/>
                    <w:tr2bl w:val="nil"/>
                  </w:tcBorders>
                  <w:vAlign w:val="center"/>
                </w:tcPr>
                <w:p w14:paraId="47CC8D7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sz w:val="21"/>
                      <w:szCs w:val="21"/>
                    </w:rPr>
                    <w:t>100</w:t>
                  </w:r>
                </w:p>
              </w:tc>
              <w:tc>
                <w:tcPr>
                  <w:tcW w:w="968" w:type="dxa"/>
                  <w:tcBorders>
                    <w:tl2br w:val="nil"/>
                    <w:tr2bl w:val="nil"/>
                  </w:tcBorders>
                  <w:vAlign w:val="center"/>
                </w:tcPr>
                <w:p w14:paraId="0D5BF88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273</w:t>
                  </w:r>
                </w:p>
              </w:tc>
              <w:tc>
                <w:tcPr>
                  <w:tcW w:w="969" w:type="dxa"/>
                  <w:gridSpan w:val="2"/>
                  <w:tcBorders>
                    <w:tl2br w:val="nil"/>
                    <w:tr2bl w:val="nil"/>
                  </w:tcBorders>
                  <w:vAlign w:val="center"/>
                </w:tcPr>
                <w:p w14:paraId="1C5B2FC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72.2</w:t>
                  </w:r>
                </w:p>
              </w:tc>
              <w:tc>
                <w:tcPr>
                  <w:tcW w:w="969" w:type="dxa"/>
                  <w:gridSpan w:val="2"/>
                  <w:tcBorders>
                    <w:tl2br w:val="nil"/>
                    <w:tr2bl w:val="nil"/>
                  </w:tcBorders>
                  <w:vAlign w:val="center"/>
                </w:tcPr>
                <w:p w14:paraId="71440CF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24.3</w:t>
                  </w:r>
                </w:p>
              </w:tc>
              <w:tc>
                <w:tcPr>
                  <w:tcW w:w="973" w:type="dxa"/>
                  <w:gridSpan w:val="2"/>
                  <w:tcBorders>
                    <w:tl2br w:val="nil"/>
                    <w:tr2bl w:val="nil"/>
                  </w:tcBorders>
                  <w:vAlign w:val="center"/>
                </w:tcPr>
                <w:p w14:paraId="5AB1C08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sz w:val="21"/>
                      <w:szCs w:val="21"/>
                    </w:rPr>
                    <w:t>161</w:t>
                  </w:r>
                </w:p>
              </w:tc>
            </w:tr>
            <w:tr w14:paraId="30A3ADA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3FFC8516">
                  <w:pPr>
                    <w:pStyle w:val="99"/>
                    <w:autoSpaceDE/>
                    <w:autoSpaceDN/>
                    <w:jc w:val="center"/>
                    <w:rPr>
                      <w:rFonts w:hint="eastAsia"/>
                      <w:color w:val="auto"/>
                      <w:sz w:val="21"/>
                      <w:szCs w:val="21"/>
                    </w:rPr>
                  </w:pPr>
                  <w:r>
                    <w:rPr>
                      <w:rFonts w:hint="eastAsia"/>
                      <w:color w:val="auto"/>
                      <w:spacing w:val="1"/>
                      <w:sz w:val="21"/>
                      <w:szCs w:val="21"/>
                    </w:rPr>
                    <w:t>四氯化碳</w:t>
                  </w:r>
                </w:p>
              </w:tc>
              <w:tc>
                <w:tcPr>
                  <w:tcW w:w="961" w:type="dxa"/>
                  <w:tcBorders>
                    <w:tl2br w:val="nil"/>
                    <w:tr2bl w:val="nil"/>
                  </w:tcBorders>
                  <w:vAlign w:val="center"/>
                </w:tcPr>
                <w:p w14:paraId="558A742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8" w:type="dxa"/>
                  <w:gridSpan w:val="2"/>
                  <w:tcBorders>
                    <w:tl2br w:val="nil"/>
                    <w:tr2bl w:val="nil"/>
                  </w:tcBorders>
                  <w:vAlign w:val="center"/>
                </w:tcPr>
                <w:p w14:paraId="3B961FB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8" w:type="dxa"/>
                  <w:tcBorders>
                    <w:tl2br w:val="nil"/>
                    <w:tr2bl w:val="nil"/>
                  </w:tcBorders>
                  <w:vAlign w:val="center"/>
                </w:tcPr>
                <w:p w14:paraId="094B370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258BAE7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7AB0BC4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6934FB9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5CF0DD5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12491664">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lang w:eastAsia="zh-CN"/>
                    </w:rPr>
                    <w:t>2</w:t>
                  </w:r>
                  <w:r>
                    <w:rPr>
                      <w:rFonts w:hint="eastAsia"/>
                      <w:color w:val="auto"/>
                      <w:spacing w:val="1"/>
                      <w:sz w:val="21"/>
                      <w:szCs w:val="21"/>
                    </w:rPr>
                    <w:t>-二氯乙烷</w:t>
                  </w:r>
                </w:p>
              </w:tc>
              <w:tc>
                <w:tcPr>
                  <w:tcW w:w="961" w:type="dxa"/>
                  <w:tcBorders>
                    <w:tl2br w:val="nil"/>
                    <w:tr2bl w:val="nil"/>
                  </w:tcBorders>
                  <w:vAlign w:val="center"/>
                </w:tcPr>
                <w:p w14:paraId="18ECBB7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8" w:type="dxa"/>
                  <w:gridSpan w:val="2"/>
                  <w:tcBorders>
                    <w:tl2br w:val="nil"/>
                    <w:tr2bl w:val="nil"/>
                  </w:tcBorders>
                  <w:vAlign w:val="center"/>
                </w:tcPr>
                <w:p w14:paraId="4CDFB1F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8" w:type="dxa"/>
                  <w:tcBorders>
                    <w:tl2br w:val="nil"/>
                    <w:tr2bl w:val="nil"/>
                  </w:tcBorders>
                  <w:vAlign w:val="center"/>
                </w:tcPr>
                <w:p w14:paraId="3CBB61B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7BA0958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5A95330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28D3B5C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75CDCCD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1F685B34">
                  <w:pPr>
                    <w:pStyle w:val="99"/>
                    <w:autoSpaceDE/>
                    <w:autoSpaceDN/>
                    <w:jc w:val="center"/>
                    <w:rPr>
                      <w:rFonts w:hint="eastAsia"/>
                      <w:color w:val="auto"/>
                      <w:sz w:val="21"/>
                      <w:szCs w:val="21"/>
                    </w:rPr>
                  </w:pPr>
                  <w:r>
                    <w:rPr>
                      <w:rFonts w:hint="eastAsia"/>
                      <w:color w:val="auto"/>
                      <w:sz w:val="21"/>
                      <w:szCs w:val="21"/>
                    </w:rPr>
                    <w:t>苯</w:t>
                  </w:r>
                </w:p>
              </w:tc>
              <w:tc>
                <w:tcPr>
                  <w:tcW w:w="961" w:type="dxa"/>
                  <w:tcBorders>
                    <w:tl2br w:val="nil"/>
                    <w:tr2bl w:val="nil"/>
                  </w:tcBorders>
                  <w:vAlign w:val="center"/>
                </w:tcPr>
                <w:p w14:paraId="017F926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6.1</w:t>
                  </w:r>
                </w:p>
              </w:tc>
              <w:tc>
                <w:tcPr>
                  <w:tcW w:w="978" w:type="dxa"/>
                  <w:gridSpan w:val="2"/>
                  <w:tcBorders>
                    <w:tl2br w:val="nil"/>
                    <w:tr2bl w:val="nil"/>
                  </w:tcBorders>
                  <w:vAlign w:val="center"/>
                </w:tcPr>
                <w:p w14:paraId="161FB82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5.4</w:t>
                  </w:r>
                </w:p>
              </w:tc>
              <w:tc>
                <w:tcPr>
                  <w:tcW w:w="968" w:type="dxa"/>
                  <w:tcBorders>
                    <w:tl2br w:val="nil"/>
                    <w:tr2bl w:val="nil"/>
                  </w:tcBorders>
                  <w:vAlign w:val="center"/>
                </w:tcPr>
                <w:p w14:paraId="59E8A85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7.1</w:t>
                  </w:r>
                </w:p>
              </w:tc>
              <w:tc>
                <w:tcPr>
                  <w:tcW w:w="969" w:type="dxa"/>
                  <w:gridSpan w:val="2"/>
                  <w:tcBorders>
                    <w:tl2br w:val="nil"/>
                    <w:tr2bl w:val="nil"/>
                  </w:tcBorders>
                  <w:vAlign w:val="center"/>
                </w:tcPr>
                <w:p w14:paraId="4D8F778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0.7</w:t>
                  </w:r>
                </w:p>
              </w:tc>
              <w:tc>
                <w:tcPr>
                  <w:tcW w:w="969" w:type="dxa"/>
                  <w:gridSpan w:val="2"/>
                  <w:tcBorders>
                    <w:tl2br w:val="nil"/>
                    <w:tr2bl w:val="nil"/>
                  </w:tcBorders>
                  <w:vAlign w:val="center"/>
                </w:tcPr>
                <w:p w14:paraId="13E9245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72244DE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6.4</w:t>
                  </w:r>
                </w:p>
              </w:tc>
            </w:tr>
            <w:tr w14:paraId="2E5FE04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73385534">
                  <w:pPr>
                    <w:pStyle w:val="99"/>
                    <w:autoSpaceDE/>
                    <w:autoSpaceDN/>
                    <w:jc w:val="center"/>
                    <w:rPr>
                      <w:rFonts w:hint="eastAsia"/>
                      <w:color w:val="auto"/>
                      <w:sz w:val="21"/>
                      <w:szCs w:val="21"/>
                    </w:rPr>
                  </w:pPr>
                  <w:r>
                    <w:rPr>
                      <w:rFonts w:hint="eastAsia"/>
                      <w:color w:val="auto"/>
                      <w:spacing w:val="-2"/>
                      <w:sz w:val="21"/>
                      <w:szCs w:val="21"/>
                    </w:rPr>
                    <w:t>三氯乙烯</w:t>
                  </w:r>
                </w:p>
              </w:tc>
              <w:tc>
                <w:tcPr>
                  <w:tcW w:w="961" w:type="dxa"/>
                  <w:tcBorders>
                    <w:tl2br w:val="nil"/>
                    <w:tr2bl w:val="nil"/>
                  </w:tcBorders>
                  <w:vAlign w:val="center"/>
                </w:tcPr>
                <w:p w14:paraId="5329AAE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4.8</w:t>
                  </w:r>
                </w:p>
              </w:tc>
              <w:tc>
                <w:tcPr>
                  <w:tcW w:w="978" w:type="dxa"/>
                  <w:gridSpan w:val="2"/>
                  <w:tcBorders>
                    <w:tl2br w:val="nil"/>
                    <w:tr2bl w:val="nil"/>
                  </w:tcBorders>
                  <w:vAlign w:val="center"/>
                </w:tcPr>
                <w:p w14:paraId="008DE88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4.1</w:t>
                  </w:r>
                </w:p>
              </w:tc>
              <w:tc>
                <w:tcPr>
                  <w:tcW w:w="968" w:type="dxa"/>
                  <w:tcBorders>
                    <w:tl2br w:val="nil"/>
                    <w:tr2bl w:val="nil"/>
                  </w:tcBorders>
                  <w:vAlign w:val="center"/>
                </w:tcPr>
                <w:p w14:paraId="5F1EA55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6.2</w:t>
                  </w:r>
                </w:p>
              </w:tc>
              <w:tc>
                <w:tcPr>
                  <w:tcW w:w="969" w:type="dxa"/>
                  <w:gridSpan w:val="2"/>
                  <w:tcBorders>
                    <w:tl2br w:val="nil"/>
                    <w:tr2bl w:val="nil"/>
                  </w:tcBorders>
                  <w:vAlign w:val="center"/>
                </w:tcPr>
                <w:p w14:paraId="35B9BEB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2.2</w:t>
                  </w:r>
                </w:p>
              </w:tc>
              <w:tc>
                <w:tcPr>
                  <w:tcW w:w="969" w:type="dxa"/>
                  <w:gridSpan w:val="2"/>
                  <w:tcBorders>
                    <w:tl2br w:val="nil"/>
                    <w:tr2bl w:val="nil"/>
                  </w:tcBorders>
                  <w:vAlign w:val="center"/>
                </w:tcPr>
                <w:p w14:paraId="31D65C0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sz w:val="21"/>
                      <w:szCs w:val="21"/>
                    </w:rPr>
                    <w:t>1.4</w:t>
                  </w:r>
                </w:p>
              </w:tc>
              <w:tc>
                <w:tcPr>
                  <w:tcW w:w="973" w:type="dxa"/>
                  <w:gridSpan w:val="2"/>
                  <w:tcBorders>
                    <w:tl2br w:val="nil"/>
                    <w:tr2bl w:val="nil"/>
                  </w:tcBorders>
                  <w:vAlign w:val="center"/>
                </w:tcPr>
                <w:p w14:paraId="07965C4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7.0</w:t>
                  </w:r>
                </w:p>
              </w:tc>
            </w:tr>
            <w:tr w14:paraId="521B81B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2F2C93C9">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lang w:eastAsia="zh-CN"/>
                    </w:rPr>
                    <w:t>2</w:t>
                  </w:r>
                  <w:r>
                    <w:rPr>
                      <w:rFonts w:hint="eastAsia"/>
                      <w:color w:val="auto"/>
                      <w:spacing w:val="1"/>
                      <w:sz w:val="21"/>
                      <w:szCs w:val="21"/>
                    </w:rPr>
                    <w:t>-二氯丙烷</w:t>
                  </w:r>
                </w:p>
              </w:tc>
              <w:tc>
                <w:tcPr>
                  <w:tcW w:w="961" w:type="dxa"/>
                  <w:tcBorders>
                    <w:tl2br w:val="nil"/>
                    <w:tr2bl w:val="nil"/>
                  </w:tcBorders>
                  <w:vAlign w:val="center"/>
                </w:tcPr>
                <w:p w14:paraId="5C2E472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8" w:type="dxa"/>
                  <w:gridSpan w:val="2"/>
                  <w:tcBorders>
                    <w:tl2br w:val="nil"/>
                    <w:tr2bl w:val="nil"/>
                  </w:tcBorders>
                  <w:vAlign w:val="center"/>
                </w:tcPr>
                <w:p w14:paraId="766BB74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8" w:type="dxa"/>
                  <w:tcBorders>
                    <w:tl2br w:val="nil"/>
                    <w:tr2bl w:val="nil"/>
                  </w:tcBorders>
                  <w:vAlign w:val="center"/>
                </w:tcPr>
                <w:p w14:paraId="1D62BCB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6FED980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08EF556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60AC6E9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0EA4987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044BB0FC">
                  <w:pPr>
                    <w:pStyle w:val="99"/>
                    <w:autoSpaceDE/>
                    <w:autoSpaceDN/>
                    <w:jc w:val="center"/>
                    <w:rPr>
                      <w:rFonts w:hint="eastAsia"/>
                      <w:color w:val="auto"/>
                      <w:sz w:val="21"/>
                      <w:szCs w:val="21"/>
                    </w:rPr>
                  </w:pPr>
                  <w:r>
                    <w:rPr>
                      <w:rFonts w:hint="eastAsia"/>
                      <w:color w:val="auto"/>
                      <w:spacing w:val="-1"/>
                      <w:sz w:val="21"/>
                      <w:szCs w:val="21"/>
                    </w:rPr>
                    <w:t>顺式-</w:t>
                  </w:r>
                  <w:r>
                    <w:rPr>
                      <w:rFonts w:ascii="Times New Roman" w:hAnsi="Times New Roman" w:cs="Times New Roman"/>
                      <w:color w:val="auto"/>
                      <w:sz w:val="21"/>
                      <w:szCs w:val="21"/>
                    </w:rPr>
                    <w:t>1</w:t>
                  </w:r>
                  <w:r>
                    <w:rPr>
                      <w:rFonts w:hint="eastAsia"/>
                      <w:color w:val="auto"/>
                      <w:sz w:val="21"/>
                      <w:szCs w:val="21"/>
                    </w:rPr>
                    <w:t>,</w:t>
                  </w:r>
                  <w:r>
                    <w:rPr>
                      <w:rFonts w:hint="eastAsia" w:ascii="Times New Roman" w:hAnsi="Times New Roman" w:cs="Times New Roman"/>
                      <w:color w:val="auto"/>
                      <w:sz w:val="21"/>
                      <w:szCs w:val="21"/>
                      <w:lang w:eastAsia="zh-CN"/>
                    </w:rPr>
                    <w:t>3</w:t>
                  </w:r>
                  <w:r>
                    <w:rPr>
                      <w:rFonts w:hint="eastAsia"/>
                      <w:color w:val="auto"/>
                      <w:spacing w:val="-1"/>
                      <w:sz w:val="21"/>
                      <w:szCs w:val="21"/>
                    </w:rPr>
                    <w:t>-二氯丙烯</w:t>
                  </w:r>
                </w:p>
              </w:tc>
              <w:tc>
                <w:tcPr>
                  <w:tcW w:w="961" w:type="dxa"/>
                  <w:tcBorders>
                    <w:tl2br w:val="nil"/>
                    <w:tr2bl w:val="nil"/>
                  </w:tcBorders>
                  <w:vAlign w:val="center"/>
                </w:tcPr>
                <w:p w14:paraId="66D157C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8" w:type="dxa"/>
                  <w:gridSpan w:val="2"/>
                  <w:tcBorders>
                    <w:tl2br w:val="nil"/>
                    <w:tr2bl w:val="nil"/>
                  </w:tcBorders>
                  <w:vAlign w:val="center"/>
                </w:tcPr>
                <w:p w14:paraId="08229D1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2.4</w:t>
                  </w:r>
                </w:p>
              </w:tc>
              <w:tc>
                <w:tcPr>
                  <w:tcW w:w="968" w:type="dxa"/>
                  <w:tcBorders>
                    <w:tl2br w:val="nil"/>
                    <w:tr2bl w:val="nil"/>
                  </w:tcBorders>
                  <w:vAlign w:val="center"/>
                </w:tcPr>
                <w:p w14:paraId="32F1E6C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3.5</w:t>
                  </w:r>
                </w:p>
              </w:tc>
              <w:tc>
                <w:tcPr>
                  <w:tcW w:w="969" w:type="dxa"/>
                  <w:gridSpan w:val="2"/>
                  <w:tcBorders>
                    <w:tl2br w:val="nil"/>
                    <w:tr2bl w:val="nil"/>
                  </w:tcBorders>
                  <w:vAlign w:val="center"/>
                </w:tcPr>
                <w:p w14:paraId="052F558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03F20CB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sz w:val="21"/>
                      <w:szCs w:val="21"/>
                    </w:rPr>
                    <w:t>1.4</w:t>
                  </w:r>
                </w:p>
              </w:tc>
              <w:tc>
                <w:tcPr>
                  <w:tcW w:w="973" w:type="dxa"/>
                  <w:gridSpan w:val="2"/>
                  <w:tcBorders>
                    <w:tl2br w:val="nil"/>
                    <w:tr2bl w:val="nil"/>
                  </w:tcBorders>
                  <w:vAlign w:val="center"/>
                </w:tcPr>
                <w:p w14:paraId="77DDAF8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18C1E32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5B7A5BA8">
                  <w:pPr>
                    <w:pStyle w:val="99"/>
                    <w:autoSpaceDE/>
                    <w:autoSpaceDN/>
                    <w:jc w:val="center"/>
                    <w:rPr>
                      <w:rFonts w:hint="eastAsia"/>
                      <w:color w:val="auto"/>
                      <w:sz w:val="21"/>
                      <w:szCs w:val="21"/>
                    </w:rPr>
                  </w:pPr>
                  <w:r>
                    <w:rPr>
                      <w:rFonts w:hint="eastAsia"/>
                      <w:color w:val="auto"/>
                      <w:spacing w:val="4"/>
                      <w:sz w:val="21"/>
                      <w:szCs w:val="21"/>
                    </w:rPr>
                    <w:t>甲苯</w:t>
                  </w:r>
                </w:p>
              </w:tc>
              <w:tc>
                <w:tcPr>
                  <w:tcW w:w="961" w:type="dxa"/>
                  <w:tcBorders>
                    <w:tl2br w:val="nil"/>
                    <w:tr2bl w:val="nil"/>
                  </w:tcBorders>
                  <w:vAlign w:val="center"/>
                </w:tcPr>
                <w:p w14:paraId="001B25F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8" w:type="dxa"/>
                  <w:gridSpan w:val="2"/>
                  <w:tcBorders>
                    <w:tl2br w:val="nil"/>
                    <w:tr2bl w:val="nil"/>
                  </w:tcBorders>
                  <w:vAlign w:val="center"/>
                </w:tcPr>
                <w:p w14:paraId="2C8CE1E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8" w:type="dxa"/>
                  <w:tcBorders>
                    <w:tl2br w:val="nil"/>
                    <w:tr2bl w:val="nil"/>
                  </w:tcBorders>
                  <w:vAlign w:val="center"/>
                </w:tcPr>
                <w:p w14:paraId="33C24A7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9" w:type="dxa"/>
                  <w:gridSpan w:val="2"/>
                  <w:tcBorders>
                    <w:tl2br w:val="nil"/>
                    <w:tr2bl w:val="nil"/>
                  </w:tcBorders>
                  <w:vAlign w:val="center"/>
                </w:tcPr>
                <w:p w14:paraId="3FAF4AF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9" w:type="dxa"/>
                  <w:gridSpan w:val="2"/>
                  <w:tcBorders>
                    <w:tl2br w:val="nil"/>
                    <w:tr2bl w:val="nil"/>
                  </w:tcBorders>
                  <w:vAlign w:val="center"/>
                </w:tcPr>
                <w:p w14:paraId="42DAAA4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3" w:type="dxa"/>
                  <w:gridSpan w:val="2"/>
                  <w:tcBorders>
                    <w:tl2br w:val="nil"/>
                    <w:tr2bl w:val="nil"/>
                  </w:tcBorders>
                  <w:vAlign w:val="center"/>
                </w:tcPr>
                <w:p w14:paraId="59C2945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r>
            <w:tr w14:paraId="42F6B01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61348B03">
                  <w:pPr>
                    <w:pStyle w:val="99"/>
                    <w:autoSpaceDE/>
                    <w:autoSpaceDN/>
                    <w:jc w:val="center"/>
                    <w:rPr>
                      <w:rFonts w:hint="eastAsia"/>
                      <w:color w:val="auto"/>
                      <w:sz w:val="21"/>
                      <w:szCs w:val="21"/>
                    </w:rPr>
                  </w:pPr>
                  <w:r>
                    <w:rPr>
                      <w:rFonts w:hint="eastAsia"/>
                      <w:color w:val="auto"/>
                      <w:spacing w:val="-1"/>
                      <w:sz w:val="21"/>
                      <w:szCs w:val="21"/>
                    </w:rPr>
                    <w:t>反式-</w:t>
                  </w:r>
                  <w:r>
                    <w:rPr>
                      <w:rFonts w:ascii="Times New Roman" w:hAnsi="Times New Roman" w:cs="Times New Roman"/>
                      <w:color w:val="auto"/>
                      <w:sz w:val="21"/>
                      <w:szCs w:val="21"/>
                    </w:rPr>
                    <w:t>1</w:t>
                  </w:r>
                  <w:r>
                    <w:rPr>
                      <w:rFonts w:hint="eastAsia"/>
                      <w:color w:val="auto"/>
                      <w:sz w:val="21"/>
                      <w:szCs w:val="21"/>
                    </w:rPr>
                    <w:t>,</w:t>
                  </w:r>
                  <w:r>
                    <w:rPr>
                      <w:rFonts w:hint="eastAsia" w:ascii="Times New Roman" w:hAnsi="Times New Roman" w:cs="Times New Roman"/>
                      <w:color w:val="auto"/>
                      <w:sz w:val="21"/>
                      <w:szCs w:val="21"/>
                      <w:lang w:eastAsia="zh-CN"/>
                    </w:rPr>
                    <w:t>3</w:t>
                  </w:r>
                  <w:r>
                    <w:rPr>
                      <w:rFonts w:hint="eastAsia"/>
                      <w:color w:val="auto"/>
                      <w:spacing w:val="-1"/>
                      <w:sz w:val="21"/>
                      <w:szCs w:val="21"/>
                    </w:rPr>
                    <w:t>-二氯丙烯</w:t>
                  </w:r>
                </w:p>
              </w:tc>
              <w:tc>
                <w:tcPr>
                  <w:tcW w:w="961" w:type="dxa"/>
                  <w:tcBorders>
                    <w:tl2br w:val="nil"/>
                    <w:tr2bl w:val="nil"/>
                  </w:tcBorders>
                  <w:vAlign w:val="center"/>
                </w:tcPr>
                <w:p w14:paraId="37C5DA3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5"/>
                      <w:sz w:val="21"/>
                      <w:szCs w:val="21"/>
                    </w:rPr>
                    <w:t>15.2</w:t>
                  </w:r>
                </w:p>
              </w:tc>
              <w:tc>
                <w:tcPr>
                  <w:tcW w:w="978" w:type="dxa"/>
                  <w:gridSpan w:val="2"/>
                  <w:tcBorders>
                    <w:tl2br w:val="nil"/>
                    <w:tr2bl w:val="nil"/>
                  </w:tcBorders>
                  <w:vAlign w:val="center"/>
                </w:tcPr>
                <w:p w14:paraId="3C52426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39.7</w:t>
                  </w:r>
                </w:p>
              </w:tc>
              <w:tc>
                <w:tcPr>
                  <w:tcW w:w="968" w:type="dxa"/>
                  <w:tcBorders>
                    <w:tl2br w:val="nil"/>
                    <w:tr2bl w:val="nil"/>
                  </w:tcBorders>
                  <w:vAlign w:val="center"/>
                </w:tcPr>
                <w:p w14:paraId="3ACB61D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35.1</w:t>
                  </w:r>
                </w:p>
              </w:tc>
              <w:tc>
                <w:tcPr>
                  <w:tcW w:w="969" w:type="dxa"/>
                  <w:gridSpan w:val="2"/>
                  <w:tcBorders>
                    <w:tl2br w:val="nil"/>
                    <w:tr2bl w:val="nil"/>
                  </w:tcBorders>
                  <w:vAlign w:val="center"/>
                </w:tcPr>
                <w:p w14:paraId="2775FDFB">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749D3D7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21.3</w:t>
                  </w:r>
                </w:p>
              </w:tc>
              <w:tc>
                <w:tcPr>
                  <w:tcW w:w="973" w:type="dxa"/>
                  <w:gridSpan w:val="2"/>
                  <w:tcBorders>
                    <w:tl2br w:val="nil"/>
                    <w:tr2bl w:val="nil"/>
                  </w:tcBorders>
                  <w:vAlign w:val="center"/>
                </w:tcPr>
                <w:p w14:paraId="4F4C737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61CAFD4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0CCD3E1E">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2</w:t>
                  </w:r>
                  <w:r>
                    <w:rPr>
                      <w:rFonts w:hint="eastAsia"/>
                      <w:color w:val="auto"/>
                      <w:sz w:val="21"/>
                      <w:szCs w:val="21"/>
                    </w:rPr>
                    <w:t>-三氯乙烷</w:t>
                  </w:r>
                </w:p>
              </w:tc>
              <w:tc>
                <w:tcPr>
                  <w:tcW w:w="961" w:type="dxa"/>
                  <w:tcBorders>
                    <w:tl2br w:val="nil"/>
                    <w:tr2bl w:val="nil"/>
                  </w:tcBorders>
                  <w:vAlign w:val="center"/>
                </w:tcPr>
                <w:p w14:paraId="38D4B26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8" w:type="dxa"/>
                  <w:gridSpan w:val="2"/>
                  <w:tcBorders>
                    <w:tl2br w:val="nil"/>
                    <w:tr2bl w:val="nil"/>
                  </w:tcBorders>
                  <w:vAlign w:val="center"/>
                </w:tcPr>
                <w:p w14:paraId="52CC16E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8" w:type="dxa"/>
                  <w:tcBorders>
                    <w:tl2br w:val="nil"/>
                    <w:tr2bl w:val="nil"/>
                  </w:tcBorders>
                  <w:vAlign w:val="center"/>
                </w:tcPr>
                <w:p w14:paraId="7A9718F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11A6C54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45EA278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42FC3D5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688BD27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4362E36F">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1</w:t>
                  </w:r>
                  <w:r>
                    <w:rPr>
                      <w:rFonts w:hint="eastAsia"/>
                      <w:color w:val="auto"/>
                      <w:spacing w:val="1"/>
                      <w:sz w:val="21"/>
                      <w:szCs w:val="21"/>
                    </w:rPr>
                    <w:t>-二氯乙烯</w:t>
                  </w:r>
                </w:p>
              </w:tc>
              <w:tc>
                <w:tcPr>
                  <w:tcW w:w="961" w:type="dxa"/>
                  <w:tcBorders>
                    <w:tl2br w:val="nil"/>
                    <w:tr2bl w:val="nil"/>
                  </w:tcBorders>
                  <w:vAlign w:val="center"/>
                </w:tcPr>
                <w:p w14:paraId="43BBE8F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sz w:val="21"/>
                      <w:szCs w:val="21"/>
                    </w:rPr>
                    <w:t>1.0</w:t>
                  </w:r>
                </w:p>
              </w:tc>
              <w:tc>
                <w:tcPr>
                  <w:tcW w:w="978" w:type="dxa"/>
                  <w:gridSpan w:val="2"/>
                  <w:tcBorders>
                    <w:tl2br w:val="nil"/>
                    <w:tr2bl w:val="nil"/>
                  </w:tcBorders>
                  <w:vAlign w:val="center"/>
                </w:tcPr>
                <w:p w14:paraId="1AE5758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6.5</w:t>
                  </w:r>
                </w:p>
              </w:tc>
              <w:tc>
                <w:tcPr>
                  <w:tcW w:w="968" w:type="dxa"/>
                  <w:tcBorders>
                    <w:tl2br w:val="nil"/>
                    <w:tr2bl w:val="nil"/>
                  </w:tcBorders>
                  <w:vAlign w:val="center"/>
                </w:tcPr>
                <w:p w14:paraId="6FDA39B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21E52FD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70694FC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13275F9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7E46236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5716F80D">
                  <w:pPr>
                    <w:pStyle w:val="99"/>
                    <w:autoSpaceDE/>
                    <w:autoSpaceDN/>
                    <w:jc w:val="center"/>
                    <w:rPr>
                      <w:rFonts w:hint="eastAsia"/>
                      <w:color w:val="auto"/>
                      <w:sz w:val="21"/>
                      <w:szCs w:val="21"/>
                    </w:rPr>
                  </w:pPr>
                  <w:r>
                    <w:rPr>
                      <w:rFonts w:hint="eastAsia"/>
                      <w:color w:val="auto"/>
                      <w:spacing w:val="2"/>
                      <w:sz w:val="21"/>
                      <w:szCs w:val="21"/>
                    </w:rPr>
                    <w:t>四氯乙烯</w:t>
                  </w:r>
                </w:p>
              </w:tc>
              <w:tc>
                <w:tcPr>
                  <w:tcW w:w="961" w:type="dxa"/>
                  <w:tcBorders>
                    <w:tl2br w:val="nil"/>
                    <w:tr2bl w:val="nil"/>
                  </w:tcBorders>
                  <w:vAlign w:val="center"/>
                </w:tcPr>
                <w:p w14:paraId="2736E11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571</w:t>
                  </w:r>
                </w:p>
              </w:tc>
              <w:tc>
                <w:tcPr>
                  <w:tcW w:w="978" w:type="dxa"/>
                  <w:gridSpan w:val="2"/>
                  <w:tcBorders>
                    <w:tl2br w:val="nil"/>
                    <w:tr2bl w:val="nil"/>
                  </w:tcBorders>
                  <w:vAlign w:val="center"/>
                </w:tcPr>
                <w:p w14:paraId="7F66FFE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952</w:t>
                  </w:r>
                </w:p>
              </w:tc>
              <w:tc>
                <w:tcPr>
                  <w:tcW w:w="968" w:type="dxa"/>
                  <w:tcBorders>
                    <w:tl2br w:val="nil"/>
                    <w:tr2bl w:val="nil"/>
                  </w:tcBorders>
                  <w:vAlign w:val="center"/>
                </w:tcPr>
                <w:p w14:paraId="2D754AF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655</w:t>
                  </w:r>
                </w:p>
              </w:tc>
              <w:tc>
                <w:tcPr>
                  <w:tcW w:w="969" w:type="dxa"/>
                  <w:gridSpan w:val="2"/>
                  <w:tcBorders>
                    <w:tl2br w:val="nil"/>
                    <w:tr2bl w:val="nil"/>
                  </w:tcBorders>
                  <w:vAlign w:val="center"/>
                </w:tcPr>
                <w:p w14:paraId="07C9C92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293</w:t>
                  </w:r>
                </w:p>
              </w:tc>
              <w:tc>
                <w:tcPr>
                  <w:tcW w:w="969" w:type="dxa"/>
                  <w:gridSpan w:val="2"/>
                  <w:tcBorders>
                    <w:tl2br w:val="nil"/>
                    <w:tr2bl w:val="nil"/>
                  </w:tcBorders>
                  <w:vAlign w:val="center"/>
                </w:tcPr>
                <w:p w14:paraId="6337052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229</w:t>
                  </w:r>
                </w:p>
              </w:tc>
              <w:tc>
                <w:tcPr>
                  <w:tcW w:w="973" w:type="dxa"/>
                  <w:gridSpan w:val="2"/>
                  <w:tcBorders>
                    <w:tl2br w:val="nil"/>
                    <w:tr2bl w:val="nil"/>
                  </w:tcBorders>
                  <w:vAlign w:val="center"/>
                </w:tcPr>
                <w:p w14:paraId="50CDB28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233</w:t>
                  </w:r>
                </w:p>
              </w:tc>
            </w:tr>
            <w:tr w14:paraId="4643A23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63C9221F">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2</w:t>
                  </w:r>
                  <w:r>
                    <w:rPr>
                      <w:rFonts w:hint="eastAsia"/>
                      <w:color w:val="auto"/>
                      <w:spacing w:val="1"/>
                      <w:sz w:val="21"/>
                      <w:szCs w:val="21"/>
                    </w:rPr>
                    <w:t>-二溴乙烷</w:t>
                  </w:r>
                </w:p>
              </w:tc>
              <w:tc>
                <w:tcPr>
                  <w:tcW w:w="961" w:type="dxa"/>
                  <w:tcBorders>
                    <w:tl2br w:val="nil"/>
                    <w:tr2bl w:val="nil"/>
                  </w:tcBorders>
                  <w:vAlign w:val="center"/>
                </w:tcPr>
                <w:p w14:paraId="362EFB4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8" w:type="dxa"/>
                  <w:gridSpan w:val="2"/>
                  <w:tcBorders>
                    <w:tl2br w:val="nil"/>
                    <w:tr2bl w:val="nil"/>
                  </w:tcBorders>
                  <w:vAlign w:val="center"/>
                </w:tcPr>
                <w:p w14:paraId="436A512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8" w:type="dxa"/>
                  <w:tcBorders>
                    <w:tl2br w:val="nil"/>
                    <w:tr2bl w:val="nil"/>
                  </w:tcBorders>
                  <w:vAlign w:val="center"/>
                </w:tcPr>
                <w:p w14:paraId="60B7D26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0710A59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24ACA33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0DFD376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6FF008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2BB3077A">
                  <w:pPr>
                    <w:pStyle w:val="99"/>
                    <w:autoSpaceDE/>
                    <w:autoSpaceDN/>
                    <w:jc w:val="center"/>
                    <w:rPr>
                      <w:rFonts w:hint="eastAsia"/>
                      <w:color w:val="auto"/>
                      <w:sz w:val="21"/>
                      <w:szCs w:val="21"/>
                    </w:rPr>
                  </w:pPr>
                  <w:r>
                    <w:rPr>
                      <w:rFonts w:hint="eastAsia"/>
                      <w:color w:val="auto"/>
                      <w:spacing w:val="4"/>
                      <w:sz w:val="21"/>
                      <w:szCs w:val="21"/>
                    </w:rPr>
                    <w:t>氯苯</w:t>
                  </w:r>
                </w:p>
              </w:tc>
              <w:tc>
                <w:tcPr>
                  <w:tcW w:w="961" w:type="dxa"/>
                  <w:tcBorders>
                    <w:tl2br w:val="nil"/>
                    <w:tr2bl w:val="nil"/>
                  </w:tcBorders>
                  <w:vAlign w:val="center"/>
                </w:tcPr>
                <w:p w14:paraId="0E32919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8" w:type="dxa"/>
                  <w:gridSpan w:val="2"/>
                  <w:tcBorders>
                    <w:tl2br w:val="nil"/>
                    <w:tr2bl w:val="nil"/>
                  </w:tcBorders>
                  <w:vAlign w:val="center"/>
                </w:tcPr>
                <w:p w14:paraId="4507FF2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8" w:type="dxa"/>
                  <w:tcBorders>
                    <w:tl2br w:val="nil"/>
                    <w:tr2bl w:val="nil"/>
                  </w:tcBorders>
                  <w:vAlign w:val="center"/>
                </w:tcPr>
                <w:p w14:paraId="5ED48F4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9" w:type="dxa"/>
                  <w:gridSpan w:val="2"/>
                  <w:tcBorders>
                    <w:tl2br w:val="nil"/>
                    <w:tr2bl w:val="nil"/>
                  </w:tcBorders>
                  <w:vAlign w:val="center"/>
                </w:tcPr>
                <w:p w14:paraId="1B8A5AC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9" w:type="dxa"/>
                  <w:gridSpan w:val="2"/>
                  <w:tcBorders>
                    <w:tl2br w:val="nil"/>
                    <w:tr2bl w:val="nil"/>
                  </w:tcBorders>
                  <w:vAlign w:val="center"/>
                </w:tcPr>
                <w:p w14:paraId="25C9946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3" w:type="dxa"/>
                  <w:gridSpan w:val="2"/>
                  <w:tcBorders>
                    <w:tl2br w:val="nil"/>
                    <w:tr2bl w:val="nil"/>
                  </w:tcBorders>
                  <w:vAlign w:val="center"/>
                </w:tcPr>
                <w:p w14:paraId="414E326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r>
            <w:tr w14:paraId="0FFCE53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667F7511">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2</w:t>
                  </w:r>
                  <w:r>
                    <w:rPr>
                      <w:rFonts w:hint="eastAsia"/>
                      <w:color w:val="auto"/>
                      <w:sz w:val="21"/>
                      <w:szCs w:val="21"/>
                    </w:rPr>
                    <w:t>,</w:t>
                  </w:r>
                  <w:r>
                    <w:rPr>
                      <w:rFonts w:ascii="Times New Roman" w:hAnsi="Times New Roman" w:cs="Times New Roman"/>
                      <w:color w:val="auto"/>
                      <w:sz w:val="21"/>
                      <w:szCs w:val="21"/>
                      <w:lang w:eastAsia="zh-CN"/>
                    </w:rPr>
                    <w:t>2</w:t>
                  </w:r>
                  <w:r>
                    <w:rPr>
                      <w:rFonts w:hint="eastAsia"/>
                      <w:color w:val="auto"/>
                      <w:sz w:val="21"/>
                      <w:szCs w:val="21"/>
                    </w:rPr>
                    <w:t>-四氯乙烷</w:t>
                  </w:r>
                </w:p>
              </w:tc>
              <w:tc>
                <w:tcPr>
                  <w:tcW w:w="961" w:type="dxa"/>
                  <w:tcBorders>
                    <w:tl2br w:val="nil"/>
                    <w:tr2bl w:val="nil"/>
                  </w:tcBorders>
                  <w:vAlign w:val="center"/>
                </w:tcPr>
                <w:p w14:paraId="42BAED9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sz w:val="21"/>
                      <w:szCs w:val="21"/>
                    </w:rPr>
                    <w:t>1.3</w:t>
                  </w:r>
                </w:p>
              </w:tc>
              <w:tc>
                <w:tcPr>
                  <w:tcW w:w="978" w:type="dxa"/>
                  <w:gridSpan w:val="2"/>
                  <w:tcBorders>
                    <w:tl2br w:val="nil"/>
                    <w:tr2bl w:val="nil"/>
                  </w:tcBorders>
                  <w:vAlign w:val="center"/>
                </w:tcPr>
                <w:p w14:paraId="183A4AB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5"/>
                      <w:sz w:val="21"/>
                      <w:szCs w:val="21"/>
                    </w:rPr>
                    <w:t>10.0</w:t>
                  </w:r>
                </w:p>
              </w:tc>
              <w:tc>
                <w:tcPr>
                  <w:tcW w:w="968" w:type="dxa"/>
                  <w:tcBorders>
                    <w:tl2br w:val="nil"/>
                    <w:tr2bl w:val="nil"/>
                  </w:tcBorders>
                  <w:vAlign w:val="center"/>
                </w:tcPr>
                <w:p w14:paraId="0F52496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6.4</w:t>
                  </w:r>
                </w:p>
              </w:tc>
              <w:tc>
                <w:tcPr>
                  <w:tcW w:w="969" w:type="dxa"/>
                  <w:gridSpan w:val="2"/>
                  <w:tcBorders>
                    <w:tl2br w:val="nil"/>
                    <w:tr2bl w:val="nil"/>
                  </w:tcBorders>
                  <w:vAlign w:val="center"/>
                </w:tcPr>
                <w:p w14:paraId="62D6708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57A78D6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51E9C37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7C7E8BE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73F2CDF7">
                  <w:pPr>
                    <w:pStyle w:val="99"/>
                    <w:autoSpaceDE/>
                    <w:autoSpaceDN/>
                    <w:jc w:val="center"/>
                    <w:rPr>
                      <w:rFonts w:hint="eastAsia"/>
                      <w:color w:val="auto"/>
                      <w:sz w:val="21"/>
                      <w:szCs w:val="21"/>
                    </w:rPr>
                  </w:pPr>
                  <w:r>
                    <w:rPr>
                      <w:rFonts w:hint="eastAsia"/>
                      <w:color w:val="auto"/>
                      <w:spacing w:val="4"/>
                      <w:sz w:val="21"/>
                      <w:szCs w:val="21"/>
                    </w:rPr>
                    <w:t>乙苯</w:t>
                  </w:r>
                </w:p>
              </w:tc>
              <w:tc>
                <w:tcPr>
                  <w:tcW w:w="961" w:type="dxa"/>
                  <w:tcBorders>
                    <w:tl2br w:val="nil"/>
                    <w:tr2bl w:val="nil"/>
                  </w:tcBorders>
                  <w:vAlign w:val="center"/>
                </w:tcPr>
                <w:p w14:paraId="44D46C2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sz w:val="21"/>
                      <w:szCs w:val="21"/>
                    </w:rPr>
                    <w:t>1.6</w:t>
                  </w:r>
                </w:p>
              </w:tc>
              <w:tc>
                <w:tcPr>
                  <w:tcW w:w="978" w:type="dxa"/>
                  <w:gridSpan w:val="2"/>
                  <w:tcBorders>
                    <w:tl2br w:val="nil"/>
                    <w:tr2bl w:val="nil"/>
                  </w:tcBorders>
                  <w:vAlign w:val="center"/>
                </w:tcPr>
                <w:p w14:paraId="2445CB8B">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5"/>
                      <w:sz w:val="21"/>
                      <w:szCs w:val="21"/>
                    </w:rPr>
                    <w:t>10.3</w:t>
                  </w:r>
                </w:p>
              </w:tc>
              <w:tc>
                <w:tcPr>
                  <w:tcW w:w="968" w:type="dxa"/>
                  <w:tcBorders>
                    <w:tl2br w:val="nil"/>
                    <w:tr2bl w:val="nil"/>
                  </w:tcBorders>
                  <w:vAlign w:val="center"/>
                </w:tcPr>
                <w:p w14:paraId="249E4FE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6.7</w:t>
                  </w:r>
                </w:p>
              </w:tc>
              <w:tc>
                <w:tcPr>
                  <w:tcW w:w="969" w:type="dxa"/>
                  <w:gridSpan w:val="2"/>
                  <w:tcBorders>
                    <w:tl2br w:val="nil"/>
                    <w:tr2bl w:val="nil"/>
                  </w:tcBorders>
                  <w:vAlign w:val="center"/>
                </w:tcPr>
                <w:p w14:paraId="686BA0B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0402545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686B6E9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2EA87D1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1DC99F65">
                  <w:pPr>
                    <w:pStyle w:val="99"/>
                    <w:autoSpaceDE/>
                    <w:autoSpaceDN/>
                    <w:jc w:val="center"/>
                    <w:rPr>
                      <w:rFonts w:hint="eastAsia"/>
                      <w:color w:val="auto"/>
                      <w:sz w:val="21"/>
                      <w:szCs w:val="21"/>
                    </w:rPr>
                  </w:pPr>
                  <w:r>
                    <w:rPr>
                      <w:rFonts w:hint="eastAsia"/>
                      <w:color w:val="auto"/>
                      <w:spacing w:val="1"/>
                      <w:sz w:val="21"/>
                      <w:szCs w:val="21"/>
                    </w:rPr>
                    <w:t>间，对-二甲苯</w:t>
                  </w:r>
                </w:p>
              </w:tc>
              <w:tc>
                <w:tcPr>
                  <w:tcW w:w="961" w:type="dxa"/>
                  <w:tcBorders>
                    <w:tl2br w:val="nil"/>
                    <w:tr2bl w:val="nil"/>
                  </w:tcBorders>
                  <w:vAlign w:val="center"/>
                </w:tcPr>
                <w:p w14:paraId="5AF4990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sz w:val="21"/>
                      <w:szCs w:val="21"/>
                    </w:rPr>
                    <w:t>1.9</w:t>
                  </w:r>
                </w:p>
              </w:tc>
              <w:tc>
                <w:tcPr>
                  <w:tcW w:w="978" w:type="dxa"/>
                  <w:gridSpan w:val="2"/>
                  <w:tcBorders>
                    <w:tl2br w:val="nil"/>
                    <w:tr2bl w:val="nil"/>
                  </w:tcBorders>
                  <w:vAlign w:val="center"/>
                </w:tcPr>
                <w:p w14:paraId="749F188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7.3</w:t>
                  </w:r>
                </w:p>
              </w:tc>
              <w:tc>
                <w:tcPr>
                  <w:tcW w:w="968" w:type="dxa"/>
                  <w:tcBorders>
                    <w:tl2br w:val="nil"/>
                    <w:tr2bl w:val="nil"/>
                  </w:tcBorders>
                  <w:vAlign w:val="center"/>
                </w:tcPr>
                <w:p w14:paraId="167DBADB">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4.2</w:t>
                  </w:r>
                </w:p>
              </w:tc>
              <w:tc>
                <w:tcPr>
                  <w:tcW w:w="969" w:type="dxa"/>
                  <w:gridSpan w:val="2"/>
                  <w:tcBorders>
                    <w:tl2br w:val="nil"/>
                    <w:tr2bl w:val="nil"/>
                  </w:tcBorders>
                  <w:vAlign w:val="center"/>
                </w:tcPr>
                <w:p w14:paraId="7076311B">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0146D8F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15FD3A0B">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423F4D7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10D35FBE">
                  <w:pPr>
                    <w:pStyle w:val="99"/>
                    <w:autoSpaceDE/>
                    <w:autoSpaceDN/>
                    <w:jc w:val="center"/>
                    <w:rPr>
                      <w:rFonts w:hint="eastAsia"/>
                      <w:color w:val="auto"/>
                      <w:sz w:val="21"/>
                      <w:szCs w:val="21"/>
                    </w:rPr>
                  </w:pPr>
                  <w:r>
                    <w:rPr>
                      <w:rFonts w:hint="eastAsia"/>
                      <w:color w:val="auto"/>
                      <w:spacing w:val="-2"/>
                      <w:sz w:val="21"/>
                      <w:szCs w:val="21"/>
                    </w:rPr>
                    <w:t>邻-二甲苯</w:t>
                  </w:r>
                </w:p>
              </w:tc>
              <w:tc>
                <w:tcPr>
                  <w:tcW w:w="961" w:type="dxa"/>
                  <w:tcBorders>
                    <w:tl2br w:val="nil"/>
                    <w:tr2bl w:val="nil"/>
                  </w:tcBorders>
                  <w:vAlign w:val="center"/>
                </w:tcPr>
                <w:p w14:paraId="180CB45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8" w:type="dxa"/>
                  <w:gridSpan w:val="2"/>
                  <w:tcBorders>
                    <w:tl2br w:val="nil"/>
                    <w:tr2bl w:val="nil"/>
                  </w:tcBorders>
                  <w:vAlign w:val="center"/>
                </w:tcPr>
                <w:p w14:paraId="3A6EFAD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8" w:type="dxa"/>
                  <w:tcBorders>
                    <w:tl2br w:val="nil"/>
                    <w:tr2bl w:val="nil"/>
                  </w:tcBorders>
                  <w:vAlign w:val="center"/>
                </w:tcPr>
                <w:p w14:paraId="4E99865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72C2DE2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38D0E99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419D151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7E6F9B1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118C22A8">
                  <w:pPr>
                    <w:pStyle w:val="99"/>
                    <w:autoSpaceDE/>
                    <w:autoSpaceDN/>
                    <w:jc w:val="center"/>
                    <w:rPr>
                      <w:rFonts w:hint="eastAsia"/>
                      <w:color w:val="auto"/>
                      <w:sz w:val="21"/>
                      <w:szCs w:val="21"/>
                    </w:rPr>
                  </w:pPr>
                  <w:r>
                    <w:rPr>
                      <w:rFonts w:hint="eastAsia"/>
                      <w:color w:val="auto"/>
                      <w:spacing w:val="-3"/>
                      <w:sz w:val="21"/>
                      <w:szCs w:val="21"/>
                    </w:rPr>
                    <w:t>苯乙烯</w:t>
                  </w:r>
                </w:p>
              </w:tc>
              <w:tc>
                <w:tcPr>
                  <w:tcW w:w="961" w:type="dxa"/>
                  <w:tcBorders>
                    <w:tl2br w:val="nil"/>
                    <w:tr2bl w:val="nil"/>
                  </w:tcBorders>
                  <w:vAlign w:val="center"/>
                </w:tcPr>
                <w:p w14:paraId="481A38A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8" w:type="dxa"/>
                  <w:gridSpan w:val="2"/>
                  <w:tcBorders>
                    <w:tl2br w:val="nil"/>
                    <w:tr2bl w:val="nil"/>
                  </w:tcBorders>
                  <w:vAlign w:val="center"/>
                </w:tcPr>
                <w:p w14:paraId="30FB822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8" w:type="dxa"/>
                  <w:tcBorders>
                    <w:tl2br w:val="nil"/>
                    <w:tr2bl w:val="nil"/>
                  </w:tcBorders>
                  <w:vAlign w:val="center"/>
                </w:tcPr>
                <w:p w14:paraId="3BBC1FA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3B181B1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26D3589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14FB0EB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5251BB8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1A9D34FF">
                  <w:pPr>
                    <w:pStyle w:val="99"/>
                    <w:autoSpaceDE/>
                    <w:autoSpaceDN/>
                    <w:jc w:val="center"/>
                    <w:rPr>
                      <w:rFonts w:hint="eastAsia"/>
                      <w:color w:val="auto"/>
                      <w:sz w:val="21"/>
                      <w:szCs w:val="21"/>
                    </w:rPr>
                  </w:pPr>
                  <w:r>
                    <w:rPr>
                      <w:rFonts w:hint="eastAsia" w:ascii="Times New Roman" w:hAnsi="Times New Roman" w:cs="Times New Roman"/>
                      <w:color w:val="auto"/>
                      <w:sz w:val="21"/>
                      <w:szCs w:val="21"/>
                      <w:lang w:eastAsia="zh-CN"/>
                    </w:rPr>
                    <w:t>4</w:t>
                  </w:r>
                  <w:r>
                    <w:rPr>
                      <w:rFonts w:hint="eastAsia"/>
                      <w:color w:val="auto"/>
                      <w:spacing w:val="-2"/>
                      <w:sz w:val="21"/>
                      <w:szCs w:val="21"/>
                    </w:rPr>
                    <w:t>-乙基甲苯</w:t>
                  </w:r>
                </w:p>
              </w:tc>
              <w:tc>
                <w:tcPr>
                  <w:tcW w:w="961" w:type="dxa"/>
                  <w:tcBorders>
                    <w:tl2br w:val="nil"/>
                    <w:tr2bl w:val="nil"/>
                  </w:tcBorders>
                  <w:vAlign w:val="center"/>
                </w:tcPr>
                <w:p w14:paraId="1C06CF5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8" w:type="dxa"/>
                  <w:gridSpan w:val="2"/>
                  <w:tcBorders>
                    <w:tl2br w:val="nil"/>
                    <w:tr2bl w:val="nil"/>
                  </w:tcBorders>
                  <w:vAlign w:val="center"/>
                </w:tcPr>
                <w:p w14:paraId="4C4BFE2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8" w:type="dxa"/>
                  <w:tcBorders>
                    <w:tl2br w:val="nil"/>
                    <w:tr2bl w:val="nil"/>
                  </w:tcBorders>
                  <w:vAlign w:val="center"/>
                </w:tcPr>
                <w:p w14:paraId="1A6168E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2601ED6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32FDB54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4A20405B">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0784277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2494D78E">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hint="eastAsia" w:ascii="Times New Roman" w:hAnsi="Times New Roman" w:cs="Times New Roman"/>
                      <w:color w:val="auto"/>
                      <w:sz w:val="21"/>
                      <w:szCs w:val="21"/>
                      <w:lang w:eastAsia="zh-CN"/>
                    </w:rPr>
                    <w:t>3</w:t>
                  </w:r>
                  <w:r>
                    <w:rPr>
                      <w:rFonts w:hint="eastAsia"/>
                      <w:color w:val="auto"/>
                      <w:sz w:val="21"/>
                      <w:szCs w:val="21"/>
                    </w:rPr>
                    <w:t>,</w:t>
                  </w:r>
                  <w:r>
                    <w:rPr>
                      <w:rFonts w:ascii="Times New Roman" w:hAnsi="Times New Roman" w:cs="Times New Roman"/>
                      <w:color w:val="auto"/>
                      <w:sz w:val="21"/>
                      <w:szCs w:val="21"/>
                    </w:rPr>
                    <w:t>5</w:t>
                  </w:r>
                  <w:r>
                    <w:rPr>
                      <w:rFonts w:hint="eastAsia"/>
                      <w:color w:val="auto"/>
                      <w:sz w:val="21"/>
                      <w:szCs w:val="21"/>
                    </w:rPr>
                    <w:t>-三甲基苯</w:t>
                  </w:r>
                </w:p>
              </w:tc>
              <w:tc>
                <w:tcPr>
                  <w:tcW w:w="961" w:type="dxa"/>
                  <w:tcBorders>
                    <w:tl2br w:val="nil"/>
                    <w:tr2bl w:val="nil"/>
                  </w:tcBorders>
                  <w:vAlign w:val="center"/>
                </w:tcPr>
                <w:p w14:paraId="7D1E396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8" w:type="dxa"/>
                  <w:gridSpan w:val="2"/>
                  <w:tcBorders>
                    <w:tl2br w:val="nil"/>
                    <w:tr2bl w:val="nil"/>
                  </w:tcBorders>
                  <w:vAlign w:val="center"/>
                </w:tcPr>
                <w:p w14:paraId="0B8DF87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8" w:type="dxa"/>
                  <w:tcBorders>
                    <w:tl2br w:val="nil"/>
                    <w:tr2bl w:val="nil"/>
                  </w:tcBorders>
                  <w:vAlign w:val="center"/>
                </w:tcPr>
                <w:p w14:paraId="6080EBF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4CE9C95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3FDEABB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5C6E1E1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0FB6FFE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73EA463C">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2</w:t>
                  </w:r>
                  <w:r>
                    <w:rPr>
                      <w:rFonts w:hint="eastAsia"/>
                      <w:color w:val="auto"/>
                      <w:sz w:val="21"/>
                      <w:szCs w:val="21"/>
                    </w:rPr>
                    <w:t>,</w:t>
                  </w:r>
                  <w:r>
                    <w:rPr>
                      <w:rFonts w:ascii="Times New Roman" w:hAnsi="Times New Roman" w:cs="Times New Roman"/>
                      <w:color w:val="auto"/>
                      <w:sz w:val="21"/>
                      <w:szCs w:val="21"/>
                    </w:rPr>
                    <w:t>4</w:t>
                  </w:r>
                  <w:r>
                    <w:rPr>
                      <w:rFonts w:hint="eastAsia"/>
                      <w:color w:val="auto"/>
                      <w:sz w:val="21"/>
                      <w:szCs w:val="21"/>
                    </w:rPr>
                    <w:t>-三甲基苯</w:t>
                  </w:r>
                </w:p>
              </w:tc>
              <w:tc>
                <w:tcPr>
                  <w:tcW w:w="961" w:type="dxa"/>
                  <w:tcBorders>
                    <w:tl2br w:val="nil"/>
                    <w:tr2bl w:val="nil"/>
                  </w:tcBorders>
                  <w:vAlign w:val="center"/>
                </w:tcPr>
                <w:p w14:paraId="7D95555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8" w:type="dxa"/>
                  <w:gridSpan w:val="2"/>
                  <w:tcBorders>
                    <w:tl2br w:val="nil"/>
                    <w:tr2bl w:val="nil"/>
                  </w:tcBorders>
                  <w:vAlign w:val="center"/>
                </w:tcPr>
                <w:p w14:paraId="64F8F4C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8" w:type="dxa"/>
                  <w:tcBorders>
                    <w:tl2br w:val="nil"/>
                    <w:tr2bl w:val="nil"/>
                  </w:tcBorders>
                  <w:vAlign w:val="center"/>
                </w:tcPr>
                <w:p w14:paraId="3DD44DD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position w:val="-2"/>
                      <w:sz w:val="21"/>
                      <w:szCs w:val="21"/>
                    </w:rPr>
                    <w:t>1.4</w:t>
                  </w:r>
                </w:p>
              </w:tc>
              <w:tc>
                <w:tcPr>
                  <w:tcW w:w="969" w:type="dxa"/>
                  <w:gridSpan w:val="2"/>
                  <w:tcBorders>
                    <w:tl2br w:val="nil"/>
                    <w:tr2bl w:val="nil"/>
                  </w:tcBorders>
                  <w:vAlign w:val="center"/>
                </w:tcPr>
                <w:p w14:paraId="14BB042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69" w:type="dxa"/>
                  <w:gridSpan w:val="2"/>
                  <w:tcBorders>
                    <w:tl2br w:val="nil"/>
                    <w:tr2bl w:val="nil"/>
                  </w:tcBorders>
                  <w:vAlign w:val="center"/>
                </w:tcPr>
                <w:p w14:paraId="659A235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c>
                <w:tcPr>
                  <w:tcW w:w="973" w:type="dxa"/>
                  <w:gridSpan w:val="2"/>
                  <w:tcBorders>
                    <w:tl2br w:val="nil"/>
                    <w:tr2bl w:val="nil"/>
                  </w:tcBorders>
                  <w:vAlign w:val="center"/>
                </w:tcPr>
                <w:p w14:paraId="654B2AD4">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position w:val="-2"/>
                      <w:sz w:val="21"/>
                      <w:szCs w:val="21"/>
                    </w:rPr>
                    <w:t>ND</w:t>
                  </w:r>
                </w:p>
              </w:tc>
            </w:tr>
            <w:tr w14:paraId="042479C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7A830DB0">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hint="eastAsia" w:ascii="Times New Roman" w:hAnsi="Times New Roman" w:cs="Times New Roman"/>
                      <w:color w:val="auto"/>
                      <w:sz w:val="21"/>
                      <w:szCs w:val="21"/>
                      <w:lang w:eastAsia="zh-CN"/>
                    </w:rPr>
                    <w:t>3</w:t>
                  </w:r>
                  <w:r>
                    <w:rPr>
                      <w:rFonts w:hint="eastAsia"/>
                      <w:color w:val="auto"/>
                      <w:spacing w:val="1"/>
                      <w:sz w:val="21"/>
                      <w:szCs w:val="21"/>
                      <w:lang w:eastAsia="zh-CN"/>
                    </w:rPr>
                    <w:t>-</w:t>
                  </w:r>
                  <w:r>
                    <w:rPr>
                      <w:rFonts w:hint="eastAsia"/>
                      <w:color w:val="auto"/>
                      <w:spacing w:val="1"/>
                      <w:sz w:val="21"/>
                      <w:szCs w:val="21"/>
                    </w:rPr>
                    <w:t>二氯苯</w:t>
                  </w:r>
                </w:p>
              </w:tc>
              <w:tc>
                <w:tcPr>
                  <w:tcW w:w="961" w:type="dxa"/>
                  <w:tcBorders>
                    <w:tl2br w:val="nil"/>
                    <w:tr2bl w:val="nil"/>
                  </w:tcBorders>
                  <w:vAlign w:val="center"/>
                </w:tcPr>
                <w:p w14:paraId="10B1069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8" w:type="dxa"/>
                  <w:gridSpan w:val="2"/>
                  <w:tcBorders>
                    <w:tl2br w:val="nil"/>
                    <w:tr2bl w:val="nil"/>
                  </w:tcBorders>
                  <w:vAlign w:val="center"/>
                </w:tcPr>
                <w:p w14:paraId="72556BE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8" w:type="dxa"/>
                  <w:tcBorders>
                    <w:tl2br w:val="nil"/>
                    <w:tr2bl w:val="nil"/>
                  </w:tcBorders>
                  <w:vAlign w:val="center"/>
                </w:tcPr>
                <w:p w14:paraId="5219292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2A4B910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3008BD8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5A5B85A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1BED2F7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06604353">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hint="eastAsia" w:ascii="Times New Roman" w:hAnsi="Times New Roman" w:cs="Times New Roman"/>
                      <w:color w:val="auto"/>
                      <w:sz w:val="21"/>
                      <w:szCs w:val="21"/>
                      <w:lang w:eastAsia="zh-CN"/>
                    </w:rPr>
                    <w:t>4</w:t>
                  </w:r>
                  <w:r>
                    <w:rPr>
                      <w:rFonts w:hint="eastAsia"/>
                      <w:color w:val="auto"/>
                      <w:spacing w:val="1"/>
                      <w:sz w:val="21"/>
                      <w:szCs w:val="21"/>
                    </w:rPr>
                    <w:t>-二氯苯</w:t>
                  </w:r>
                </w:p>
              </w:tc>
              <w:tc>
                <w:tcPr>
                  <w:tcW w:w="961" w:type="dxa"/>
                  <w:tcBorders>
                    <w:tl2br w:val="nil"/>
                    <w:tr2bl w:val="nil"/>
                  </w:tcBorders>
                  <w:vAlign w:val="center"/>
                </w:tcPr>
                <w:p w14:paraId="360388F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8" w:type="dxa"/>
                  <w:gridSpan w:val="2"/>
                  <w:tcBorders>
                    <w:tl2br w:val="nil"/>
                    <w:tr2bl w:val="nil"/>
                  </w:tcBorders>
                  <w:vAlign w:val="center"/>
                </w:tcPr>
                <w:p w14:paraId="40A94B7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sz w:val="21"/>
                      <w:szCs w:val="21"/>
                    </w:rPr>
                    <w:t>1.1</w:t>
                  </w:r>
                </w:p>
              </w:tc>
              <w:tc>
                <w:tcPr>
                  <w:tcW w:w="968" w:type="dxa"/>
                  <w:tcBorders>
                    <w:tl2br w:val="nil"/>
                    <w:tr2bl w:val="nil"/>
                  </w:tcBorders>
                  <w:vAlign w:val="center"/>
                </w:tcPr>
                <w:p w14:paraId="39C0B36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sz w:val="21"/>
                      <w:szCs w:val="21"/>
                    </w:rPr>
                    <w:t>1.1</w:t>
                  </w:r>
                </w:p>
              </w:tc>
              <w:tc>
                <w:tcPr>
                  <w:tcW w:w="969" w:type="dxa"/>
                  <w:gridSpan w:val="2"/>
                  <w:tcBorders>
                    <w:tl2br w:val="nil"/>
                    <w:tr2bl w:val="nil"/>
                  </w:tcBorders>
                  <w:vAlign w:val="center"/>
                </w:tcPr>
                <w:p w14:paraId="30AF3F7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4E22E29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2B5CA33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74729BE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7542EFEC">
                  <w:pPr>
                    <w:pStyle w:val="99"/>
                    <w:autoSpaceDE/>
                    <w:autoSpaceDN/>
                    <w:jc w:val="center"/>
                    <w:rPr>
                      <w:rFonts w:hint="eastAsia"/>
                      <w:color w:val="auto"/>
                      <w:sz w:val="21"/>
                      <w:szCs w:val="21"/>
                    </w:rPr>
                  </w:pPr>
                  <w:r>
                    <w:rPr>
                      <w:rFonts w:hint="eastAsia"/>
                      <w:color w:val="auto"/>
                      <w:spacing w:val="-2"/>
                      <w:sz w:val="21"/>
                      <w:szCs w:val="21"/>
                    </w:rPr>
                    <w:t>苄基氯</w:t>
                  </w:r>
                </w:p>
              </w:tc>
              <w:tc>
                <w:tcPr>
                  <w:tcW w:w="961" w:type="dxa"/>
                  <w:tcBorders>
                    <w:tl2br w:val="nil"/>
                    <w:tr2bl w:val="nil"/>
                  </w:tcBorders>
                  <w:vAlign w:val="center"/>
                </w:tcPr>
                <w:p w14:paraId="23FB2F1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8" w:type="dxa"/>
                  <w:gridSpan w:val="2"/>
                  <w:tcBorders>
                    <w:tl2br w:val="nil"/>
                    <w:tr2bl w:val="nil"/>
                  </w:tcBorders>
                  <w:vAlign w:val="center"/>
                </w:tcPr>
                <w:p w14:paraId="76495C3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8" w:type="dxa"/>
                  <w:tcBorders>
                    <w:tl2br w:val="nil"/>
                    <w:tr2bl w:val="nil"/>
                  </w:tcBorders>
                  <w:vAlign w:val="center"/>
                </w:tcPr>
                <w:p w14:paraId="776491C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6839AF2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08012AA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2FCD5CE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22A55F6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6BD4DD43">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2</w:t>
                  </w:r>
                  <w:r>
                    <w:rPr>
                      <w:rFonts w:hint="eastAsia"/>
                      <w:color w:val="auto"/>
                      <w:spacing w:val="1"/>
                      <w:sz w:val="21"/>
                      <w:szCs w:val="21"/>
                    </w:rPr>
                    <w:t>-二氯苯</w:t>
                  </w:r>
                </w:p>
              </w:tc>
              <w:tc>
                <w:tcPr>
                  <w:tcW w:w="961" w:type="dxa"/>
                  <w:tcBorders>
                    <w:tl2br w:val="nil"/>
                    <w:tr2bl w:val="nil"/>
                  </w:tcBorders>
                  <w:vAlign w:val="center"/>
                </w:tcPr>
                <w:p w14:paraId="6039517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8" w:type="dxa"/>
                  <w:gridSpan w:val="2"/>
                  <w:tcBorders>
                    <w:tl2br w:val="nil"/>
                    <w:tr2bl w:val="nil"/>
                  </w:tcBorders>
                  <w:vAlign w:val="center"/>
                </w:tcPr>
                <w:p w14:paraId="11F650D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8" w:type="dxa"/>
                  <w:tcBorders>
                    <w:tl2br w:val="nil"/>
                    <w:tr2bl w:val="nil"/>
                  </w:tcBorders>
                  <w:vAlign w:val="center"/>
                </w:tcPr>
                <w:p w14:paraId="31890EF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720F198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4853320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3AB3E6A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148DE43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3D49C31E">
                  <w:pPr>
                    <w:pStyle w:val="99"/>
                    <w:autoSpaceDE/>
                    <w:autoSpaceDN/>
                    <w:jc w:val="center"/>
                    <w:rPr>
                      <w:rFonts w:hint="eastAsia"/>
                      <w:color w:val="auto"/>
                      <w:sz w:val="21"/>
                      <w:szCs w:val="21"/>
                    </w:rPr>
                  </w:pPr>
                  <w:r>
                    <w:rPr>
                      <w:rFonts w:ascii="Times New Roman" w:hAnsi="Times New Roman" w:cs="Times New Roman"/>
                      <w:color w:val="auto"/>
                      <w:sz w:val="21"/>
                      <w:szCs w:val="21"/>
                    </w:rPr>
                    <w:t>1</w:t>
                  </w:r>
                  <w:r>
                    <w:rPr>
                      <w:rFonts w:hint="eastAsia"/>
                      <w:color w:val="auto"/>
                      <w:sz w:val="21"/>
                      <w:szCs w:val="21"/>
                    </w:rPr>
                    <w:t>,</w:t>
                  </w:r>
                  <w:r>
                    <w:rPr>
                      <w:rFonts w:ascii="Times New Roman" w:hAnsi="Times New Roman" w:cs="Times New Roman"/>
                      <w:color w:val="auto"/>
                      <w:sz w:val="21"/>
                      <w:szCs w:val="21"/>
                    </w:rPr>
                    <w:t>2</w:t>
                  </w:r>
                  <w:r>
                    <w:rPr>
                      <w:rFonts w:hint="eastAsia"/>
                      <w:color w:val="auto"/>
                      <w:sz w:val="21"/>
                      <w:szCs w:val="21"/>
                    </w:rPr>
                    <w:t>,</w:t>
                  </w:r>
                  <w:r>
                    <w:rPr>
                      <w:rFonts w:ascii="Times New Roman" w:hAnsi="Times New Roman" w:cs="Times New Roman"/>
                      <w:color w:val="auto"/>
                      <w:sz w:val="21"/>
                      <w:szCs w:val="21"/>
                    </w:rPr>
                    <w:t>4</w:t>
                  </w:r>
                  <w:r>
                    <w:rPr>
                      <w:rFonts w:hint="eastAsia"/>
                      <w:color w:val="auto"/>
                      <w:spacing w:val="1"/>
                      <w:sz w:val="21"/>
                      <w:szCs w:val="21"/>
                    </w:rPr>
                    <w:t>-三氯苯</w:t>
                  </w:r>
                </w:p>
              </w:tc>
              <w:tc>
                <w:tcPr>
                  <w:tcW w:w="961" w:type="dxa"/>
                  <w:tcBorders>
                    <w:tl2br w:val="nil"/>
                    <w:tr2bl w:val="nil"/>
                  </w:tcBorders>
                  <w:vAlign w:val="center"/>
                </w:tcPr>
                <w:p w14:paraId="51CF216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8" w:type="dxa"/>
                  <w:gridSpan w:val="2"/>
                  <w:tcBorders>
                    <w:tl2br w:val="nil"/>
                    <w:tr2bl w:val="nil"/>
                  </w:tcBorders>
                  <w:vAlign w:val="center"/>
                </w:tcPr>
                <w:p w14:paraId="1242300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8" w:type="dxa"/>
                  <w:tcBorders>
                    <w:tl2br w:val="nil"/>
                    <w:tr2bl w:val="nil"/>
                  </w:tcBorders>
                  <w:vAlign w:val="center"/>
                </w:tcPr>
                <w:p w14:paraId="1039902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0B5BFB9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62CEA38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2C6407D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18EB27B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22786699">
                  <w:pPr>
                    <w:pStyle w:val="99"/>
                    <w:autoSpaceDE/>
                    <w:autoSpaceDN/>
                    <w:jc w:val="center"/>
                    <w:rPr>
                      <w:rFonts w:hint="eastAsia"/>
                      <w:color w:val="auto"/>
                      <w:sz w:val="21"/>
                      <w:szCs w:val="21"/>
                    </w:rPr>
                  </w:pPr>
                  <w:r>
                    <w:rPr>
                      <w:rFonts w:hint="eastAsia"/>
                      <w:color w:val="auto"/>
                      <w:spacing w:val="-2"/>
                      <w:sz w:val="21"/>
                      <w:szCs w:val="21"/>
                    </w:rPr>
                    <w:t>六氯丁二烯</w:t>
                  </w:r>
                </w:p>
              </w:tc>
              <w:tc>
                <w:tcPr>
                  <w:tcW w:w="961" w:type="dxa"/>
                  <w:tcBorders>
                    <w:tl2br w:val="nil"/>
                    <w:tr2bl w:val="nil"/>
                  </w:tcBorders>
                  <w:vAlign w:val="center"/>
                </w:tcPr>
                <w:p w14:paraId="0004CEE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8" w:type="dxa"/>
                  <w:gridSpan w:val="2"/>
                  <w:tcBorders>
                    <w:tl2br w:val="nil"/>
                    <w:tr2bl w:val="nil"/>
                  </w:tcBorders>
                  <w:vAlign w:val="center"/>
                </w:tcPr>
                <w:p w14:paraId="53824D2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8" w:type="dxa"/>
                  <w:tcBorders>
                    <w:tl2br w:val="nil"/>
                    <w:tr2bl w:val="nil"/>
                  </w:tcBorders>
                  <w:vAlign w:val="center"/>
                </w:tcPr>
                <w:p w14:paraId="48D6DE2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761692E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69" w:type="dxa"/>
                  <w:gridSpan w:val="2"/>
                  <w:tcBorders>
                    <w:tl2br w:val="nil"/>
                    <w:tr2bl w:val="nil"/>
                  </w:tcBorders>
                  <w:vAlign w:val="center"/>
                </w:tcPr>
                <w:p w14:paraId="5B0F96D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c>
                <w:tcPr>
                  <w:tcW w:w="973" w:type="dxa"/>
                  <w:gridSpan w:val="2"/>
                  <w:tcBorders>
                    <w:tl2br w:val="nil"/>
                    <w:tr2bl w:val="nil"/>
                  </w:tcBorders>
                  <w:vAlign w:val="center"/>
                </w:tcPr>
                <w:p w14:paraId="001AA2FB">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ND</w:t>
                  </w:r>
                </w:p>
              </w:tc>
            </w:tr>
            <w:tr w14:paraId="0DFC520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27" w:type="dxa"/>
                  <w:tcBorders>
                    <w:tl2br w:val="nil"/>
                    <w:tr2bl w:val="nil"/>
                  </w:tcBorders>
                  <w:vAlign w:val="center"/>
                </w:tcPr>
                <w:p w14:paraId="10604C1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挥发性有机物(35种)</w:t>
                  </w:r>
                </w:p>
              </w:tc>
              <w:tc>
                <w:tcPr>
                  <w:tcW w:w="961" w:type="dxa"/>
                  <w:tcBorders>
                    <w:tl2br w:val="nil"/>
                    <w:tr2bl w:val="nil"/>
                  </w:tcBorders>
                  <w:vAlign w:val="center"/>
                </w:tcPr>
                <w:p w14:paraId="5954BD3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position w:val="-2"/>
                      <w:sz w:val="21"/>
                      <w:szCs w:val="21"/>
                    </w:rPr>
                    <w:t>873</w:t>
                  </w:r>
                </w:p>
              </w:tc>
              <w:tc>
                <w:tcPr>
                  <w:tcW w:w="978" w:type="dxa"/>
                  <w:gridSpan w:val="2"/>
                  <w:tcBorders>
                    <w:tl2br w:val="nil"/>
                    <w:tr2bl w:val="nil"/>
                  </w:tcBorders>
                  <w:vAlign w:val="center"/>
                </w:tcPr>
                <w:p w14:paraId="22EB103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1.22</w:t>
                  </w:r>
                  <w:r>
                    <w:rPr>
                      <w:rFonts w:ascii="Times New Roman" w:hAnsi="Times New Roman" w:cs="Times New Roman"/>
                      <w:color w:val="auto"/>
                      <w:sz w:val="21"/>
                      <w:szCs w:val="21"/>
                      <w:lang w:eastAsia="zh-CN"/>
                    </w:rPr>
                    <w:t>×10</w:t>
                  </w:r>
                  <w:r>
                    <w:rPr>
                      <w:rFonts w:ascii="Times New Roman" w:hAnsi="Times New Roman" w:cs="Times New Roman"/>
                      <w:color w:val="auto"/>
                      <w:sz w:val="21"/>
                      <w:szCs w:val="21"/>
                      <w:vertAlign w:val="superscript"/>
                      <w:lang w:eastAsia="zh-CN"/>
                    </w:rPr>
                    <w:t>3</w:t>
                  </w:r>
                </w:p>
              </w:tc>
              <w:tc>
                <w:tcPr>
                  <w:tcW w:w="968" w:type="dxa"/>
                  <w:tcBorders>
                    <w:tl2br w:val="nil"/>
                    <w:tr2bl w:val="nil"/>
                  </w:tcBorders>
                  <w:vAlign w:val="center"/>
                </w:tcPr>
                <w:p w14:paraId="2ED922D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1.03</w:t>
                  </w:r>
                  <w:r>
                    <w:rPr>
                      <w:rFonts w:ascii="Times New Roman" w:hAnsi="Times New Roman" w:cs="Times New Roman"/>
                      <w:color w:val="auto"/>
                      <w:sz w:val="21"/>
                      <w:szCs w:val="21"/>
                      <w:lang w:eastAsia="zh-CN"/>
                    </w:rPr>
                    <w:t>×10</w:t>
                  </w:r>
                  <w:r>
                    <w:rPr>
                      <w:rFonts w:ascii="Times New Roman" w:hAnsi="Times New Roman" w:cs="Times New Roman"/>
                      <w:color w:val="auto"/>
                      <w:sz w:val="21"/>
                      <w:szCs w:val="21"/>
                      <w:vertAlign w:val="superscript"/>
                      <w:lang w:eastAsia="zh-CN"/>
                    </w:rPr>
                    <w:t>3</w:t>
                  </w:r>
                </w:p>
              </w:tc>
              <w:tc>
                <w:tcPr>
                  <w:tcW w:w="969" w:type="dxa"/>
                  <w:gridSpan w:val="2"/>
                  <w:tcBorders>
                    <w:tl2br w:val="nil"/>
                    <w:tr2bl w:val="nil"/>
                  </w:tcBorders>
                  <w:vAlign w:val="center"/>
                </w:tcPr>
                <w:p w14:paraId="5B1A28F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position w:val="-2"/>
                      <w:sz w:val="21"/>
                      <w:szCs w:val="21"/>
                    </w:rPr>
                    <w:t>380</w:t>
                  </w:r>
                </w:p>
              </w:tc>
              <w:tc>
                <w:tcPr>
                  <w:tcW w:w="969" w:type="dxa"/>
                  <w:gridSpan w:val="2"/>
                  <w:tcBorders>
                    <w:tl2br w:val="nil"/>
                    <w:tr2bl w:val="nil"/>
                  </w:tcBorders>
                  <w:vAlign w:val="center"/>
                </w:tcPr>
                <w:p w14:paraId="15A2283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position w:val="-2"/>
                      <w:sz w:val="21"/>
                      <w:szCs w:val="21"/>
                    </w:rPr>
                    <w:t>277</w:t>
                  </w:r>
                </w:p>
              </w:tc>
              <w:tc>
                <w:tcPr>
                  <w:tcW w:w="973" w:type="dxa"/>
                  <w:gridSpan w:val="2"/>
                  <w:tcBorders>
                    <w:tl2br w:val="nil"/>
                    <w:tr2bl w:val="nil"/>
                  </w:tcBorders>
                  <w:vAlign w:val="center"/>
                </w:tcPr>
                <w:p w14:paraId="08ED2DA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position w:val="-2"/>
                      <w:sz w:val="21"/>
                      <w:szCs w:val="21"/>
                    </w:rPr>
                    <w:t>421</w:t>
                  </w:r>
                </w:p>
              </w:tc>
            </w:tr>
            <w:tr w14:paraId="1775F5B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7945" w:type="dxa"/>
                  <w:gridSpan w:val="11"/>
                  <w:tcBorders>
                    <w:tl2br w:val="nil"/>
                    <w:tr2bl w:val="nil"/>
                  </w:tcBorders>
                  <w:vAlign w:val="center"/>
                </w:tcPr>
                <w:p w14:paraId="23E4B163">
                  <w:pPr>
                    <w:pStyle w:val="99"/>
                    <w:autoSpaceDE/>
                    <w:autoSpaceDN/>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注：ND表示未检出，挥发性有机物(35种)总量的结果为所有分项之和，低于方法检出限的分项以</w:t>
                  </w:r>
                  <w:r>
                    <w:rPr>
                      <w:rFonts w:ascii="Times New Roman" w:hAnsi="Times New Roman" w:cs="Times New Roman"/>
                      <w:color w:val="auto"/>
                      <w:spacing w:val="-1"/>
                      <w:sz w:val="21"/>
                      <w:szCs w:val="21"/>
                      <w:lang w:eastAsia="zh-CN"/>
                    </w:rPr>
                    <w:t>0计。</w:t>
                  </w:r>
                </w:p>
              </w:tc>
            </w:tr>
          </w:tbl>
          <w:p w14:paraId="450A9C30">
            <w:pPr>
              <w:keepNext w:val="0"/>
              <w:keepLines w:val="0"/>
              <w:pageBreakBefore w:val="0"/>
              <w:widowControl w:val="0"/>
              <w:numPr>
                <w:ilvl w:val="0"/>
                <w:numId w:val="0"/>
              </w:numPr>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eastAsia" w:cs="Times New Roman"/>
                <w:b/>
                <w:bCs/>
                <w:color w:val="auto"/>
                <w:kern w:val="2"/>
                <w:sz w:val="21"/>
                <w:szCs w:val="24"/>
                <w:lang w:val="en-US" w:eastAsia="zh-CN" w:bidi="ar-SA"/>
              </w:rPr>
              <w:t>表2-17 企业已建项目废气实际排放情况表   单位：t/a</w:t>
            </w:r>
          </w:p>
          <w:tbl>
            <w:tblPr>
              <w:tblStyle w:val="3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135"/>
              <w:gridCol w:w="1135"/>
              <w:gridCol w:w="1135"/>
              <w:gridCol w:w="1135"/>
              <w:gridCol w:w="1135"/>
              <w:gridCol w:w="1135"/>
            </w:tblGrid>
            <w:tr w14:paraId="0237C0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restart"/>
                  <w:tcBorders>
                    <w:tl2br w:val="nil"/>
                    <w:tr2bl w:val="nil"/>
                  </w:tcBorders>
                  <w:vAlign w:val="center"/>
                </w:tcPr>
                <w:p w14:paraId="4A8F827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污染物种类</w:t>
                  </w:r>
                </w:p>
              </w:tc>
              <w:tc>
                <w:tcPr>
                  <w:tcW w:w="4540" w:type="dxa"/>
                  <w:gridSpan w:val="4"/>
                  <w:tcBorders>
                    <w:tl2br w:val="nil"/>
                    <w:tr2bl w:val="nil"/>
                  </w:tcBorders>
                  <w:vAlign w:val="center"/>
                </w:tcPr>
                <w:p w14:paraId="2F316C1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实际排放量</w:t>
                  </w:r>
                </w:p>
              </w:tc>
              <w:tc>
                <w:tcPr>
                  <w:tcW w:w="1135" w:type="dxa"/>
                  <w:vMerge w:val="restart"/>
                  <w:tcBorders>
                    <w:tl2br w:val="nil"/>
                    <w:tr2bl w:val="nil"/>
                  </w:tcBorders>
                  <w:vAlign w:val="center"/>
                </w:tcPr>
                <w:p w14:paraId="1223594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已排量</w:t>
                  </w:r>
                </w:p>
              </w:tc>
              <w:tc>
                <w:tcPr>
                  <w:tcW w:w="1135" w:type="dxa"/>
                  <w:vMerge w:val="restart"/>
                  <w:tcBorders>
                    <w:tl2br w:val="nil"/>
                    <w:tr2bl w:val="nil"/>
                  </w:tcBorders>
                  <w:vAlign w:val="center"/>
                </w:tcPr>
                <w:p w14:paraId="269FDE5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环评批复量</w:t>
                  </w:r>
                </w:p>
              </w:tc>
            </w:tr>
            <w:tr w14:paraId="09AF0E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tcBorders>
                    <w:tl2br w:val="nil"/>
                    <w:tr2bl w:val="nil"/>
                  </w:tcBorders>
                  <w:vAlign w:val="center"/>
                </w:tcPr>
                <w:p w14:paraId="1A47047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kern w:val="2"/>
                      <w:sz w:val="21"/>
                      <w:szCs w:val="24"/>
                      <w:vertAlign w:val="baseline"/>
                      <w:lang w:val="en-US" w:eastAsia="zh-CN" w:bidi="ar-SA"/>
                    </w:rPr>
                  </w:pPr>
                </w:p>
              </w:tc>
              <w:tc>
                <w:tcPr>
                  <w:tcW w:w="1135" w:type="dxa"/>
                  <w:tcBorders>
                    <w:tl2br w:val="nil"/>
                    <w:tr2bl w:val="nil"/>
                  </w:tcBorders>
                  <w:vAlign w:val="center"/>
                </w:tcPr>
                <w:p w14:paraId="7B8758C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DA001</w:t>
                  </w:r>
                </w:p>
              </w:tc>
              <w:tc>
                <w:tcPr>
                  <w:tcW w:w="1135" w:type="dxa"/>
                  <w:tcBorders>
                    <w:tl2br w:val="nil"/>
                    <w:tr2bl w:val="nil"/>
                  </w:tcBorders>
                  <w:vAlign w:val="center"/>
                </w:tcPr>
                <w:p w14:paraId="527DD5A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DA002</w:t>
                  </w:r>
                </w:p>
              </w:tc>
              <w:tc>
                <w:tcPr>
                  <w:tcW w:w="1135" w:type="dxa"/>
                  <w:tcBorders>
                    <w:tl2br w:val="nil"/>
                    <w:tr2bl w:val="nil"/>
                  </w:tcBorders>
                  <w:vAlign w:val="center"/>
                </w:tcPr>
                <w:p w14:paraId="460D33E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DA003</w:t>
                  </w:r>
                </w:p>
              </w:tc>
              <w:tc>
                <w:tcPr>
                  <w:tcW w:w="1135" w:type="dxa"/>
                  <w:tcBorders>
                    <w:tl2br w:val="nil"/>
                    <w:tr2bl w:val="nil"/>
                  </w:tcBorders>
                  <w:vAlign w:val="center"/>
                </w:tcPr>
                <w:p w14:paraId="0787291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DA004</w:t>
                  </w:r>
                </w:p>
              </w:tc>
              <w:tc>
                <w:tcPr>
                  <w:tcW w:w="1135" w:type="dxa"/>
                  <w:vMerge w:val="continue"/>
                  <w:tcBorders>
                    <w:tl2br w:val="nil"/>
                    <w:tr2bl w:val="nil"/>
                  </w:tcBorders>
                  <w:vAlign w:val="center"/>
                </w:tcPr>
                <w:p w14:paraId="13C7FC9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kern w:val="2"/>
                      <w:sz w:val="21"/>
                      <w:szCs w:val="24"/>
                      <w:vertAlign w:val="baseline"/>
                      <w:lang w:val="en-US" w:eastAsia="zh-CN" w:bidi="ar-SA"/>
                    </w:rPr>
                  </w:pPr>
                </w:p>
              </w:tc>
              <w:tc>
                <w:tcPr>
                  <w:tcW w:w="1135" w:type="dxa"/>
                  <w:vMerge w:val="continue"/>
                  <w:tcBorders>
                    <w:tl2br w:val="nil"/>
                    <w:tr2bl w:val="nil"/>
                  </w:tcBorders>
                  <w:vAlign w:val="center"/>
                </w:tcPr>
                <w:p w14:paraId="0BE5FA8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kern w:val="2"/>
                      <w:sz w:val="21"/>
                      <w:szCs w:val="24"/>
                      <w:vertAlign w:val="baseline"/>
                      <w:lang w:val="en-US" w:eastAsia="zh-CN" w:bidi="ar-SA"/>
                    </w:rPr>
                  </w:pPr>
                </w:p>
              </w:tc>
            </w:tr>
            <w:tr w14:paraId="0D4D56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tcBorders>
                    <w:tl2br w:val="nil"/>
                    <w:tr2bl w:val="nil"/>
                  </w:tcBorders>
                  <w:vAlign w:val="center"/>
                </w:tcPr>
                <w:p w14:paraId="1902131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颗粒物</w:t>
                  </w:r>
                </w:p>
              </w:tc>
              <w:tc>
                <w:tcPr>
                  <w:tcW w:w="1135" w:type="dxa"/>
                  <w:tcBorders>
                    <w:tl2br w:val="nil"/>
                    <w:tr2bl w:val="nil"/>
                  </w:tcBorders>
                  <w:vAlign w:val="center"/>
                </w:tcPr>
                <w:p w14:paraId="388AEF9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0.785</w:t>
                  </w:r>
                </w:p>
              </w:tc>
              <w:tc>
                <w:tcPr>
                  <w:tcW w:w="1135" w:type="dxa"/>
                  <w:tcBorders>
                    <w:tl2br w:val="nil"/>
                    <w:tr2bl w:val="nil"/>
                  </w:tcBorders>
                  <w:vAlign w:val="center"/>
                </w:tcPr>
                <w:p w14:paraId="06F296D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0.257</w:t>
                  </w:r>
                </w:p>
              </w:tc>
              <w:tc>
                <w:tcPr>
                  <w:tcW w:w="1135" w:type="dxa"/>
                  <w:tcBorders>
                    <w:tl2br w:val="nil"/>
                    <w:tr2bl w:val="nil"/>
                  </w:tcBorders>
                  <w:vAlign w:val="center"/>
                </w:tcPr>
                <w:p w14:paraId="2BDECFC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0.231</w:t>
                  </w:r>
                </w:p>
              </w:tc>
              <w:tc>
                <w:tcPr>
                  <w:tcW w:w="1135" w:type="dxa"/>
                  <w:tcBorders>
                    <w:tl2br w:val="nil"/>
                    <w:tr2bl w:val="nil"/>
                  </w:tcBorders>
                  <w:vAlign w:val="center"/>
                </w:tcPr>
                <w:p w14:paraId="1C54B71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w:t>
                  </w:r>
                </w:p>
              </w:tc>
              <w:tc>
                <w:tcPr>
                  <w:tcW w:w="1135" w:type="dxa"/>
                  <w:tcBorders>
                    <w:tl2br w:val="nil"/>
                    <w:tr2bl w:val="nil"/>
                  </w:tcBorders>
                  <w:vAlign w:val="center"/>
                </w:tcPr>
                <w:p w14:paraId="38F75D8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1.273</w:t>
                  </w:r>
                </w:p>
              </w:tc>
              <w:tc>
                <w:tcPr>
                  <w:tcW w:w="1135" w:type="dxa"/>
                  <w:tcBorders>
                    <w:tl2br w:val="nil"/>
                    <w:tr2bl w:val="nil"/>
                  </w:tcBorders>
                  <w:vAlign w:val="center"/>
                </w:tcPr>
                <w:p w14:paraId="037F70D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3.59</w:t>
                  </w:r>
                </w:p>
              </w:tc>
            </w:tr>
            <w:tr w14:paraId="60DBF3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tcBorders>
                    <w:tl2br w:val="nil"/>
                    <w:tr2bl w:val="nil"/>
                  </w:tcBorders>
                  <w:vAlign w:val="center"/>
                </w:tcPr>
                <w:p w14:paraId="232686A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SO</w:t>
                  </w:r>
                  <w:r>
                    <w:rPr>
                      <w:rFonts w:hint="eastAsia" w:cs="Times New Roman"/>
                      <w:color w:val="auto"/>
                      <w:kern w:val="2"/>
                      <w:sz w:val="21"/>
                      <w:szCs w:val="24"/>
                      <w:vertAlign w:val="subscript"/>
                      <w:lang w:val="en-US" w:eastAsia="zh-CN" w:bidi="ar-SA"/>
                    </w:rPr>
                    <w:t>2</w:t>
                  </w:r>
                </w:p>
              </w:tc>
              <w:tc>
                <w:tcPr>
                  <w:tcW w:w="1135" w:type="dxa"/>
                  <w:tcBorders>
                    <w:tl2br w:val="nil"/>
                    <w:tr2bl w:val="nil"/>
                  </w:tcBorders>
                  <w:vAlign w:val="center"/>
                </w:tcPr>
                <w:p w14:paraId="4638027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0.379</w:t>
                  </w:r>
                </w:p>
              </w:tc>
              <w:tc>
                <w:tcPr>
                  <w:tcW w:w="1135" w:type="dxa"/>
                  <w:tcBorders>
                    <w:tl2br w:val="nil"/>
                    <w:tr2bl w:val="nil"/>
                  </w:tcBorders>
                  <w:vAlign w:val="center"/>
                </w:tcPr>
                <w:p w14:paraId="0CC9A6C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w:t>
                  </w:r>
                </w:p>
              </w:tc>
              <w:tc>
                <w:tcPr>
                  <w:tcW w:w="1135" w:type="dxa"/>
                  <w:tcBorders>
                    <w:tl2br w:val="nil"/>
                    <w:tr2bl w:val="nil"/>
                  </w:tcBorders>
                  <w:vAlign w:val="center"/>
                </w:tcPr>
                <w:p w14:paraId="201457D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w:t>
                  </w:r>
                </w:p>
              </w:tc>
              <w:tc>
                <w:tcPr>
                  <w:tcW w:w="1135" w:type="dxa"/>
                  <w:tcBorders>
                    <w:tl2br w:val="nil"/>
                    <w:tr2bl w:val="nil"/>
                  </w:tcBorders>
                  <w:vAlign w:val="center"/>
                </w:tcPr>
                <w:p w14:paraId="046753D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w:t>
                  </w:r>
                </w:p>
              </w:tc>
              <w:tc>
                <w:tcPr>
                  <w:tcW w:w="1135" w:type="dxa"/>
                  <w:tcBorders>
                    <w:tl2br w:val="nil"/>
                    <w:tr2bl w:val="nil"/>
                  </w:tcBorders>
                  <w:vAlign w:val="center"/>
                </w:tcPr>
                <w:p w14:paraId="53C2AD0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0.379</w:t>
                  </w:r>
                </w:p>
              </w:tc>
              <w:tc>
                <w:tcPr>
                  <w:tcW w:w="1135" w:type="dxa"/>
                  <w:tcBorders>
                    <w:tl2br w:val="nil"/>
                    <w:tr2bl w:val="nil"/>
                  </w:tcBorders>
                  <w:vAlign w:val="center"/>
                </w:tcPr>
                <w:p w14:paraId="103CFD5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1.85</w:t>
                  </w:r>
                </w:p>
              </w:tc>
            </w:tr>
            <w:tr w14:paraId="708C4D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tcBorders>
                    <w:tl2br w:val="nil"/>
                    <w:tr2bl w:val="nil"/>
                  </w:tcBorders>
                  <w:vAlign w:val="center"/>
                </w:tcPr>
                <w:p w14:paraId="5AC4808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NOx</w:t>
                  </w:r>
                </w:p>
              </w:tc>
              <w:tc>
                <w:tcPr>
                  <w:tcW w:w="1135" w:type="dxa"/>
                  <w:tcBorders>
                    <w:tl2br w:val="nil"/>
                    <w:tr2bl w:val="nil"/>
                  </w:tcBorders>
                  <w:vAlign w:val="center"/>
                </w:tcPr>
                <w:p w14:paraId="6161E9B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2.57</w:t>
                  </w:r>
                </w:p>
              </w:tc>
              <w:tc>
                <w:tcPr>
                  <w:tcW w:w="1135" w:type="dxa"/>
                  <w:tcBorders>
                    <w:tl2br w:val="nil"/>
                    <w:tr2bl w:val="nil"/>
                  </w:tcBorders>
                  <w:vAlign w:val="center"/>
                </w:tcPr>
                <w:p w14:paraId="4BA2457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w:t>
                  </w:r>
                </w:p>
              </w:tc>
              <w:tc>
                <w:tcPr>
                  <w:tcW w:w="1135" w:type="dxa"/>
                  <w:tcBorders>
                    <w:tl2br w:val="nil"/>
                    <w:tr2bl w:val="nil"/>
                  </w:tcBorders>
                  <w:vAlign w:val="center"/>
                </w:tcPr>
                <w:p w14:paraId="2EC0324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w:t>
                  </w:r>
                </w:p>
              </w:tc>
              <w:tc>
                <w:tcPr>
                  <w:tcW w:w="1135" w:type="dxa"/>
                  <w:tcBorders>
                    <w:tl2br w:val="nil"/>
                    <w:tr2bl w:val="nil"/>
                  </w:tcBorders>
                  <w:vAlign w:val="center"/>
                </w:tcPr>
                <w:p w14:paraId="75667BF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w:t>
                  </w:r>
                </w:p>
              </w:tc>
              <w:tc>
                <w:tcPr>
                  <w:tcW w:w="1135" w:type="dxa"/>
                  <w:tcBorders>
                    <w:tl2br w:val="nil"/>
                    <w:tr2bl w:val="nil"/>
                  </w:tcBorders>
                  <w:vAlign w:val="center"/>
                </w:tcPr>
                <w:p w14:paraId="39910D6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2.57</w:t>
                  </w:r>
                </w:p>
              </w:tc>
              <w:tc>
                <w:tcPr>
                  <w:tcW w:w="1135" w:type="dxa"/>
                  <w:tcBorders>
                    <w:tl2br w:val="nil"/>
                    <w:tr2bl w:val="nil"/>
                  </w:tcBorders>
                  <w:vAlign w:val="center"/>
                </w:tcPr>
                <w:p w14:paraId="7CB3B50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16.3</w:t>
                  </w:r>
                </w:p>
              </w:tc>
            </w:tr>
            <w:tr w14:paraId="4AD836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tcBorders>
                    <w:tl2br w:val="nil"/>
                    <w:tr2bl w:val="nil"/>
                  </w:tcBorders>
                  <w:vAlign w:val="center"/>
                </w:tcPr>
                <w:p w14:paraId="0245351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VOCs</w:t>
                  </w:r>
                </w:p>
              </w:tc>
              <w:tc>
                <w:tcPr>
                  <w:tcW w:w="1135" w:type="dxa"/>
                  <w:tcBorders>
                    <w:tl2br w:val="nil"/>
                    <w:tr2bl w:val="nil"/>
                  </w:tcBorders>
                  <w:vAlign w:val="center"/>
                </w:tcPr>
                <w:p w14:paraId="08F8C91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w:t>
                  </w:r>
                </w:p>
              </w:tc>
              <w:tc>
                <w:tcPr>
                  <w:tcW w:w="1135" w:type="dxa"/>
                  <w:tcBorders>
                    <w:tl2br w:val="nil"/>
                    <w:tr2bl w:val="nil"/>
                  </w:tcBorders>
                  <w:vAlign w:val="center"/>
                </w:tcPr>
                <w:p w14:paraId="7BCC36F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0.485</w:t>
                  </w:r>
                </w:p>
              </w:tc>
              <w:tc>
                <w:tcPr>
                  <w:tcW w:w="1135" w:type="dxa"/>
                  <w:tcBorders>
                    <w:tl2br w:val="nil"/>
                    <w:tr2bl w:val="nil"/>
                  </w:tcBorders>
                  <w:vAlign w:val="center"/>
                </w:tcPr>
                <w:p w14:paraId="25E3116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0.42</w:t>
                  </w:r>
                </w:p>
              </w:tc>
              <w:tc>
                <w:tcPr>
                  <w:tcW w:w="1135" w:type="dxa"/>
                  <w:tcBorders>
                    <w:tl2br w:val="nil"/>
                    <w:tr2bl w:val="nil"/>
                  </w:tcBorders>
                  <w:vAlign w:val="center"/>
                </w:tcPr>
                <w:p w14:paraId="1B4CEC4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w:t>
                  </w:r>
                </w:p>
              </w:tc>
              <w:tc>
                <w:tcPr>
                  <w:tcW w:w="1135" w:type="dxa"/>
                  <w:tcBorders>
                    <w:tl2br w:val="nil"/>
                    <w:tr2bl w:val="nil"/>
                  </w:tcBorders>
                  <w:vAlign w:val="center"/>
                </w:tcPr>
                <w:p w14:paraId="6B0DFB5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0.905</w:t>
                  </w:r>
                </w:p>
              </w:tc>
              <w:tc>
                <w:tcPr>
                  <w:tcW w:w="1135" w:type="dxa"/>
                  <w:tcBorders>
                    <w:tl2br w:val="nil"/>
                    <w:tr2bl w:val="nil"/>
                  </w:tcBorders>
                  <w:vAlign w:val="center"/>
                </w:tcPr>
                <w:p w14:paraId="049E51C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3.838</w:t>
                  </w:r>
                </w:p>
              </w:tc>
            </w:tr>
            <w:tr w14:paraId="1B2C0E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tcBorders>
                    <w:tl2br w:val="nil"/>
                    <w:tr2bl w:val="nil"/>
                  </w:tcBorders>
                  <w:vAlign w:val="center"/>
                </w:tcPr>
                <w:p w14:paraId="31A013F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氯化氢</w:t>
                  </w:r>
                </w:p>
              </w:tc>
              <w:tc>
                <w:tcPr>
                  <w:tcW w:w="1135" w:type="dxa"/>
                  <w:tcBorders>
                    <w:tl2br w:val="nil"/>
                    <w:tr2bl w:val="nil"/>
                  </w:tcBorders>
                  <w:vAlign w:val="center"/>
                </w:tcPr>
                <w:p w14:paraId="11C5070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w:t>
                  </w:r>
                </w:p>
              </w:tc>
              <w:tc>
                <w:tcPr>
                  <w:tcW w:w="1135" w:type="dxa"/>
                  <w:tcBorders>
                    <w:tl2br w:val="nil"/>
                    <w:tr2bl w:val="nil"/>
                  </w:tcBorders>
                  <w:vAlign w:val="center"/>
                </w:tcPr>
                <w:p w14:paraId="6EE4F94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w:t>
                  </w:r>
                </w:p>
              </w:tc>
              <w:tc>
                <w:tcPr>
                  <w:tcW w:w="1135" w:type="dxa"/>
                  <w:tcBorders>
                    <w:tl2br w:val="nil"/>
                    <w:tr2bl w:val="nil"/>
                  </w:tcBorders>
                  <w:vAlign w:val="center"/>
                </w:tcPr>
                <w:p w14:paraId="525C3FE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w:t>
                  </w:r>
                </w:p>
              </w:tc>
              <w:tc>
                <w:tcPr>
                  <w:tcW w:w="1135" w:type="dxa"/>
                  <w:tcBorders>
                    <w:tl2br w:val="nil"/>
                    <w:tr2bl w:val="nil"/>
                  </w:tcBorders>
                  <w:vAlign w:val="center"/>
                </w:tcPr>
                <w:p w14:paraId="1BB5330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0.711</w:t>
                  </w:r>
                </w:p>
              </w:tc>
              <w:tc>
                <w:tcPr>
                  <w:tcW w:w="1135" w:type="dxa"/>
                  <w:tcBorders>
                    <w:tl2br w:val="nil"/>
                    <w:tr2bl w:val="nil"/>
                  </w:tcBorders>
                  <w:vAlign w:val="center"/>
                </w:tcPr>
                <w:p w14:paraId="66FDC90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0.711</w:t>
                  </w:r>
                </w:p>
              </w:tc>
              <w:tc>
                <w:tcPr>
                  <w:tcW w:w="1135" w:type="dxa"/>
                  <w:tcBorders>
                    <w:tl2br w:val="nil"/>
                    <w:tr2bl w:val="nil"/>
                  </w:tcBorders>
                  <w:vAlign w:val="center"/>
                </w:tcPr>
                <w:p w14:paraId="57C0CC5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0.00126</w:t>
                  </w:r>
                </w:p>
              </w:tc>
            </w:tr>
            <w:tr w14:paraId="6C0C06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tcBorders>
                    <w:tl2br w:val="nil"/>
                    <w:tr2bl w:val="nil"/>
                  </w:tcBorders>
                  <w:vAlign w:val="center"/>
                </w:tcPr>
                <w:p w14:paraId="6F57BCD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硫酸雾</w:t>
                  </w:r>
                </w:p>
              </w:tc>
              <w:tc>
                <w:tcPr>
                  <w:tcW w:w="1135" w:type="dxa"/>
                  <w:tcBorders>
                    <w:tl2br w:val="nil"/>
                    <w:tr2bl w:val="nil"/>
                  </w:tcBorders>
                  <w:vAlign w:val="center"/>
                </w:tcPr>
                <w:p w14:paraId="4A10EBA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w:t>
                  </w:r>
                </w:p>
              </w:tc>
              <w:tc>
                <w:tcPr>
                  <w:tcW w:w="1135" w:type="dxa"/>
                  <w:tcBorders>
                    <w:tl2br w:val="nil"/>
                    <w:tr2bl w:val="nil"/>
                  </w:tcBorders>
                  <w:vAlign w:val="center"/>
                </w:tcPr>
                <w:p w14:paraId="07A6C42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w:t>
                  </w:r>
                </w:p>
              </w:tc>
              <w:tc>
                <w:tcPr>
                  <w:tcW w:w="1135" w:type="dxa"/>
                  <w:tcBorders>
                    <w:tl2br w:val="nil"/>
                    <w:tr2bl w:val="nil"/>
                  </w:tcBorders>
                  <w:vAlign w:val="center"/>
                </w:tcPr>
                <w:p w14:paraId="297C176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w:t>
                  </w:r>
                </w:p>
              </w:tc>
              <w:tc>
                <w:tcPr>
                  <w:tcW w:w="1135" w:type="dxa"/>
                  <w:tcBorders>
                    <w:tl2br w:val="nil"/>
                    <w:tr2bl w:val="nil"/>
                  </w:tcBorders>
                  <w:vAlign w:val="center"/>
                </w:tcPr>
                <w:p w14:paraId="2F8783A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0.14</w:t>
                  </w:r>
                </w:p>
              </w:tc>
              <w:tc>
                <w:tcPr>
                  <w:tcW w:w="1135" w:type="dxa"/>
                  <w:tcBorders>
                    <w:tl2br w:val="nil"/>
                    <w:tr2bl w:val="nil"/>
                  </w:tcBorders>
                  <w:vAlign w:val="center"/>
                </w:tcPr>
                <w:p w14:paraId="3B45ED9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0.14</w:t>
                  </w:r>
                </w:p>
              </w:tc>
              <w:tc>
                <w:tcPr>
                  <w:tcW w:w="1135" w:type="dxa"/>
                  <w:tcBorders>
                    <w:tl2br w:val="nil"/>
                    <w:tr2bl w:val="nil"/>
                  </w:tcBorders>
                  <w:vAlign w:val="center"/>
                </w:tcPr>
                <w:p w14:paraId="068BC9D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0.01296</w:t>
                  </w:r>
                </w:p>
              </w:tc>
            </w:tr>
          </w:tbl>
          <w:p w14:paraId="235F28CC">
            <w:pPr>
              <w:numPr>
                <w:ilvl w:val="0"/>
                <w:numId w:val="0"/>
              </w:numPr>
              <w:adjustRightInd w:val="0"/>
              <w:snapToGrid w:val="0"/>
              <w:spacing w:before="120" w:beforeLines="50" w:line="360" w:lineRule="auto"/>
              <w:ind w:firstLine="420" w:firstLineChars="200"/>
              <w:rPr>
                <w:color w:val="auto"/>
              </w:rPr>
            </w:pPr>
            <w:r>
              <w:rPr>
                <w:rFonts w:ascii="Times New Roman" w:hAnsi="Times New Roman" w:eastAsia="宋体" w:cs="Times New Roman"/>
                <w:color w:val="auto"/>
                <w:kern w:val="2"/>
                <w:sz w:val="21"/>
                <w:szCs w:val="24"/>
                <w:lang w:val="en-US" w:eastAsia="zh-CN" w:bidi="ar-SA"/>
              </w:rPr>
              <w:t>（2）</w:t>
            </w:r>
            <w:r>
              <w:rPr>
                <w:rFonts w:hint="eastAsia"/>
                <w:color w:val="auto"/>
              </w:rPr>
              <w:t>废水</w:t>
            </w:r>
          </w:p>
          <w:p w14:paraId="14ACD502">
            <w:pPr>
              <w:spacing w:line="360" w:lineRule="auto"/>
              <w:ind w:firstLine="420" w:firstLineChars="200"/>
              <w:rPr>
                <w:color w:val="auto"/>
              </w:rPr>
            </w:pPr>
            <w:r>
              <w:rPr>
                <w:color w:val="auto"/>
              </w:rPr>
              <w:t>根据</w:t>
            </w:r>
            <w:r>
              <w:rPr>
                <w:rFonts w:hint="eastAsia"/>
                <w:color w:val="auto"/>
              </w:rPr>
              <w:t>江苏晶瑞玻璃有限公司</w:t>
            </w:r>
            <w:r>
              <w:rPr>
                <w:color w:val="auto"/>
              </w:rPr>
              <w:t>实际生产情况，现有</w:t>
            </w:r>
            <w:r>
              <w:rPr>
                <w:rFonts w:hint="eastAsia"/>
                <w:color w:val="auto"/>
                <w:kern w:val="0"/>
                <w:szCs w:val="21"/>
              </w:rPr>
              <w:t>项目外排废水仅为生活污水，</w:t>
            </w:r>
            <w:r>
              <w:rPr>
                <w:color w:val="auto"/>
              </w:rPr>
              <w:t>废水量为</w:t>
            </w:r>
            <w:r>
              <w:rPr>
                <w:rFonts w:hint="eastAsia"/>
                <w:bCs/>
                <w:color w:val="auto"/>
                <w:szCs w:val="21"/>
              </w:rPr>
              <w:t>15787.2</w:t>
            </w:r>
            <w:r>
              <w:rPr>
                <w:color w:val="auto"/>
              </w:rPr>
              <w:t>t/a</w:t>
            </w:r>
            <w:r>
              <w:rPr>
                <w:rFonts w:hint="eastAsia"/>
                <w:color w:val="auto"/>
              </w:rPr>
              <w:t>，经厂区化粪池预处理后</w:t>
            </w:r>
            <w:r>
              <w:rPr>
                <w:color w:val="auto"/>
              </w:rPr>
              <w:t>接入市政污水管网，进入</w:t>
            </w:r>
            <w:r>
              <w:rPr>
                <w:rFonts w:hint="eastAsia"/>
                <w:color w:val="auto"/>
              </w:rPr>
              <w:t>城东污水处理厂二期</w:t>
            </w:r>
            <w:r>
              <w:rPr>
                <w:color w:val="auto"/>
              </w:rPr>
              <w:t>进一步处理</w:t>
            </w:r>
            <w:r>
              <w:rPr>
                <w:rFonts w:hint="eastAsia"/>
                <w:color w:val="auto"/>
              </w:rPr>
              <w:t>；生产废水为</w:t>
            </w:r>
            <w:r>
              <w:rPr>
                <w:rFonts w:hint="eastAsia"/>
                <w:color w:val="auto"/>
                <w:szCs w:val="21"/>
              </w:rPr>
              <w:t>漆雾处理废水、酸洗废水、</w:t>
            </w:r>
            <w:r>
              <w:rPr>
                <w:rFonts w:hint="eastAsia"/>
                <w:color w:val="auto"/>
                <w:kern w:val="0"/>
                <w:szCs w:val="21"/>
              </w:rPr>
              <w:t>水洗废水、碱喷淋废水，其中</w:t>
            </w:r>
            <w:r>
              <w:rPr>
                <w:rFonts w:hint="eastAsia"/>
                <w:color w:val="auto"/>
                <w:szCs w:val="21"/>
              </w:rPr>
              <w:t>漆雾处理废水经“</w:t>
            </w:r>
            <w:r>
              <w:rPr>
                <w:rFonts w:hint="eastAsia"/>
                <w:bCs/>
                <w:color w:val="auto"/>
                <w:szCs w:val="21"/>
              </w:rPr>
              <w:t>均质调节+絮凝沉淀</w:t>
            </w:r>
            <w:r>
              <w:rPr>
                <w:rFonts w:hint="eastAsia"/>
                <w:color w:val="auto"/>
                <w:szCs w:val="21"/>
              </w:rPr>
              <w:t>”处理后回用于生产，酸洗废水、</w:t>
            </w:r>
            <w:r>
              <w:rPr>
                <w:rFonts w:hint="eastAsia"/>
                <w:color w:val="auto"/>
                <w:kern w:val="0"/>
                <w:szCs w:val="21"/>
              </w:rPr>
              <w:t>水洗废水、碱喷淋废水经“</w:t>
            </w:r>
            <w:r>
              <w:rPr>
                <w:rFonts w:hint="eastAsia"/>
                <w:bCs/>
                <w:color w:val="auto"/>
                <w:szCs w:val="21"/>
              </w:rPr>
              <w:t>中和+絮凝沉淀</w:t>
            </w:r>
            <w:r>
              <w:rPr>
                <w:rFonts w:hint="eastAsia"/>
                <w:color w:val="auto"/>
                <w:kern w:val="0"/>
                <w:szCs w:val="21"/>
              </w:rPr>
              <w:t>”</w:t>
            </w:r>
            <w:r>
              <w:rPr>
                <w:rFonts w:hint="eastAsia"/>
                <w:color w:val="auto"/>
                <w:szCs w:val="21"/>
              </w:rPr>
              <w:t>处理后回用于生产，均不外排。</w:t>
            </w:r>
          </w:p>
          <w:p w14:paraId="4574585C">
            <w:pPr>
              <w:pStyle w:val="10"/>
              <w:spacing w:before="0" w:after="0" w:line="360" w:lineRule="auto"/>
              <w:ind w:right="0" w:firstLine="420" w:firstLineChars="200"/>
              <w:rPr>
                <w:color w:val="auto"/>
                <w:sz w:val="21"/>
                <w:szCs w:val="22"/>
              </w:rPr>
            </w:pPr>
            <w:r>
              <w:rPr>
                <w:rFonts w:hint="eastAsia"/>
                <w:color w:val="auto"/>
                <w:sz w:val="21"/>
                <w:szCs w:val="21"/>
              </w:rPr>
              <w:t>根据企业现有项目在2023年5月10日</w:t>
            </w:r>
            <w:r>
              <w:rPr>
                <w:color w:val="auto"/>
                <w:sz w:val="21"/>
                <w:szCs w:val="21"/>
              </w:rPr>
              <w:t>监测期间</w:t>
            </w:r>
            <w:r>
              <w:rPr>
                <w:rFonts w:hint="eastAsia"/>
                <w:color w:val="auto"/>
                <w:sz w:val="21"/>
                <w:szCs w:val="22"/>
              </w:rPr>
              <w:t>各项污染物指标均达到城东污水处理厂接管标准，监测结果与评价见表2-1</w:t>
            </w:r>
            <w:r>
              <w:rPr>
                <w:rFonts w:hint="eastAsia"/>
                <w:color w:val="auto"/>
                <w:sz w:val="21"/>
                <w:szCs w:val="22"/>
                <w:lang w:val="en-US" w:eastAsia="zh-CN"/>
              </w:rPr>
              <w:t>8</w:t>
            </w:r>
            <w:r>
              <w:rPr>
                <w:rFonts w:hint="eastAsia"/>
                <w:color w:val="auto"/>
                <w:sz w:val="21"/>
                <w:szCs w:val="22"/>
              </w:rPr>
              <w:t>。</w:t>
            </w:r>
          </w:p>
          <w:p w14:paraId="1B6EA8D3">
            <w:pPr>
              <w:spacing w:before="120" w:beforeLines="50"/>
              <w:jc w:val="center"/>
              <w:rPr>
                <w:color w:val="auto"/>
              </w:rPr>
            </w:pPr>
            <w:r>
              <w:rPr>
                <w:b/>
                <w:bCs/>
                <w:color w:val="auto"/>
              </w:rPr>
              <w:t>表2-</w:t>
            </w:r>
            <w:r>
              <w:rPr>
                <w:rFonts w:hint="eastAsia"/>
                <w:b/>
                <w:bCs/>
                <w:color w:val="auto"/>
              </w:rPr>
              <w:t>1</w:t>
            </w:r>
            <w:r>
              <w:rPr>
                <w:rFonts w:hint="eastAsia"/>
                <w:b/>
                <w:bCs/>
                <w:color w:val="auto"/>
                <w:lang w:val="en-US" w:eastAsia="zh-CN"/>
              </w:rPr>
              <w:t>8</w:t>
            </w:r>
            <w:r>
              <w:rPr>
                <w:rFonts w:hint="eastAsia"/>
                <w:b/>
                <w:bCs/>
                <w:color w:val="auto"/>
              </w:rPr>
              <w:t xml:space="preserve"> 现有项目生活污水检</w:t>
            </w:r>
            <w:r>
              <w:rPr>
                <w:b/>
                <w:bCs/>
                <w:color w:val="auto"/>
              </w:rPr>
              <w:t>测结果</w:t>
            </w:r>
            <w:r>
              <w:rPr>
                <w:rFonts w:hint="eastAsia"/>
                <w:b/>
                <w:bCs/>
                <w:color w:val="auto"/>
              </w:rPr>
              <w:t>表</w:t>
            </w:r>
          </w:p>
          <w:tbl>
            <w:tblPr>
              <w:tblStyle w:val="82"/>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28" w:type="dxa"/>
                <w:bottom w:w="0" w:type="dxa"/>
                <w:right w:w="28" w:type="dxa"/>
              </w:tblCellMar>
            </w:tblPr>
            <w:tblGrid>
              <w:gridCol w:w="1109"/>
              <w:gridCol w:w="1181"/>
              <w:gridCol w:w="1550"/>
              <w:gridCol w:w="795"/>
              <w:gridCol w:w="858"/>
              <w:gridCol w:w="850"/>
              <w:gridCol w:w="858"/>
              <w:gridCol w:w="744"/>
            </w:tblGrid>
            <w:tr w14:paraId="51DA1E2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1109" w:type="dxa"/>
                  <w:vMerge w:val="restart"/>
                  <w:tcBorders>
                    <w:tl2br w:val="nil"/>
                    <w:tr2bl w:val="nil"/>
                  </w:tcBorders>
                  <w:vAlign w:val="center"/>
                </w:tcPr>
                <w:p w14:paraId="7F4F739A">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3"/>
                      <w:sz w:val="21"/>
                      <w:szCs w:val="21"/>
                    </w:rPr>
                    <w:t>采样日期</w:t>
                  </w:r>
                </w:p>
              </w:tc>
              <w:tc>
                <w:tcPr>
                  <w:tcW w:w="1181" w:type="dxa"/>
                  <w:vMerge w:val="restart"/>
                  <w:tcBorders>
                    <w:tl2br w:val="nil"/>
                    <w:tr2bl w:val="nil"/>
                  </w:tcBorders>
                  <w:vAlign w:val="center"/>
                </w:tcPr>
                <w:p w14:paraId="2612C9B1">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2"/>
                      <w:sz w:val="21"/>
                      <w:szCs w:val="21"/>
                    </w:rPr>
                    <w:t>采样点位</w:t>
                  </w:r>
                </w:p>
              </w:tc>
              <w:tc>
                <w:tcPr>
                  <w:tcW w:w="1550" w:type="dxa"/>
                  <w:vMerge w:val="restart"/>
                  <w:tcBorders>
                    <w:tl2br w:val="nil"/>
                    <w:tr2bl w:val="nil"/>
                  </w:tcBorders>
                  <w:vAlign w:val="center"/>
                </w:tcPr>
                <w:p w14:paraId="39D050C3">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9"/>
                      <w:sz w:val="21"/>
                      <w:szCs w:val="21"/>
                    </w:rPr>
                    <w:t>检测项目</w:t>
                  </w:r>
                </w:p>
              </w:tc>
              <w:tc>
                <w:tcPr>
                  <w:tcW w:w="3361" w:type="dxa"/>
                  <w:gridSpan w:val="4"/>
                  <w:tcBorders>
                    <w:tl2br w:val="nil"/>
                    <w:tr2bl w:val="nil"/>
                  </w:tcBorders>
                  <w:vAlign w:val="center"/>
                </w:tcPr>
                <w:p w14:paraId="07B70AEE">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2"/>
                      <w:sz w:val="21"/>
                      <w:szCs w:val="21"/>
                    </w:rPr>
                    <w:t>检测结果</w:t>
                  </w:r>
                </w:p>
              </w:tc>
              <w:tc>
                <w:tcPr>
                  <w:tcW w:w="744" w:type="dxa"/>
                  <w:vMerge w:val="restart"/>
                  <w:tcBorders>
                    <w:tl2br w:val="nil"/>
                    <w:tr2bl w:val="nil"/>
                  </w:tcBorders>
                  <w:vAlign w:val="center"/>
                </w:tcPr>
                <w:p w14:paraId="142B07E2">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3"/>
                      <w:sz w:val="21"/>
                      <w:szCs w:val="21"/>
                    </w:rPr>
                    <w:t>单位</w:t>
                  </w:r>
                </w:p>
              </w:tc>
            </w:tr>
            <w:tr w14:paraId="38463F2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1109" w:type="dxa"/>
                  <w:vMerge w:val="continue"/>
                  <w:tcBorders>
                    <w:tl2br w:val="nil"/>
                    <w:tr2bl w:val="nil"/>
                  </w:tcBorders>
                  <w:vAlign w:val="center"/>
                </w:tcPr>
                <w:p w14:paraId="37C388B9">
                  <w:pPr>
                    <w:autoSpaceDE/>
                    <w:autoSpaceDN/>
                    <w:jc w:val="center"/>
                    <w:rPr>
                      <w:color w:val="auto"/>
                      <w:szCs w:val="21"/>
                      <w:lang w:eastAsia="en-US"/>
                    </w:rPr>
                  </w:pPr>
                </w:p>
              </w:tc>
              <w:tc>
                <w:tcPr>
                  <w:tcW w:w="1181" w:type="dxa"/>
                  <w:vMerge w:val="continue"/>
                  <w:tcBorders>
                    <w:tl2br w:val="nil"/>
                    <w:tr2bl w:val="nil"/>
                  </w:tcBorders>
                  <w:vAlign w:val="center"/>
                </w:tcPr>
                <w:p w14:paraId="6360F0C7">
                  <w:pPr>
                    <w:autoSpaceDE/>
                    <w:autoSpaceDN/>
                    <w:jc w:val="center"/>
                    <w:rPr>
                      <w:color w:val="auto"/>
                      <w:szCs w:val="21"/>
                      <w:lang w:eastAsia="en-US"/>
                    </w:rPr>
                  </w:pPr>
                </w:p>
              </w:tc>
              <w:tc>
                <w:tcPr>
                  <w:tcW w:w="1550" w:type="dxa"/>
                  <w:vMerge w:val="continue"/>
                  <w:tcBorders>
                    <w:tl2br w:val="nil"/>
                    <w:tr2bl w:val="nil"/>
                  </w:tcBorders>
                  <w:vAlign w:val="center"/>
                </w:tcPr>
                <w:p w14:paraId="1901FEC0">
                  <w:pPr>
                    <w:autoSpaceDE/>
                    <w:autoSpaceDN/>
                    <w:jc w:val="center"/>
                    <w:rPr>
                      <w:color w:val="auto"/>
                      <w:szCs w:val="21"/>
                      <w:lang w:eastAsia="en-US"/>
                    </w:rPr>
                  </w:pPr>
                </w:p>
              </w:tc>
              <w:tc>
                <w:tcPr>
                  <w:tcW w:w="795" w:type="dxa"/>
                  <w:tcBorders>
                    <w:tl2br w:val="nil"/>
                    <w:tr2bl w:val="nil"/>
                  </w:tcBorders>
                  <w:vAlign w:val="center"/>
                </w:tcPr>
                <w:p w14:paraId="7C96DA45">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3"/>
                      <w:sz w:val="21"/>
                      <w:szCs w:val="21"/>
                    </w:rPr>
                    <w:t>第一次</w:t>
                  </w:r>
                </w:p>
              </w:tc>
              <w:tc>
                <w:tcPr>
                  <w:tcW w:w="858" w:type="dxa"/>
                  <w:tcBorders>
                    <w:tl2br w:val="nil"/>
                    <w:tr2bl w:val="nil"/>
                  </w:tcBorders>
                  <w:vAlign w:val="center"/>
                </w:tcPr>
                <w:p w14:paraId="4240970E">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2"/>
                      <w:sz w:val="21"/>
                      <w:szCs w:val="21"/>
                    </w:rPr>
                    <w:t>第二次</w:t>
                  </w:r>
                </w:p>
              </w:tc>
              <w:tc>
                <w:tcPr>
                  <w:tcW w:w="850" w:type="dxa"/>
                  <w:tcBorders>
                    <w:tl2br w:val="nil"/>
                    <w:tr2bl w:val="nil"/>
                  </w:tcBorders>
                  <w:vAlign w:val="center"/>
                </w:tcPr>
                <w:p w14:paraId="42EFD604">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2"/>
                      <w:sz w:val="21"/>
                      <w:szCs w:val="21"/>
                    </w:rPr>
                    <w:t>第三次</w:t>
                  </w:r>
                </w:p>
              </w:tc>
              <w:tc>
                <w:tcPr>
                  <w:tcW w:w="858" w:type="dxa"/>
                  <w:tcBorders>
                    <w:tl2br w:val="nil"/>
                    <w:tr2bl w:val="nil"/>
                  </w:tcBorders>
                  <w:vAlign w:val="center"/>
                </w:tcPr>
                <w:p w14:paraId="05F240CE">
                  <w:pPr>
                    <w:pStyle w:val="99"/>
                    <w:autoSpaceDE/>
                    <w:autoSpaceDN/>
                    <w:jc w:val="center"/>
                    <w:rPr>
                      <w:rFonts w:ascii="Times New Roman" w:hAnsi="Times New Roman" w:cs="Times New Roman"/>
                      <w:b/>
                      <w:bCs/>
                      <w:color w:val="auto"/>
                      <w:sz w:val="21"/>
                      <w:szCs w:val="21"/>
                    </w:rPr>
                  </w:pPr>
                  <w:r>
                    <w:rPr>
                      <w:rFonts w:ascii="Times New Roman" w:hAnsi="Times New Roman" w:cs="Times New Roman"/>
                      <w:b/>
                      <w:bCs/>
                      <w:color w:val="auto"/>
                      <w:spacing w:val="-3"/>
                      <w:sz w:val="21"/>
                      <w:szCs w:val="21"/>
                    </w:rPr>
                    <w:t>均值</w:t>
                  </w:r>
                </w:p>
              </w:tc>
              <w:tc>
                <w:tcPr>
                  <w:tcW w:w="744" w:type="dxa"/>
                  <w:vMerge w:val="continue"/>
                  <w:tcBorders>
                    <w:tl2br w:val="nil"/>
                    <w:tr2bl w:val="nil"/>
                  </w:tcBorders>
                  <w:vAlign w:val="center"/>
                </w:tcPr>
                <w:p w14:paraId="39ACE126">
                  <w:pPr>
                    <w:autoSpaceDE/>
                    <w:autoSpaceDN/>
                    <w:jc w:val="center"/>
                    <w:rPr>
                      <w:color w:val="auto"/>
                      <w:szCs w:val="21"/>
                      <w:lang w:eastAsia="en-US"/>
                    </w:rPr>
                  </w:pPr>
                </w:p>
              </w:tc>
            </w:tr>
            <w:tr w14:paraId="67AABEF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1109" w:type="dxa"/>
                  <w:vMerge w:val="restart"/>
                  <w:tcBorders>
                    <w:tl2br w:val="nil"/>
                    <w:tr2bl w:val="nil"/>
                  </w:tcBorders>
                  <w:vAlign w:val="center"/>
                </w:tcPr>
                <w:p w14:paraId="79F0A40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2023.05.10</w:t>
                  </w:r>
                </w:p>
              </w:tc>
              <w:tc>
                <w:tcPr>
                  <w:tcW w:w="1181" w:type="dxa"/>
                  <w:vMerge w:val="restart"/>
                  <w:tcBorders>
                    <w:tl2br w:val="nil"/>
                    <w:tr2bl w:val="nil"/>
                  </w:tcBorders>
                  <w:vAlign w:val="center"/>
                </w:tcPr>
                <w:p w14:paraId="1FD1DF5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DW001</w:t>
                  </w:r>
                  <w:r>
                    <w:rPr>
                      <w:rFonts w:ascii="Times New Roman" w:hAnsi="Times New Roman" w:cs="Times New Roman"/>
                      <w:color w:val="auto"/>
                      <w:spacing w:val="4"/>
                      <w:sz w:val="21"/>
                      <w:szCs w:val="21"/>
                    </w:rPr>
                    <w:t>生活废水排放口</w:t>
                  </w:r>
                </w:p>
                <w:p w14:paraId="5170C53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★W1</w:t>
                  </w:r>
                </w:p>
              </w:tc>
              <w:tc>
                <w:tcPr>
                  <w:tcW w:w="1550" w:type="dxa"/>
                  <w:tcBorders>
                    <w:tl2br w:val="nil"/>
                    <w:tr2bl w:val="nil"/>
                  </w:tcBorders>
                  <w:vAlign w:val="center"/>
                </w:tcPr>
                <w:p w14:paraId="6E4AE84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pH值</w:t>
                  </w:r>
                </w:p>
              </w:tc>
              <w:tc>
                <w:tcPr>
                  <w:tcW w:w="795" w:type="dxa"/>
                  <w:tcBorders>
                    <w:tl2br w:val="nil"/>
                    <w:tr2bl w:val="nil"/>
                  </w:tcBorders>
                  <w:vAlign w:val="center"/>
                </w:tcPr>
                <w:p w14:paraId="4ABE046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6.4</w:t>
                  </w:r>
                </w:p>
              </w:tc>
              <w:tc>
                <w:tcPr>
                  <w:tcW w:w="858" w:type="dxa"/>
                  <w:tcBorders>
                    <w:tl2br w:val="nil"/>
                    <w:tr2bl w:val="nil"/>
                  </w:tcBorders>
                  <w:vAlign w:val="center"/>
                </w:tcPr>
                <w:p w14:paraId="76BC7D3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6.5</w:t>
                  </w:r>
                </w:p>
              </w:tc>
              <w:tc>
                <w:tcPr>
                  <w:tcW w:w="850" w:type="dxa"/>
                  <w:tcBorders>
                    <w:tl2br w:val="nil"/>
                    <w:tr2bl w:val="nil"/>
                  </w:tcBorders>
                  <w:vAlign w:val="center"/>
                </w:tcPr>
                <w:p w14:paraId="381CD35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6.4</w:t>
                  </w:r>
                </w:p>
              </w:tc>
              <w:tc>
                <w:tcPr>
                  <w:tcW w:w="858" w:type="dxa"/>
                  <w:tcBorders>
                    <w:tl2br w:val="nil"/>
                    <w:tr2bl w:val="nil"/>
                  </w:tcBorders>
                  <w:vAlign w:val="center"/>
                </w:tcPr>
                <w:p w14:paraId="44E39B9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z w:val="21"/>
                      <w:szCs w:val="21"/>
                    </w:rPr>
                    <w:t>/</w:t>
                  </w:r>
                </w:p>
              </w:tc>
              <w:tc>
                <w:tcPr>
                  <w:tcW w:w="744" w:type="dxa"/>
                  <w:tcBorders>
                    <w:tl2br w:val="nil"/>
                    <w:tr2bl w:val="nil"/>
                  </w:tcBorders>
                  <w:vAlign w:val="center"/>
                </w:tcPr>
                <w:p w14:paraId="6AD4256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4"/>
                      <w:sz w:val="21"/>
                      <w:szCs w:val="21"/>
                    </w:rPr>
                    <w:t>无量纲</w:t>
                  </w:r>
                </w:p>
              </w:tc>
            </w:tr>
            <w:tr w14:paraId="3AF3AD1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1109" w:type="dxa"/>
                  <w:vMerge w:val="continue"/>
                  <w:tcBorders>
                    <w:tl2br w:val="nil"/>
                    <w:tr2bl w:val="nil"/>
                  </w:tcBorders>
                  <w:vAlign w:val="center"/>
                </w:tcPr>
                <w:p w14:paraId="1C6C397C">
                  <w:pPr>
                    <w:autoSpaceDE/>
                    <w:autoSpaceDN/>
                    <w:jc w:val="center"/>
                    <w:rPr>
                      <w:color w:val="auto"/>
                      <w:szCs w:val="21"/>
                      <w:lang w:eastAsia="en-US"/>
                    </w:rPr>
                  </w:pPr>
                </w:p>
              </w:tc>
              <w:tc>
                <w:tcPr>
                  <w:tcW w:w="1181" w:type="dxa"/>
                  <w:vMerge w:val="continue"/>
                  <w:tcBorders>
                    <w:tl2br w:val="nil"/>
                    <w:tr2bl w:val="nil"/>
                  </w:tcBorders>
                  <w:vAlign w:val="center"/>
                </w:tcPr>
                <w:p w14:paraId="7EE60F47">
                  <w:pPr>
                    <w:autoSpaceDE/>
                    <w:autoSpaceDN/>
                    <w:jc w:val="center"/>
                    <w:rPr>
                      <w:color w:val="auto"/>
                      <w:szCs w:val="21"/>
                      <w:lang w:eastAsia="en-US"/>
                    </w:rPr>
                  </w:pPr>
                </w:p>
              </w:tc>
              <w:tc>
                <w:tcPr>
                  <w:tcW w:w="1550" w:type="dxa"/>
                  <w:tcBorders>
                    <w:tl2br w:val="nil"/>
                    <w:tr2bl w:val="nil"/>
                  </w:tcBorders>
                  <w:vAlign w:val="center"/>
                </w:tcPr>
                <w:p w14:paraId="5AE510B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化学需氧量</w:t>
                  </w:r>
                </w:p>
              </w:tc>
              <w:tc>
                <w:tcPr>
                  <w:tcW w:w="795" w:type="dxa"/>
                  <w:tcBorders>
                    <w:tl2br w:val="nil"/>
                    <w:tr2bl w:val="nil"/>
                  </w:tcBorders>
                  <w:vAlign w:val="center"/>
                </w:tcPr>
                <w:p w14:paraId="20BE914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388</w:t>
                  </w:r>
                </w:p>
              </w:tc>
              <w:tc>
                <w:tcPr>
                  <w:tcW w:w="858" w:type="dxa"/>
                  <w:tcBorders>
                    <w:tl2br w:val="nil"/>
                    <w:tr2bl w:val="nil"/>
                  </w:tcBorders>
                  <w:vAlign w:val="center"/>
                </w:tcPr>
                <w:p w14:paraId="49D6FF2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383</w:t>
                  </w:r>
                </w:p>
              </w:tc>
              <w:tc>
                <w:tcPr>
                  <w:tcW w:w="850" w:type="dxa"/>
                  <w:tcBorders>
                    <w:tl2br w:val="nil"/>
                    <w:tr2bl w:val="nil"/>
                  </w:tcBorders>
                  <w:vAlign w:val="center"/>
                </w:tcPr>
                <w:p w14:paraId="5806FF7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396</w:t>
                  </w:r>
                </w:p>
              </w:tc>
              <w:tc>
                <w:tcPr>
                  <w:tcW w:w="858" w:type="dxa"/>
                  <w:tcBorders>
                    <w:tl2br w:val="nil"/>
                    <w:tr2bl w:val="nil"/>
                  </w:tcBorders>
                  <w:vAlign w:val="center"/>
                </w:tcPr>
                <w:p w14:paraId="1F82531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389</w:t>
                  </w:r>
                </w:p>
              </w:tc>
              <w:tc>
                <w:tcPr>
                  <w:tcW w:w="744" w:type="dxa"/>
                  <w:tcBorders>
                    <w:tl2br w:val="nil"/>
                    <w:tr2bl w:val="nil"/>
                  </w:tcBorders>
                  <w:vAlign w:val="center"/>
                </w:tcPr>
                <w:p w14:paraId="65BA664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mg/L</w:t>
                  </w:r>
                </w:p>
              </w:tc>
            </w:tr>
            <w:tr w14:paraId="6BE6E20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1109" w:type="dxa"/>
                  <w:vMerge w:val="continue"/>
                  <w:tcBorders>
                    <w:tl2br w:val="nil"/>
                    <w:tr2bl w:val="nil"/>
                  </w:tcBorders>
                  <w:vAlign w:val="center"/>
                </w:tcPr>
                <w:p w14:paraId="3143C3F0">
                  <w:pPr>
                    <w:autoSpaceDE/>
                    <w:autoSpaceDN/>
                    <w:jc w:val="center"/>
                    <w:rPr>
                      <w:color w:val="auto"/>
                      <w:szCs w:val="21"/>
                      <w:lang w:eastAsia="en-US"/>
                    </w:rPr>
                  </w:pPr>
                </w:p>
              </w:tc>
              <w:tc>
                <w:tcPr>
                  <w:tcW w:w="1181" w:type="dxa"/>
                  <w:vMerge w:val="continue"/>
                  <w:tcBorders>
                    <w:tl2br w:val="nil"/>
                    <w:tr2bl w:val="nil"/>
                  </w:tcBorders>
                  <w:vAlign w:val="center"/>
                </w:tcPr>
                <w:p w14:paraId="0FC0A8B4">
                  <w:pPr>
                    <w:autoSpaceDE/>
                    <w:autoSpaceDN/>
                    <w:jc w:val="center"/>
                    <w:rPr>
                      <w:color w:val="auto"/>
                      <w:szCs w:val="21"/>
                      <w:lang w:eastAsia="en-US"/>
                    </w:rPr>
                  </w:pPr>
                </w:p>
              </w:tc>
              <w:tc>
                <w:tcPr>
                  <w:tcW w:w="1550" w:type="dxa"/>
                  <w:tcBorders>
                    <w:tl2br w:val="nil"/>
                    <w:tr2bl w:val="nil"/>
                  </w:tcBorders>
                  <w:vAlign w:val="center"/>
                </w:tcPr>
                <w:p w14:paraId="6D14C50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悬浮物</w:t>
                  </w:r>
                </w:p>
              </w:tc>
              <w:tc>
                <w:tcPr>
                  <w:tcW w:w="795" w:type="dxa"/>
                  <w:tcBorders>
                    <w:tl2br w:val="nil"/>
                    <w:tr2bl w:val="nil"/>
                  </w:tcBorders>
                  <w:vAlign w:val="center"/>
                </w:tcPr>
                <w:p w14:paraId="50D85E6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24</w:t>
                  </w:r>
                </w:p>
              </w:tc>
              <w:tc>
                <w:tcPr>
                  <w:tcW w:w="858" w:type="dxa"/>
                  <w:tcBorders>
                    <w:tl2br w:val="nil"/>
                    <w:tr2bl w:val="nil"/>
                  </w:tcBorders>
                  <w:vAlign w:val="center"/>
                </w:tcPr>
                <w:p w14:paraId="17A9CDB7">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27</w:t>
                  </w:r>
                </w:p>
              </w:tc>
              <w:tc>
                <w:tcPr>
                  <w:tcW w:w="850" w:type="dxa"/>
                  <w:tcBorders>
                    <w:tl2br w:val="nil"/>
                    <w:tr2bl w:val="nil"/>
                  </w:tcBorders>
                  <w:vAlign w:val="center"/>
                </w:tcPr>
                <w:p w14:paraId="68459F7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26</w:t>
                  </w:r>
                </w:p>
              </w:tc>
              <w:tc>
                <w:tcPr>
                  <w:tcW w:w="858" w:type="dxa"/>
                  <w:tcBorders>
                    <w:tl2br w:val="nil"/>
                    <w:tr2bl w:val="nil"/>
                  </w:tcBorders>
                  <w:vAlign w:val="center"/>
                </w:tcPr>
                <w:p w14:paraId="5203D56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26</w:t>
                  </w:r>
                </w:p>
              </w:tc>
              <w:tc>
                <w:tcPr>
                  <w:tcW w:w="744" w:type="dxa"/>
                  <w:tcBorders>
                    <w:tl2br w:val="nil"/>
                    <w:tr2bl w:val="nil"/>
                  </w:tcBorders>
                  <w:vAlign w:val="center"/>
                </w:tcPr>
                <w:p w14:paraId="781F82B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mg/L</w:t>
                  </w:r>
                </w:p>
              </w:tc>
            </w:tr>
            <w:tr w14:paraId="47E7CB5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1109" w:type="dxa"/>
                  <w:vMerge w:val="continue"/>
                  <w:tcBorders>
                    <w:tl2br w:val="nil"/>
                    <w:tr2bl w:val="nil"/>
                  </w:tcBorders>
                  <w:vAlign w:val="center"/>
                </w:tcPr>
                <w:p w14:paraId="1379F2E6">
                  <w:pPr>
                    <w:autoSpaceDE/>
                    <w:autoSpaceDN/>
                    <w:jc w:val="center"/>
                    <w:rPr>
                      <w:color w:val="auto"/>
                      <w:szCs w:val="21"/>
                      <w:lang w:eastAsia="en-US"/>
                    </w:rPr>
                  </w:pPr>
                </w:p>
              </w:tc>
              <w:tc>
                <w:tcPr>
                  <w:tcW w:w="1181" w:type="dxa"/>
                  <w:vMerge w:val="continue"/>
                  <w:tcBorders>
                    <w:tl2br w:val="nil"/>
                    <w:tr2bl w:val="nil"/>
                  </w:tcBorders>
                  <w:vAlign w:val="center"/>
                </w:tcPr>
                <w:p w14:paraId="486818A0">
                  <w:pPr>
                    <w:autoSpaceDE/>
                    <w:autoSpaceDN/>
                    <w:jc w:val="center"/>
                    <w:rPr>
                      <w:color w:val="auto"/>
                      <w:szCs w:val="21"/>
                      <w:lang w:eastAsia="en-US"/>
                    </w:rPr>
                  </w:pPr>
                </w:p>
              </w:tc>
              <w:tc>
                <w:tcPr>
                  <w:tcW w:w="1550" w:type="dxa"/>
                  <w:tcBorders>
                    <w:tl2br w:val="nil"/>
                    <w:tr2bl w:val="nil"/>
                  </w:tcBorders>
                  <w:vAlign w:val="center"/>
                </w:tcPr>
                <w:p w14:paraId="5C859F5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氨氮</w:t>
                  </w:r>
                </w:p>
              </w:tc>
              <w:tc>
                <w:tcPr>
                  <w:tcW w:w="795" w:type="dxa"/>
                  <w:tcBorders>
                    <w:tl2br w:val="nil"/>
                    <w:tr2bl w:val="nil"/>
                  </w:tcBorders>
                  <w:vAlign w:val="center"/>
                </w:tcPr>
                <w:p w14:paraId="0D3FD2E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25.2</w:t>
                  </w:r>
                </w:p>
              </w:tc>
              <w:tc>
                <w:tcPr>
                  <w:tcW w:w="858" w:type="dxa"/>
                  <w:tcBorders>
                    <w:tl2br w:val="nil"/>
                    <w:tr2bl w:val="nil"/>
                  </w:tcBorders>
                  <w:vAlign w:val="center"/>
                </w:tcPr>
                <w:p w14:paraId="648AEE7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21.3</w:t>
                  </w:r>
                </w:p>
              </w:tc>
              <w:tc>
                <w:tcPr>
                  <w:tcW w:w="850" w:type="dxa"/>
                  <w:tcBorders>
                    <w:tl2br w:val="nil"/>
                    <w:tr2bl w:val="nil"/>
                  </w:tcBorders>
                  <w:vAlign w:val="center"/>
                </w:tcPr>
                <w:p w14:paraId="40EC13F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23.5</w:t>
                  </w:r>
                </w:p>
              </w:tc>
              <w:tc>
                <w:tcPr>
                  <w:tcW w:w="858" w:type="dxa"/>
                  <w:tcBorders>
                    <w:tl2br w:val="nil"/>
                    <w:tr2bl w:val="nil"/>
                  </w:tcBorders>
                  <w:vAlign w:val="center"/>
                </w:tcPr>
                <w:p w14:paraId="3BC5D8E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23.3</w:t>
                  </w:r>
                </w:p>
              </w:tc>
              <w:tc>
                <w:tcPr>
                  <w:tcW w:w="744" w:type="dxa"/>
                  <w:tcBorders>
                    <w:tl2br w:val="nil"/>
                    <w:tr2bl w:val="nil"/>
                  </w:tcBorders>
                  <w:vAlign w:val="center"/>
                </w:tcPr>
                <w:p w14:paraId="301F9D7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mg/L</w:t>
                  </w:r>
                </w:p>
              </w:tc>
            </w:tr>
            <w:tr w14:paraId="730B938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1109" w:type="dxa"/>
                  <w:vMerge w:val="continue"/>
                  <w:tcBorders>
                    <w:tl2br w:val="nil"/>
                    <w:tr2bl w:val="nil"/>
                  </w:tcBorders>
                  <w:vAlign w:val="center"/>
                </w:tcPr>
                <w:p w14:paraId="2271D4C1">
                  <w:pPr>
                    <w:autoSpaceDE/>
                    <w:autoSpaceDN/>
                    <w:jc w:val="center"/>
                    <w:rPr>
                      <w:color w:val="auto"/>
                      <w:szCs w:val="21"/>
                      <w:lang w:eastAsia="en-US"/>
                    </w:rPr>
                  </w:pPr>
                </w:p>
              </w:tc>
              <w:tc>
                <w:tcPr>
                  <w:tcW w:w="1181" w:type="dxa"/>
                  <w:vMerge w:val="continue"/>
                  <w:tcBorders>
                    <w:tl2br w:val="nil"/>
                    <w:tr2bl w:val="nil"/>
                  </w:tcBorders>
                  <w:vAlign w:val="center"/>
                </w:tcPr>
                <w:p w14:paraId="03FBB068">
                  <w:pPr>
                    <w:autoSpaceDE/>
                    <w:autoSpaceDN/>
                    <w:jc w:val="center"/>
                    <w:rPr>
                      <w:color w:val="auto"/>
                      <w:szCs w:val="21"/>
                      <w:lang w:eastAsia="en-US"/>
                    </w:rPr>
                  </w:pPr>
                </w:p>
              </w:tc>
              <w:tc>
                <w:tcPr>
                  <w:tcW w:w="1550" w:type="dxa"/>
                  <w:tcBorders>
                    <w:tl2br w:val="nil"/>
                    <w:tr2bl w:val="nil"/>
                  </w:tcBorders>
                  <w:vAlign w:val="center"/>
                </w:tcPr>
                <w:p w14:paraId="69AB3369">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4"/>
                      <w:sz w:val="21"/>
                      <w:szCs w:val="21"/>
                    </w:rPr>
                    <w:t>总磷</w:t>
                  </w:r>
                </w:p>
              </w:tc>
              <w:tc>
                <w:tcPr>
                  <w:tcW w:w="795" w:type="dxa"/>
                  <w:tcBorders>
                    <w:tl2br w:val="nil"/>
                    <w:tr2bl w:val="nil"/>
                  </w:tcBorders>
                  <w:vAlign w:val="center"/>
                </w:tcPr>
                <w:p w14:paraId="67E034BC">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2.90</w:t>
                  </w:r>
                </w:p>
              </w:tc>
              <w:tc>
                <w:tcPr>
                  <w:tcW w:w="858" w:type="dxa"/>
                  <w:tcBorders>
                    <w:tl2br w:val="nil"/>
                    <w:tr2bl w:val="nil"/>
                  </w:tcBorders>
                  <w:vAlign w:val="center"/>
                </w:tcPr>
                <w:p w14:paraId="1F53F83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3.16</w:t>
                  </w:r>
                </w:p>
              </w:tc>
              <w:tc>
                <w:tcPr>
                  <w:tcW w:w="850" w:type="dxa"/>
                  <w:tcBorders>
                    <w:tl2br w:val="nil"/>
                    <w:tr2bl w:val="nil"/>
                  </w:tcBorders>
                  <w:vAlign w:val="center"/>
                </w:tcPr>
                <w:p w14:paraId="73667A1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3.02</w:t>
                  </w:r>
                </w:p>
              </w:tc>
              <w:tc>
                <w:tcPr>
                  <w:tcW w:w="858" w:type="dxa"/>
                  <w:tcBorders>
                    <w:tl2br w:val="nil"/>
                    <w:tr2bl w:val="nil"/>
                  </w:tcBorders>
                  <w:vAlign w:val="center"/>
                </w:tcPr>
                <w:p w14:paraId="3D65FCC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3.03</w:t>
                  </w:r>
                </w:p>
              </w:tc>
              <w:tc>
                <w:tcPr>
                  <w:tcW w:w="744" w:type="dxa"/>
                  <w:tcBorders>
                    <w:tl2br w:val="nil"/>
                    <w:tr2bl w:val="nil"/>
                  </w:tcBorders>
                  <w:vAlign w:val="center"/>
                </w:tcPr>
                <w:p w14:paraId="0CA00C7B">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mg/L</w:t>
                  </w:r>
                </w:p>
              </w:tc>
            </w:tr>
            <w:tr w14:paraId="0FE8AE1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1109" w:type="dxa"/>
                  <w:vMerge w:val="continue"/>
                  <w:tcBorders>
                    <w:tl2br w:val="nil"/>
                    <w:tr2bl w:val="nil"/>
                  </w:tcBorders>
                  <w:vAlign w:val="center"/>
                </w:tcPr>
                <w:p w14:paraId="1E26F7B6">
                  <w:pPr>
                    <w:autoSpaceDE/>
                    <w:autoSpaceDN/>
                    <w:jc w:val="center"/>
                    <w:rPr>
                      <w:color w:val="auto"/>
                      <w:szCs w:val="21"/>
                      <w:lang w:eastAsia="en-US"/>
                    </w:rPr>
                  </w:pPr>
                </w:p>
              </w:tc>
              <w:tc>
                <w:tcPr>
                  <w:tcW w:w="1181" w:type="dxa"/>
                  <w:vMerge w:val="continue"/>
                  <w:tcBorders>
                    <w:tl2br w:val="nil"/>
                    <w:tr2bl w:val="nil"/>
                  </w:tcBorders>
                  <w:vAlign w:val="center"/>
                </w:tcPr>
                <w:p w14:paraId="57F9C2FA">
                  <w:pPr>
                    <w:autoSpaceDE/>
                    <w:autoSpaceDN/>
                    <w:jc w:val="center"/>
                    <w:rPr>
                      <w:color w:val="auto"/>
                      <w:szCs w:val="21"/>
                      <w:lang w:eastAsia="en-US"/>
                    </w:rPr>
                  </w:pPr>
                </w:p>
              </w:tc>
              <w:tc>
                <w:tcPr>
                  <w:tcW w:w="1550" w:type="dxa"/>
                  <w:tcBorders>
                    <w:tl2br w:val="nil"/>
                    <w:tr2bl w:val="nil"/>
                  </w:tcBorders>
                  <w:vAlign w:val="center"/>
                </w:tcPr>
                <w:p w14:paraId="23B9E410">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4"/>
                      <w:sz w:val="21"/>
                      <w:szCs w:val="21"/>
                    </w:rPr>
                    <w:t>总氮</w:t>
                  </w:r>
                </w:p>
              </w:tc>
              <w:tc>
                <w:tcPr>
                  <w:tcW w:w="795" w:type="dxa"/>
                  <w:tcBorders>
                    <w:tl2br w:val="nil"/>
                    <w:tr2bl w:val="nil"/>
                  </w:tcBorders>
                  <w:vAlign w:val="center"/>
                </w:tcPr>
                <w:p w14:paraId="2D6EFB3A">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30.8</w:t>
                  </w:r>
                </w:p>
              </w:tc>
              <w:tc>
                <w:tcPr>
                  <w:tcW w:w="858" w:type="dxa"/>
                  <w:tcBorders>
                    <w:tl2br w:val="nil"/>
                    <w:tr2bl w:val="nil"/>
                  </w:tcBorders>
                  <w:vAlign w:val="center"/>
                </w:tcPr>
                <w:p w14:paraId="15A8A98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27.4</w:t>
                  </w:r>
                </w:p>
              </w:tc>
              <w:tc>
                <w:tcPr>
                  <w:tcW w:w="850" w:type="dxa"/>
                  <w:tcBorders>
                    <w:tl2br w:val="nil"/>
                    <w:tr2bl w:val="nil"/>
                  </w:tcBorders>
                  <w:vAlign w:val="center"/>
                </w:tcPr>
                <w:p w14:paraId="027B6DA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30.0</w:t>
                  </w:r>
                </w:p>
              </w:tc>
              <w:tc>
                <w:tcPr>
                  <w:tcW w:w="858" w:type="dxa"/>
                  <w:tcBorders>
                    <w:tl2br w:val="nil"/>
                    <w:tr2bl w:val="nil"/>
                  </w:tcBorders>
                  <w:vAlign w:val="center"/>
                </w:tcPr>
                <w:p w14:paraId="5429F3C2">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29.4</w:t>
                  </w:r>
                </w:p>
              </w:tc>
              <w:tc>
                <w:tcPr>
                  <w:tcW w:w="744" w:type="dxa"/>
                  <w:tcBorders>
                    <w:tl2br w:val="nil"/>
                    <w:tr2bl w:val="nil"/>
                  </w:tcBorders>
                  <w:vAlign w:val="center"/>
                </w:tcPr>
                <w:p w14:paraId="687948B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mg/L</w:t>
                  </w:r>
                </w:p>
              </w:tc>
            </w:tr>
            <w:tr w14:paraId="68327FC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1109" w:type="dxa"/>
                  <w:vMerge w:val="continue"/>
                  <w:tcBorders>
                    <w:tl2br w:val="nil"/>
                    <w:tr2bl w:val="nil"/>
                  </w:tcBorders>
                  <w:vAlign w:val="center"/>
                </w:tcPr>
                <w:p w14:paraId="6C6C697F">
                  <w:pPr>
                    <w:autoSpaceDE/>
                    <w:autoSpaceDN/>
                    <w:jc w:val="center"/>
                    <w:rPr>
                      <w:color w:val="auto"/>
                      <w:szCs w:val="21"/>
                      <w:lang w:eastAsia="en-US"/>
                    </w:rPr>
                  </w:pPr>
                </w:p>
              </w:tc>
              <w:tc>
                <w:tcPr>
                  <w:tcW w:w="1181" w:type="dxa"/>
                  <w:vMerge w:val="continue"/>
                  <w:tcBorders>
                    <w:tl2br w:val="nil"/>
                    <w:tr2bl w:val="nil"/>
                  </w:tcBorders>
                  <w:vAlign w:val="center"/>
                </w:tcPr>
                <w:p w14:paraId="16181A9C">
                  <w:pPr>
                    <w:autoSpaceDE/>
                    <w:autoSpaceDN/>
                    <w:jc w:val="center"/>
                    <w:rPr>
                      <w:color w:val="auto"/>
                      <w:szCs w:val="21"/>
                      <w:lang w:eastAsia="en-US"/>
                    </w:rPr>
                  </w:pPr>
                </w:p>
              </w:tc>
              <w:tc>
                <w:tcPr>
                  <w:tcW w:w="1550" w:type="dxa"/>
                  <w:tcBorders>
                    <w:tl2br w:val="nil"/>
                    <w:tr2bl w:val="nil"/>
                  </w:tcBorders>
                  <w:vAlign w:val="center"/>
                </w:tcPr>
                <w:p w14:paraId="35C194A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五日生化需氧量</w:t>
                  </w:r>
                </w:p>
              </w:tc>
              <w:tc>
                <w:tcPr>
                  <w:tcW w:w="795" w:type="dxa"/>
                  <w:tcBorders>
                    <w:tl2br w:val="nil"/>
                    <w:tr2bl w:val="nil"/>
                  </w:tcBorders>
                  <w:vAlign w:val="center"/>
                </w:tcPr>
                <w:p w14:paraId="5E71D86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97.7</w:t>
                  </w:r>
                </w:p>
              </w:tc>
              <w:tc>
                <w:tcPr>
                  <w:tcW w:w="858" w:type="dxa"/>
                  <w:tcBorders>
                    <w:tl2br w:val="nil"/>
                    <w:tr2bl w:val="nil"/>
                  </w:tcBorders>
                  <w:vAlign w:val="center"/>
                </w:tcPr>
                <w:p w14:paraId="50872D7F">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sz w:val="21"/>
                      <w:szCs w:val="21"/>
                    </w:rPr>
                    <w:t>104</w:t>
                  </w:r>
                </w:p>
              </w:tc>
              <w:tc>
                <w:tcPr>
                  <w:tcW w:w="850" w:type="dxa"/>
                  <w:tcBorders>
                    <w:tl2br w:val="nil"/>
                    <w:tr2bl w:val="nil"/>
                  </w:tcBorders>
                  <w:vAlign w:val="center"/>
                </w:tcPr>
                <w:p w14:paraId="6CE951A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99.0</w:t>
                  </w:r>
                </w:p>
              </w:tc>
              <w:tc>
                <w:tcPr>
                  <w:tcW w:w="858" w:type="dxa"/>
                  <w:tcBorders>
                    <w:tl2br w:val="nil"/>
                    <w:tr2bl w:val="nil"/>
                  </w:tcBorders>
                  <w:vAlign w:val="center"/>
                </w:tcPr>
                <w:p w14:paraId="4DEF534E">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6"/>
                      <w:sz w:val="21"/>
                      <w:szCs w:val="21"/>
                    </w:rPr>
                    <w:t>100</w:t>
                  </w:r>
                </w:p>
              </w:tc>
              <w:tc>
                <w:tcPr>
                  <w:tcW w:w="744" w:type="dxa"/>
                  <w:tcBorders>
                    <w:tl2br w:val="nil"/>
                    <w:tr2bl w:val="nil"/>
                  </w:tcBorders>
                  <w:vAlign w:val="center"/>
                </w:tcPr>
                <w:p w14:paraId="715BC21B">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mg/L</w:t>
                  </w:r>
                </w:p>
              </w:tc>
            </w:tr>
          </w:tbl>
          <w:p w14:paraId="745D5D7E">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360" w:lineRule="auto"/>
              <w:ind w:firstLine="420" w:firstLineChars="200"/>
              <w:textAlignment w:val="auto"/>
              <w:rPr>
                <w:color w:val="auto"/>
              </w:rPr>
            </w:pPr>
            <w:r>
              <w:rPr>
                <w:rFonts w:ascii="Times New Roman" w:hAnsi="Times New Roman" w:eastAsia="宋体" w:cs="Times New Roman"/>
                <w:color w:val="auto"/>
                <w:kern w:val="2"/>
                <w:sz w:val="21"/>
                <w:szCs w:val="24"/>
                <w:lang w:val="en-US" w:eastAsia="zh-CN" w:bidi="ar-SA"/>
              </w:rPr>
              <w:t>（3）</w:t>
            </w:r>
            <w:r>
              <w:rPr>
                <w:rFonts w:hint="eastAsia"/>
                <w:color w:val="auto"/>
              </w:rPr>
              <w:t>声环境</w:t>
            </w:r>
          </w:p>
          <w:p w14:paraId="3CD8A74E">
            <w:pPr>
              <w:adjustRightInd w:val="0"/>
              <w:snapToGrid w:val="0"/>
              <w:spacing w:line="360" w:lineRule="auto"/>
              <w:ind w:firstLine="420" w:firstLineChars="200"/>
              <w:rPr>
                <w:color w:val="auto"/>
              </w:rPr>
            </w:pPr>
            <w:r>
              <w:rPr>
                <w:rFonts w:hint="eastAsia"/>
                <w:color w:val="auto"/>
              </w:rPr>
              <w:t>根据202</w:t>
            </w:r>
            <w:r>
              <w:rPr>
                <w:rFonts w:hint="eastAsia"/>
                <w:color w:val="auto"/>
                <w:lang w:val="en-US" w:eastAsia="zh-CN"/>
              </w:rPr>
              <w:t>4</w:t>
            </w:r>
            <w:r>
              <w:rPr>
                <w:rFonts w:hint="eastAsia"/>
                <w:color w:val="auto"/>
              </w:rPr>
              <w:t>年</w:t>
            </w:r>
            <w:r>
              <w:rPr>
                <w:rFonts w:hint="eastAsia"/>
                <w:color w:val="auto"/>
                <w:lang w:val="en-US" w:eastAsia="zh-CN"/>
              </w:rPr>
              <w:t>10</w:t>
            </w:r>
            <w:r>
              <w:rPr>
                <w:rFonts w:hint="eastAsia"/>
                <w:color w:val="auto"/>
              </w:rPr>
              <w:t>月</w:t>
            </w:r>
            <w:r>
              <w:rPr>
                <w:rFonts w:hint="eastAsia"/>
                <w:color w:val="auto"/>
                <w:lang w:val="en-US" w:eastAsia="zh-CN"/>
              </w:rPr>
              <w:t>11~12日</w:t>
            </w:r>
            <w:r>
              <w:rPr>
                <w:rFonts w:hint="eastAsia"/>
                <w:color w:val="auto"/>
                <w:szCs w:val="21"/>
              </w:rPr>
              <w:t>江苏</w:t>
            </w:r>
            <w:r>
              <w:rPr>
                <w:rFonts w:hint="eastAsia"/>
                <w:color w:val="auto"/>
                <w:szCs w:val="21"/>
                <w:lang w:val="en-US" w:eastAsia="zh-CN"/>
              </w:rPr>
              <w:t>中连环境</w:t>
            </w:r>
            <w:r>
              <w:rPr>
                <w:rFonts w:hint="eastAsia"/>
                <w:color w:val="auto"/>
                <w:szCs w:val="21"/>
              </w:rPr>
              <w:t>检测有限公司对</w:t>
            </w:r>
            <w:r>
              <w:rPr>
                <w:rFonts w:hint="eastAsia"/>
                <w:color w:val="auto"/>
              </w:rPr>
              <w:t>江苏晶瑞玻璃有限公司</w:t>
            </w:r>
            <w:r>
              <w:rPr>
                <w:rFonts w:hint="eastAsia"/>
                <w:color w:val="auto"/>
                <w:szCs w:val="21"/>
                <w:lang w:val="en-US" w:eastAsia="zh-CN"/>
              </w:rPr>
              <w:t>验收检测</w:t>
            </w:r>
            <w:r>
              <w:rPr>
                <w:rFonts w:hint="eastAsia"/>
                <w:color w:val="auto"/>
                <w:szCs w:val="21"/>
              </w:rPr>
              <w:t>数据（报告编号为：</w:t>
            </w:r>
            <w:r>
              <w:rPr>
                <w:rFonts w:hint="eastAsia"/>
                <w:color w:val="auto"/>
                <w:szCs w:val="21"/>
                <w:lang w:val="en-US" w:eastAsia="zh-CN"/>
              </w:rPr>
              <w:t>中连检测第2024427号</w:t>
            </w:r>
            <w:r>
              <w:rPr>
                <w:rFonts w:hint="eastAsia"/>
                <w:color w:val="auto"/>
                <w:szCs w:val="21"/>
              </w:rPr>
              <w:t>）</w:t>
            </w:r>
            <w:r>
              <w:rPr>
                <w:color w:val="auto"/>
              </w:rPr>
              <w:t>，</w:t>
            </w:r>
            <w:r>
              <w:rPr>
                <w:rFonts w:hint="eastAsia"/>
                <w:color w:val="auto"/>
              </w:rPr>
              <w:t>现有项目在</w:t>
            </w:r>
            <w:r>
              <w:rPr>
                <w:color w:val="auto"/>
              </w:rPr>
              <w:t>监测期间</w:t>
            </w:r>
            <w:r>
              <w:rPr>
                <w:rFonts w:hint="eastAsia"/>
                <w:color w:val="auto"/>
              </w:rPr>
              <w:t>，</w:t>
            </w:r>
            <w:r>
              <w:rPr>
                <w:color w:val="auto"/>
              </w:rPr>
              <w:t>厂界的</w:t>
            </w:r>
            <w:r>
              <w:rPr>
                <w:rFonts w:hint="eastAsia"/>
                <w:color w:val="auto"/>
              </w:rPr>
              <w:t>4</w:t>
            </w:r>
            <w:r>
              <w:rPr>
                <w:color w:val="auto"/>
              </w:rPr>
              <w:t>个噪声监测点监测结果满足《工业企业厂界环境噪声排放标准》</w:t>
            </w:r>
            <w:r>
              <w:rPr>
                <w:rFonts w:hint="eastAsia" w:ascii="宋体" w:hAnsi="宋体" w:cs="宋体"/>
                <w:color w:val="auto"/>
              </w:rPr>
              <w:t>(</w:t>
            </w:r>
            <w:r>
              <w:rPr>
                <w:color w:val="auto"/>
              </w:rPr>
              <w:t>GB12348-2008</w:t>
            </w:r>
            <w:r>
              <w:rPr>
                <w:rFonts w:hint="eastAsia" w:ascii="宋体" w:hAnsi="宋体" w:cs="宋体"/>
                <w:color w:val="auto"/>
              </w:rPr>
              <w:t>)</w:t>
            </w:r>
            <w:r>
              <w:rPr>
                <w:rFonts w:hint="eastAsia"/>
                <w:color w:val="auto"/>
              </w:rPr>
              <w:t>3</w:t>
            </w:r>
            <w:r>
              <w:rPr>
                <w:color w:val="auto"/>
              </w:rPr>
              <w:t>类标准</w:t>
            </w:r>
            <w:r>
              <w:rPr>
                <w:rFonts w:hint="eastAsia"/>
                <w:color w:val="auto"/>
              </w:rPr>
              <w:t>，具体监测结果见表2-1</w:t>
            </w:r>
            <w:r>
              <w:rPr>
                <w:rFonts w:hint="eastAsia"/>
                <w:color w:val="auto"/>
                <w:lang w:val="en-US" w:eastAsia="zh-CN"/>
              </w:rPr>
              <w:t>9</w:t>
            </w:r>
            <w:r>
              <w:rPr>
                <w:rFonts w:hint="eastAsia"/>
                <w:color w:val="auto"/>
              </w:rPr>
              <w:t>。</w:t>
            </w:r>
          </w:p>
          <w:p w14:paraId="693ED842">
            <w:pPr>
              <w:spacing w:before="120" w:beforeLines="50"/>
              <w:jc w:val="center"/>
              <w:rPr>
                <w:color w:val="auto"/>
              </w:rPr>
            </w:pPr>
            <w:r>
              <w:rPr>
                <w:b/>
                <w:bCs/>
                <w:color w:val="auto"/>
              </w:rPr>
              <w:t>表2-</w:t>
            </w:r>
            <w:r>
              <w:rPr>
                <w:rFonts w:hint="eastAsia"/>
                <w:b/>
                <w:bCs/>
                <w:color w:val="auto"/>
              </w:rPr>
              <w:t>1</w:t>
            </w:r>
            <w:r>
              <w:rPr>
                <w:rFonts w:hint="eastAsia"/>
                <w:b/>
                <w:bCs/>
                <w:color w:val="auto"/>
                <w:lang w:val="en-US" w:eastAsia="zh-CN"/>
              </w:rPr>
              <w:t>9</w:t>
            </w:r>
            <w:r>
              <w:rPr>
                <w:rFonts w:hint="eastAsia"/>
                <w:b/>
                <w:bCs/>
                <w:color w:val="auto"/>
              </w:rPr>
              <w:t xml:space="preserve"> 现有项目</w:t>
            </w:r>
            <w:r>
              <w:rPr>
                <w:b/>
                <w:bCs/>
                <w:color w:val="auto"/>
              </w:rPr>
              <w:t>厂界噪声监测结果与评价</w:t>
            </w:r>
            <w:r>
              <w:rPr>
                <w:rFonts w:hint="eastAsia"/>
                <w:b/>
                <w:bCs/>
                <w:color w:val="auto"/>
                <w:lang w:val="en-US" w:eastAsia="zh-CN"/>
              </w:rPr>
              <w:t xml:space="preserve">    </w:t>
            </w:r>
            <w:r>
              <w:rPr>
                <w:rFonts w:hint="eastAsia"/>
                <w:b/>
                <w:bCs/>
                <w:color w:val="auto"/>
              </w:rPr>
              <w:t>单位：</w:t>
            </w:r>
            <w:r>
              <w:rPr>
                <w:b/>
                <w:bCs/>
                <w:color w:val="auto"/>
                <w:szCs w:val="21"/>
              </w:rPr>
              <w:t>dB（A）</w:t>
            </w:r>
          </w:p>
          <w:tbl>
            <w:tblPr>
              <w:tblStyle w:val="82"/>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28" w:type="dxa"/>
                <w:bottom w:w="0" w:type="dxa"/>
                <w:right w:w="28" w:type="dxa"/>
              </w:tblCellMar>
            </w:tblPr>
            <w:tblGrid>
              <w:gridCol w:w="1322"/>
              <w:gridCol w:w="1557"/>
              <w:gridCol w:w="1150"/>
              <w:gridCol w:w="1956"/>
              <w:gridCol w:w="1960"/>
            </w:tblGrid>
            <w:tr w14:paraId="25D299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1322" w:type="dxa"/>
                  <w:tcBorders>
                    <w:tl2br w:val="nil"/>
                    <w:tr2bl w:val="nil"/>
                  </w:tcBorders>
                  <w:vAlign w:val="center"/>
                </w:tcPr>
                <w:p w14:paraId="2AFB5C55">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检测日期</w:t>
                  </w:r>
                </w:p>
              </w:tc>
              <w:tc>
                <w:tcPr>
                  <w:tcW w:w="1557" w:type="dxa"/>
                  <w:tcBorders>
                    <w:tl2br w:val="nil"/>
                    <w:tr2bl w:val="nil"/>
                  </w:tcBorders>
                  <w:vAlign w:val="center"/>
                </w:tcPr>
                <w:p w14:paraId="0811E221">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检测点位</w:t>
                  </w:r>
                </w:p>
              </w:tc>
              <w:tc>
                <w:tcPr>
                  <w:tcW w:w="1150" w:type="dxa"/>
                  <w:tcBorders>
                    <w:tl2br w:val="nil"/>
                    <w:tr2bl w:val="nil"/>
                  </w:tcBorders>
                  <w:vAlign w:val="center"/>
                </w:tcPr>
                <w:p w14:paraId="311CB6C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点位编号</w:t>
                  </w:r>
                </w:p>
              </w:tc>
              <w:tc>
                <w:tcPr>
                  <w:tcW w:w="1956" w:type="dxa"/>
                  <w:tcBorders>
                    <w:tl2br w:val="nil"/>
                    <w:tr2bl w:val="nil"/>
                  </w:tcBorders>
                  <w:vAlign w:val="center"/>
                </w:tcPr>
                <w:p w14:paraId="359C98E8">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昼间测量值</w:t>
                  </w:r>
                </w:p>
              </w:tc>
              <w:tc>
                <w:tcPr>
                  <w:tcW w:w="1960" w:type="dxa"/>
                  <w:tcBorders>
                    <w:tl2br w:val="nil"/>
                    <w:tr2bl w:val="nil"/>
                  </w:tcBorders>
                  <w:vAlign w:val="center"/>
                </w:tcPr>
                <w:p w14:paraId="53A2C0F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夜间测量值</w:t>
                  </w:r>
                </w:p>
              </w:tc>
            </w:tr>
            <w:tr w14:paraId="3BE13C8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1322" w:type="dxa"/>
                  <w:vMerge w:val="restart"/>
                  <w:tcBorders>
                    <w:tl2br w:val="nil"/>
                    <w:tr2bl w:val="nil"/>
                  </w:tcBorders>
                  <w:vAlign w:val="center"/>
                </w:tcPr>
                <w:p w14:paraId="1B53E90D">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1"/>
                      <w:sz w:val="21"/>
                      <w:szCs w:val="21"/>
                    </w:rPr>
                    <w:t>202</w:t>
                  </w:r>
                  <w:r>
                    <w:rPr>
                      <w:rFonts w:hint="eastAsia" w:ascii="Times New Roman" w:hAnsi="Times New Roman" w:cs="Times New Roman"/>
                      <w:color w:val="auto"/>
                      <w:spacing w:val="-1"/>
                      <w:sz w:val="21"/>
                      <w:szCs w:val="21"/>
                      <w:lang w:val="en-US" w:eastAsia="zh-CN"/>
                    </w:rPr>
                    <w:t>4.10</w:t>
                  </w:r>
                  <w:r>
                    <w:rPr>
                      <w:rFonts w:ascii="Times New Roman" w:hAnsi="Times New Roman" w:cs="Times New Roman"/>
                      <w:color w:val="auto"/>
                      <w:spacing w:val="-1"/>
                      <w:sz w:val="21"/>
                      <w:szCs w:val="21"/>
                    </w:rPr>
                    <w:t>.10</w:t>
                  </w:r>
                </w:p>
              </w:tc>
              <w:tc>
                <w:tcPr>
                  <w:tcW w:w="1557" w:type="dxa"/>
                  <w:tcBorders>
                    <w:tl2br w:val="nil"/>
                    <w:tr2bl w:val="nil"/>
                  </w:tcBorders>
                  <w:vAlign w:val="center"/>
                </w:tcPr>
                <w:p w14:paraId="7D204906">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3"/>
                      <w:sz w:val="21"/>
                      <w:szCs w:val="21"/>
                    </w:rPr>
                    <w:t>东厂界外1m</w:t>
                  </w:r>
                </w:p>
              </w:tc>
              <w:tc>
                <w:tcPr>
                  <w:tcW w:w="1150" w:type="dxa"/>
                  <w:tcBorders>
                    <w:tl2br w:val="nil"/>
                    <w:tr2bl w:val="nil"/>
                  </w:tcBorders>
                  <w:vAlign w:val="center"/>
                </w:tcPr>
                <w:p w14:paraId="5A9E58F3">
                  <w:pPr>
                    <w:pStyle w:val="99"/>
                    <w:autoSpaceDE/>
                    <w:autoSpaceDN/>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pacing w:val="-4"/>
                      <w:sz w:val="21"/>
                      <w:szCs w:val="21"/>
                      <w:lang w:val="en-US" w:eastAsia="zh-CN"/>
                    </w:rPr>
                    <w:t>Z1</w:t>
                  </w:r>
                </w:p>
              </w:tc>
              <w:tc>
                <w:tcPr>
                  <w:tcW w:w="1956" w:type="dxa"/>
                  <w:tcBorders>
                    <w:tl2br w:val="nil"/>
                    <w:tr2bl w:val="nil"/>
                  </w:tcBorders>
                  <w:vAlign w:val="center"/>
                </w:tcPr>
                <w:p w14:paraId="07C7402B">
                  <w:pPr>
                    <w:pStyle w:val="99"/>
                    <w:autoSpaceDE/>
                    <w:autoSpaceDN/>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pacing w:val="-3"/>
                      <w:sz w:val="21"/>
                      <w:szCs w:val="21"/>
                      <w:lang w:val="en-US" w:eastAsia="zh-CN"/>
                    </w:rPr>
                    <w:t>54.5</w:t>
                  </w:r>
                </w:p>
              </w:tc>
              <w:tc>
                <w:tcPr>
                  <w:tcW w:w="1960" w:type="dxa"/>
                  <w:tcBorders>
                    <w:tl2br w:val="nil"/>
                    <w:tr2bl w:val="nil"/>
                  </w:tcBorders>
                  <w:vAlign w:val="center"/>
                </w:tcPr>
                <w:p w14:paraId="01F55597">
                  <w:pPr>
                    <w:pStyle w:val="99"/>
                    <w:autoSpaceDE/>
                    <w:autoSpaceDN/>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pacing w:val="-3"/>
                      <w:sz w:val="21"/>
                      <w:szCs w:val="21"/>
                      <w:lang w:val="en-US" w:eastAsia="zh-CN"/>
                    </w:rPr>
                    <w:t>46.2</w:t>
                  </w:r>
                </w:p>
              </w:tc>
            </w:tr>
            <w:tr w14:paraId="7A400C8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1322" w:type="dxa"/>
                  <w:vMerge w:val="continue"/>
                  <w:tcBorders>
                    <w:tl2br w:val="nil"/>
                    <w:tr2bl w:val="nil"/>
                  </w:tcBorders>
                  <w:vAlign w:val="center"/>
                </w:tcPr>
                <w:p w14:paraId="4ADBC323">
                  <w:pPr>
                    <w:autoSpaceDE/>
                    <w:autoSpaceDN/>
                    <w:jc w:val="center"/>
                    <w:rPr>
                      <w:color w:val="auto"/>
                      <w:szCs w:val="21"/>
                      <w:lang w:eastAsia="en-US"/>
                    </w:rPr>
                  </w:pPr>
                </w:p>
              </w:tc>
              <w:tc>
                <w:tcPr>
                  <w:tcW w:w="1557" w:type="dxa"/>
                  <w:tcBorders>
                    <w:tl2br w:val="nil"/>
                    <w:tr2bl w:val="nil"/>
                  </w:tcBorders>
                  <w:vAlign w:val="center"/>
                </w:tcPr>
                <w:p w14:paraId="6BD9FA1E">
                  <w:pPr>
                    <w:pStyle w:val="99"/>
                    <w:autoSpaceDE/>
                    <w:autoSpaceDN/>
                    <w:jc w:val="center"/>
                    <w:rPr>
                      <w:rFonts w:ascii="Times New Roman" w:hAnsi="Times New Roman" w:cs="Times New Roman"/>
                      <w:color w:val="auto"/>
                      <w:sz w:val="21"/>
                      <w:szCs w:val="21"/>
                    </w:rPr>
                  </w:pPr>
                  <w:r>
                    <w:rPr>
                      <w:rFonts w:hint="eastAsia" w:ascii="Times New Roman" w:hAnsi="Times New Roman" w:cs="Times New Roman"/>
                      <w:color w:val="auto"/>
                      <w:spacing w:val="-3"/>
                      <w:sz w:val="21"/>
                      <w:szCs w:val="21"/>
                      <w:lang w:val="en-US" w:eastAsia="zh-CN"/>
                    </w:rPr>
                    <w:t>南</w:t>
                  </w:r>
                  <w:r>
                    <w:rPr>
                      <w:rFonts w:ascii="Times New Roman" w:hAnsi="Times New Roman" w:cs="Times New Roman"/>
                      <w:color w:val="auto"/>
                      <w:spacing w:val="-3"/>
                      <w:sz w:val="21"/>
                      <w:szCs w:val="21"/>
                    </w:rPr>
                    <w:t>厂界外1m</w:t>
                  </w:r>
                </w:p>
              </w:tc>
              <w:tc>
                <w:tcPr>
                  <w:tcW w:w="1150" w:type="dxa"/>
                  <w:tcBorders>
                    <w:tl2br w:val="nil"/>
                    <w:tr2bl w:val="nil"/>
                  </w:tcBorders>
                  <w:vAlign w:val="center"/>
                </w:tcPr>
                <w:p w14:paraId="245D3A06">
                  <w:pPr>
                    <w:pStyle w:val="99"/>
                    <w:autoSpaceDE/>
                    <w:autoSpaceDN/>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Z2</w:t>
                  </w:r>
                </w:p>
              </w:tc>
              <w:tc>
                <w:tcPr>
                  <w:tcW w:w="1956" w:type="dxa"/>
                  <w:tcBorders>
                    <w:tl2br w:val="nil"/>
                    <w:tr2bl w:val="nil"/>
                  </w:tcBorders>
                  <w:vAlign w:val="center"/>
                </w:tcPr>
                <w:p w14:paraId="2787CC07">
                  <w:pPr>
                    <w:pStyle w:val="99"/>
                    <w:autoSpaceDE/>
                    <w:autoSpaceDN/>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58.4</w:t>
                  </w:r>
                </w:p>
              </w:tc>
              <w:tc>
                <w:tcPr>
                  <w:tcW w:w="1960" w:type="dxa"/>
                  <w:tcBorders>
                    <w:tl2br w:val="nil"/>
                    <w:tr2bl w:val="nil"/>
                  </w:tcBorders>
                  <w:vAlign w:val="center"/>
                </w:tcPr>
                <w:p w14:paraId="1FAAE5D6">
                  <w:pPr>
                    <w:pStyle w:val="99"/>
                    <w:autoSpaceDE/>
                    <w:autoSpaceDN/>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pacing w:val="-3"/>
                      <w:sz w:val="21"/>
                      <w:szCs w:val="21"/>
                      <w:lang w:val="en-US" w:eastAsia="zh-CN"/>
                    </w:rPr>
                    <w:t>49.7</w:t>
                  </w:r>
                </w:p>
              </w:tc>
            </w:tr>
            <w:tr w14:paraId="655F41B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1322" w:type="dxa"/>
                  <w:vMerge w:val="continue"/>
                  <w:tcBorders>
                    <w:tl2br w:val="nil"/>
                    <w:tr2bl w:val="nil"/>
                  </w:tcBorders>
                  <w:vAlign w:val="center"/>
                </w:tcPr>
                <w:p w14:paraId="062E2D7B">
                  <w:pPr>
                    <w:autoSpaceDE/>
                    <w:autoSpaceDN/>
                    <w:jc w:val="center"/>
                    <w:rPr>
                      <w:color w:val="auto"/>
                      <w:szCs w:val="21"/>
                      <w:lang w:eastAsia="en-US"/>
                    </w:rPr>
                  </w:pPr>
                </w:p>
              </w:tc>
              <w:tc>
                <w:tcPr>
                  <w:tcW w:w="1557" w:type="dxa"/>
                  <w:tcBorders>
                    <w:tl2br w:val="nil"/>
                    <w:tr2bl w:val="nil"/>
                  </w:tcBorders>
                  <w:vAlign w:val="center"/>
                </w:tcPr>
                <w:p w14:paraId="34937A43">
                  <w:pPr>
                    <w:pStyle w:val="99"/>
                    <w:autoSpaceDE/>
                    <w:autoSpaceDN/>
                    <w:jc w:val="center"/>
                    <w:rPr>
                      <w:rFonts w:ascii="Times New Roman" w:hAnsi="Times New Roman" w:cs="Times New Roman"/>
                      <w:color w:val="auto"/>
                      <w:sz w:val="21"/>
                      <w:szCs w:val="21"/>
                    </w:rPr>
                  </w:pPr>
                  <w:r>
                    <w:rPr>
                      <w:rFonts w:ascii="Times New Roman" w:hAnsi="Times New Roman" w:cs="Times New Roman"/>
                      <w:color w:val="auto"/>
                      <w:spacing w:val="-2"/>
                      <w:sz w:val="21"/>
                      <w:szCs w:val="21"/>
                    </w:rPr>
                    <w:t>西厂界外1m</w:t>
                  </w:r>
                </w:p>
              </w:tc>
              <w:tc>
                <w:tcPr>
                  <w:tcW w:w="1150" w:type="dxa"/>
                  <w:tcBorders>
                    <w:tl2br w:val="nil"/>
                    <w:tr2bl w:val="nil"/>
                  </w:tcBorders>
                  <w:vAlign w:val="center"/>
                </w:tcPr>
                <w:p w14:paraId="18C6271F">
                  <w:pPr>
                    <w:pStyle w:val="99"/>
                    <w:autoSpaceDE/>
                    <w:autoSpaceDN/>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Z3</w:t>
                  </w:r>
                </w:p>
              </w:tc>
              <w:tc>
                <w:tcPr>
                  <w:tcW w:w="1956" w:type="dxa"/>
                  <w:tcBorders>
                    <w:tl2br w:val="nil"/>
                    <w:tr2bl w:val="nil"/>
                  </w:tcBorders>
                  <w:vAlign w:val="center"/>
                </w:tcPr>
                <w:p w14:paraId="04D78E62">
                  <w:pPr>
                    <w:pStyle w:val="99"/>
                    <w:autoSpaceDE/>
                    <w:autoSpaceDN/>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pacing w:val="-3"/>
                      <w:sz w:val="21"/>
                      <w:szCs w:val="21"/>
                      <w:lang w:val="en-US" w:eastAsia="zh-CN"/>
                    </w:rPr>
                    <w:t>56.8</w:t>
                  </w:r>
                </w:p>
              </w:tc>
              <w:tc>
                <w:tcPr>
                  <w:tcW w:w="1960" w:type="dxa"/>
                  <w:tcBorders>
                    <w:tl2br w:val="nil"/>
                    <w:tr2bl w:val="nil"/>
                  </w:tcBorders>
                  <w:vAlign w:val="center"/>
                </w:tcPr>
                <w:p w14:paraId="5C7DE8F7">
                  <w:pPr>
                    <w:pStyle w:val="99"/>
                    <w:autoSpaceDE/>
                    <w:autoSpaceDN/>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pacing w:val="-2"/>
                      <w:sz w:val="21"/>
                      <w:szCs w:val="21"/>
                      <w:lang w:val="en-US" w:eastAsia="zh-CN"/>
                    </w:rPr>
                    <w:t>48.1</w:t>
                  </w:r>
                </w:p>
              </w:tc>
            </w:tr>
            <w:tr w14:paraId="03F88D9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1322" w:type="dxa"/>
                  <w:vMerge w:val="continue"/>
                  <w:tcBorders>
                    <w:tl2br w:val="nil"/>
                    <w:tr2bl w:val="nil"/>
                  </w:tcBorders>
                  <w:vAlign w:val="center"/>
                </w:tcPr>
                <w:p w14:paraId="1269F316">
                  <w:pPr>
                    <w:autoSpaceDE/>
                    <w:autoSpaceDN/>
                    <w:jc w:val="center"/>
                    <w:rPr>
                      <w:color w:val="auto"/>
                      <w:szCs w:val="21"/>
                      <w:lang w:eastAsia="en-US"/>
                    </w:rPr>
                  </w:pPr>
                </w:p>
              </w:tc>
              <w:tc>
                <w:tcPr>
                  <w:tcW w:w="1557" w:type="dxa"/>
                  <w:tcBorders>
                    <w:tl2br w:val="nil"/>
                    <w:tr2bl w:val="nil"/>
                  </w:tcBorders>
                  <w:vAlign w:val="center"/>
                </w:tcPr>
                <w:p w14:paraId="059F5D66">
                  <w:pPr>
                    <w:pStyle w:val="99"/>
                    <w:autoSpaceDE/>
                    <w:autoSpaceDN/>
                    <w:jc w:val="center"/>
                    <w:rPr>
                      <w:rFonts w:ascii="Times New Roman" w:hAnsi="Times New Roman" w:cs="Times New Roman"/>
                      <w:color w:val="auto"/>
                      <w:sz w:val="21"/>
                      <w:szCs w:val="21"/>
                    </w:rPr>
                  </w:pPr>
                  <w:r>
                    <w:rPr>
                      <w:rFonts w:hint="eastAsia" w:ascii="Times New Roman" w:hAnsi="Times New Roman" w:cs="Times New Roman"/>
                      <w:color w:val="auto"/>
                      <w:spacing w:val="-2"/>
                      <w:sz w:val="21"/>
                      <w:szCs w:val="21"/>
                      <w:lang w:val="en-US" w:eastAsia="zh-CN"/>
                    </w:rPr>
                    <w:t>北</w:t>
                  </w:r>
                  <w:r>
                    <w:rPr>
                      <w:rFonts w:ascii="Times New Roman" w:hAnsi="Times New Roman" w:cs="Times New Roman"/>
                      <w:color w:val="auto"/>
                      <w:spacing w:val="-2"/>
                      <w:sz w:val="21"/>
                      <w:szCs w:val="21"/>
                    </w:rPr>
                    <w:t>厂界外1m</w:t>
                  </w:r>
                </w:p>
              </w:tc>
              <w:tc>
                <w:tcPr>
                  <w:tcW w:w="1150" w:type="dxa"/>
                  <w:tcBorders>
                    <w:tl2br w:val="nil"/>
                    <w:tr2bl w:val="nil"/>
                  </w:tcBorders>
                  <w:vAlign w:val="center"/>
                </w:tcPr>
                <w:p w14:paraId="4DCED3B1">
                  <w:pPr>
                    <w:pStyle w:val="99"/>
                    <w:autoSpaceDE/>
                    <w:autoSpaceDN/>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Z4</w:t>
                  </w:r>
                </w:p>
              </w:tc>
              <w:tc>
                <w:tcPr>
                  <w:tcW w:w="1956" w:type="dxa"/>
                  <w:tcBorders>
                    <w:tl2br w:val="nil"/>
                    <w:tr2bl w:val="nil"/>
                  </w:tcBorders>
                  <w:vAlign w:val="center"/>
                </w:tcPr>
                <w:p w14:paraId="129C0BA3">
                  <w:pPr>
                    <w:pStyle w:val="99"/>
                    <w:autoSpaceDE/>
                    <w:autoSpaceDN/>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pacing w:val="-3"/>
                      <w:sz w:val="21"/>
                      <w:szCs w:val="21"/>
                      <w:lang w:val="en-US" w:eastAsia="zh-CN"/>
                    </w:rPr>
                    <w:t>57.5</w:t>
                  </w:r>
                </w:p>
              </w:tc>
              <w:tc>
                <w:tcPr>
                  <w:tcW w:w="1960" w:type="dxa"/>
                  <w:tcBorders>
                    <w:tl2br w:val="nil"/>
                    <w:tr2bl w:val="nil"/>
                  </w:tcBorders>
                  <w:vAlign w:val="center"/>
                </w:tcPr>
                <w:p w14:paraId="077739FF">
                  <w:pPr>
                    <w:pStyle w:val="99"/>
                    <w:autoSpaceDE/>
                    <w:autoSpaceDN/>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pacing w:val="-2"/>
                      <w:sz w:val="21"/>
                      <w:szCs w:val="21"/>
                      <w:lang w:val="en-US" w:eastAsia="zh-CN"/>
                    </w:rPr>
                    <w:t>48.7</w:t>
                  </w:r>
                </w:p>
              </w:tc>
            </w:tr>
            <w:tr w14:paraId="345DD38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444" w:hRule="atLeast"/>
                <w:jc w:val="center"/>
              </w:trPr>
              <w:tc>
                <w:tcPr>
                  <w:tcW w:w="1322" w:type="dxa"/>
                  <w:tcBorders>
                    <w:tl2br w:val="nil"/>
                    <w:tr2bl w:val="nil"/>
                  </w:tcBorders>
                  <w:vAlign w:val="center"/>
                </w:tcPr>
                <w:p w14:paraId="420C2702">
                  <w:pPr>
                    <w:autoSpaceDE/>
                    <w:autoSpaceDN/>
                    <w:jc w:val="center"/>
                    <w:rPr>
                      <w:rFonts w:hint="default" w:eastAsia="宋体"/>
                      <w:color w:val="auto"/>
                      <w:szCs w:val="21"/>
                      <w:lang w:val="en-US" w:eastAsia="zh-CN"/>
                    </w:rPr>
                  </w:pPr>
                  <w:r>
                    <w:rPr>
                      <w:rFonts w:hint="eastAsia"/>
                      <w:color w:val="auto"/>
                      <w:szCs w:val="21"/>
                      <w:lang w:val="en-US" w:eastAsia="zh-CN"/>
                    </w:rPr>
                    <w:t>检测环境条件</w:t>
                  </w:r>
                </w:p>
              </w:tc>
              <w:tc>
                <w:tcPr>
                  <w:tcW w:w="6623" w:type="dxa"/>
                  <w:gridSpan w:val="4"/>
                  <w:tcBorders>
                    <w:tl2br w:val="nil"/>
                    <w:tr2bl w:val="nil"/>
                  </w:tcBorders>
                  <w:vAlign w:val="center"/>
                </w:tcPr>
                <w:p w14:paraId="1175334D">
                  <w:pPr>
                    <w:pStyle w:val="99"/>
                    <w:autoSpaceDE/>
                    <w:autoSpaceDN/>
                    <w:jc w:val="both"/>
                    <w:rPr>
                      <w:rFonts w:hint="eastAsia" w:ascii="Times New Roman" w:hAnsi="Times New Roman" w:cs="Times New Roman"/>
                      <w:color w:val="auto"/>
                      <w:spacing w:val="-2"/>
                      <w:sz w:val="21"/>
                      <w:szCs w:val="21"/>
                      <w:lang w:val="en-US" w:eastAsia="zh-CN"/>
                    </w:rPr>
                  </w:pPr>
                  <w:r>
                    <w:rPr>
                      <w:rFonts w:hint="eastAsia" w:ascii="Times New Roman" w:hAnsi="Times New Roman" w:cs="Times New Roman"/>
                      <w:color w:val="auto"/>
                      <w:spacing w:val="-2"/>
                      <w:sz w:val="21"/>
                      <w:szCs w:val="21"/>
                      <w:lang w:val="en-US" w:eastAsia="zh-CN"/>
                    </w:rPr>
                    <w:t>昼间：天气：晴；风速：1.7m/s。</w:t>
                  </w:r>
                </w:p>
                <w:p w14:paraId="70A9EDB7">
                  <w:pPr>
                    <w:pStyle w:val="99"/>
                    <w:autoSpaceDE/>
                    <w:autoSpaceDN/>
                    <w:jc w:val="both"/>
                    <w:rPr>
                      <w:rFonts w:hint="default" w:ascii="Times New Roman" w:hAnsi="Times New Roman" w:cs="Times New Roman"/>
                      <w:color w:val="auto"/>
                      <w:spacing w:val="-2"/>
                      <w:sz w:val="21"/>
                      <w:szCs w:val="21"/>
                      <w:lang w:val="en-US" w:eastAsia="zh-CN"/>
                    </w:rPr>
                  </w:pPr>
                  <w:r>
                    <w:rPr>
                      <w:rFonts w:hint="eastAsia" w:ascii="Times New Roman" w:hAnsi="Times New Roman" w:cs="Times New Roman"/>
                      <w:color w:val="auto"/>
                      <w:spacing w:val="-2"/>
                      <w:sz w:val="21"/>
                      <w:szCs w:val="21"/>
                      <w:lang w:val="en-US" w:eastAsia="zh-CN"/>
                    </w:rPr>
                    <w:t>夜间：天气：晴；风速：1.8m/s。</w:t>
                  </w:r>
                </w:p>
              </w:tc>
            </w:tr>
            <w:tr w14:paraId="1468771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1322" w:type="dxa"/>
                  <w:vMerge w:val="restart"/>
                  <w:tcBorders>
                    <w:tl2br w:val="nil"/>
                    <w:tr2bl w:val="nil"/>
                  </w:tcBorders>
                  <w:vAlign w:val="center"/>
                </w:tcPr>
                <w:p w14:paraId="3848D69E">
                  <w:pPr>
                    <w:autoSpaceDE/>
                    <w:autoSpaceDN/>
                    <w:jc w:val="center"/>
                    <w:rPr>
                      <w:rFonts w:hint="eastAsia" w:eastAsia="宋体"/>
                      <w:color w:val="auto"/>
                      <w:szCs w:val="21"/>
                      <w:lang w:val="en-US" w:eastAsia="zh-CN"/>
                    </w:rPr>
                  </w:pPr>
                  <w:r>
                    <w:rPr>
                      <w:rFonts w:ascii="Times New Roman" w:hAnsi="Times New Roman" w:cs="Times New Roman"/>
                      <w:color w:val="auto"/>
                      <w:spacing w:val="-1"/>
                      <w:sz w:val="21"/>
                      <w:szCs w:val="21"/>
                    </w:rPr>
                    <w:t>202</w:t>
                  </w:r>
                  <w:r>
                    <w:rPr>
                      <w:rFonts w:hint="eastAsia" w:ascii="Times New Roman" w:hAnsi="Times New Roman" w:cs="Times New Roman"/>
                      <w:color w:val="auto"/>
                      <w:spacing w:val="-1"/>
                      <w:sz w:val="21"/>
                      <w:szCs w:val="21"/>
                      <w:lang w:val="en-US" w:eastAsia="zh-CN"/>
                    </w:rPr>
                    <w:t>4.10</w:t>
                  </w:r>
                  <w:r>
                    <w:rPr>
                      <w:rFonts w:ascii="Times New Roman" w:hAnsi="Times New Roman" w:cs="Times New Roman"/>
                      <w:color w:val="auto"/>
                      <w:spacing w:val="-1"/>
                      <w:sz w:val="21"/>
                      <w:szCs w:val="21"/>
                    </w:rPr>
                    <w:t>.1</w:t>
                  </w:r>
                  <w:r>
                    <w:rPr>
                      <w:rFonts w:hint="eastAsia" w:cs="Times New Roman"/>
                      <w:color w:val="auto"/>
                      <w:spacing w:val="-1"/>
                      <w:sz w:val="21"/>
                      <w:szCs w:val="21"/>
                      <w:lang w:val="en-US" w:eastAsia="zh-CN"/>
                    </w:rPr>
                    <w:t>1</w:t>
                  </w:r>
                </w:p>
              </w:tc>
              <w:tc>
                <w:tcPr>
                  <w:tcW w:w="1557" w:type="dxa"/>
                  <w:tcBorders>
                    <w:tl2br w:val="nil"/>
                    <w:tr2bl w:val="nil"/>
                  </w:tcBorders>
                  <w:shd w:val="clear" w:color="auto" w:fill="auto"/>
                  <w:vAlign w:val="center"/>
                </w:tcPr>
                <w:p w14:paraId="684C38C2">
                  <w:pPr>
                    <w:pStyle w:val="99"/>
                    <w:autoSpaceDE/>
                    <w:autoSpaceDN/>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cs="Times New Roman"/>
                      <w:color w:val="auto"/>
                      <w:spacing w:val="-3"/>
                      <w:sz w:val="21"/>
                      <w:szCs w:val="21"/>
                    </w:rPr>
                    <w:t>东厂界外1m</w:t>
                  </w:r>
                </w:p>
              </w:tc>
              <w:tc>
                <w:tcPr>
                  <w:tcW w:w="1150" w:type="dxa"/>
                  <w:tcBorders>
                    <w:tl2br w:val="nil"/>
                    <w:tr2bl w:val="nil"/>
                  </w:tcBorders>
                  <w:shd w:val="clear" w:color="auto" w:fill="auto"/>
                  <w:vAlign w:val="center"/>
                </w:tcPr>
                <w:p w14:paraId="5784C9E4">
                  <w:pPr>
                    <w:pStyle w:val="99"/>
                    <w:autoSpaceDE/>
                    <w:autoSpaceDN/>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pacing w:val="-4"/>
                      <w:sz w:val="21"/>
                      <w:szCs w:val="21"/>
                      <w:lang w:val="en-US" w:eastAsia="zh-CN"/>
                    </w:rPr>
                    <w:t>Z1</w:t>
                  </w:r>
                </w:p>
              </w:tc>
              <w:tc>
                <w:tcPr>
                  <w:tcW w:w="1956" w:type="dxa"/>
                  <w:tcBorders>
                    <w:tl2br w:val="nil"/>
                    <w:tr2bl w:val="nil"/>
                  </w:tcBorders>
                  <w:vAlign w:val="center"/>
                </w:tcPr>
                <w:p w14:paraId="4768D202">
                  <w:pPr>
                    <w:pStyle w:val="99"/>
                    <w:autoSpaceDE/>
                    <w:autoSpaceDN/>
                    <w:jc w:val="center"/>
                    <w:rPr>
                      <w:rFonts w:hint="default" w:ascii="Times New Roman" w:hAnsi="Times New Roman" w:cs="Times New Roman"/>
                      <w:color w:val="auto"/>
                      <w:spacing w:val="-3"/>
                      <w:sz w:val="21"/>
                      <w:szCs w:val="21"/>
                      <w:lang w:val="en-US" w:eastAsia="zh-CN"/>
                    </w:rPr>
                  </w:pPr>
                  <w:r>
                    <w:rPr>
                      <w:rFonts w:hint="eastAsia" w:ascii="Times New Roman" w:hAnsi="Times New Roman" w:cs="Times New Roman"/>
                      <w:color w:val="auto"/>
                      <w:spacing w:val="-3"/>
                      <w:sz w:val="21"/>
                      <w:szCs w:val="21"/>
                      <w:lang w:val="en-US" w:eastAsia="zh-CN"/>
                    </w:rPr>
                    <w:t>55.4</w:t>
                  </w:r>
                </w:p>
              </w:tc>
              <w:tc>
                <w:tcPr>
                  <w:tcW w:w="1960" w:type="dxa"/>
                  <w:tcBorders>
                    <w:tl2br w:val="nil"/>
                    <w:tr2bl w:val="nil"/>
                  </w:tcBorders>
                  <w:vAlign w:val="center"/>
                </w:tcPr>
                <w:p w14:paraId="644D5E56">
                  <w:pPr>
                    <w:pStyle w:val="99"/>
                    <w:autoSpaceDE/>
                    <w:autoSpaceDN/>
                    <w:jc w:val="center"/>
                    <w:rPr>
                      <w:rFonts w:hint="default" w:ascii="Times New Roman" w:hAnsi="Times New Roman" w:cs="Times New Roman"/>
                      <w:color w:val="auto"/>
                      <w:spacing w:val="-2"/>
                      <w:sz w:val="21"/>
                      <w:szCs w:val="21"/>
                      <w:lang w:val="en-US" w:eastAsia="zh-CN"/>
                    </w:rPr>
                  </w:pPr>
                  <w:r>
                    <w:rPr>
                      <w:rFonts w:hint="eastAsia" w:ascii="Times New Roman" w:hAnsi="Times New Roman" w:cs="Times New Roman"/>
                      <w:color w:val="auto"/>
                      <w:spacing w:val="-2"/>
                      <w:sz w:val="21"/>
                      <w:szCs w:val="21"/>
                      <w:lang w:val="en-US" w:eastAsia="zh-CN"/>
                    </w:rPr>
                    <w:t>42.7</w:t>
                  </w:r>
                </w:p>
              </w:tc>
            </w:tr>
            <w:tr w14:paraId="69FAA5D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1322" w:type="dxa"/>
                  <w:vMerge w:val="continue"/>
                  <w:tcBorders>
                    <w:tl2br w:val="nil"/>
                    <w:tr2bl w:val="nil"/>
                  </w:tcBorders>
                  <w:vAlign w:val="center"/>
                </w:tcPr>
                <w:p w14:paraId="49B5BA61">
                  <w:pPr>
                    <w:autoSpaceDE/>
                    <w:autoSpaceDN/>
                    <w:jc w:val="center"/>
                    <w:rPr>
                      <w:rFonts w:hint="eastAsia"/>
                      <w:color w:val="auto"/>
                      <w:szCs w:val="21"/>
                      <w:lang w:val="en-US" w:eastAsia="zh-CN"/>
                    </w:rPr>
                  </w:pPr>
                </w:p>
              </w:tc>
              <w:tc>
                <w:tcPr>
                  <w:tcW w:w="1557" w:type="dxa"/>
                  <w:tcBorders>
                    <w:tl2br w:val="nil"/>
                    <w:tr2bl w:val="nil"/>
                  </w:tcBorders>
                  <w:shd w:val="clear" w:color="auto" w:fill="auto"/>
                  <w:vAlign w:val="center"/>
                </w:tcPr>
                <w:p w14:paraId="11E7877B">
                  <w:pPr>
                    <w:pStyle w:val="99"/>
                    <w:autoSpaceDE/>
                    <w:autoSpaceDN/>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pacing w:val="-3"/>
                      <w:sz w:val="21"/>
                      <w:szCs w:val="21"/>
                      <w:lang w:val="en-US" w:eastAsia="zh-CN"/>
                    </w:rPr>
                    <w:t>南</w:t>
                  </w:r>
                  <w:r>
                    <w:rPr>
                      <w:rFonts w:ascii="Times New Roman" w:hAnsi="Times New Roman" w:cs="Times New Roman"/>
                      <w:color w:val="auto"/>
                      <w:spacing w:val="-3"/>
                      <w:sz w:val="21"/>
                      <w:szCs w:val="21"/>
                    </w:rPr>
                    <w:t>厂界外1m</w:t>
                  </w:r>
                </w:p>
              </w:tc>
              <w:tc>
                <w:tcPr>
                  <w:tcW w:w="1150" w:type="dxa"/>
                  <w:tcBorders>
                    <w:tl2br w:val="nil"/>
                    <w:tr2bl w:val="nil"/>
                  </w:tcBorders>
                  <w:shd w:val="clear" w:color="auto" w:fill="auto"/>
                  <w:vAlign w:val="center"/>
                </w:tcPr>
                <w:p w14:paraId="45AB6114">
                  <w:pPr>
                    <w:pStyle w:val="99"/>
                    <w:autoSpaceDE/>
                    <w:autoSpaceDN/>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Z2</w:t>
                  </w:r>
                </w:p>
              </w:tc>
              <w:tc>
                <w:tcPr>
                  <w:tcW w:w="1956" w:type="dxa"/>
                  <w:tcBorders>
                    <w:tl2br w:val="nil"/>
                    <w:tr2bl w:val="nil"/>
                  </w:tcBorders>
                  <w:vAlign w:val="center"/>
                </w:tcPr>
                <w:p w14:paraId="7B6CE9B9">
                  <w:pPr>
                    <w:pStyle w:val="99"/>
                    <w:autoSpaceDE/>
                    <w:autoSpaceDN/>
                    <w:jc w:val="center"/>
                    <w:rPr>
                      <w:rFonts w:hint="default" w:ascii="Times New Roman" w:hAnsi="Times New Roman" w:cs="Times New Roman"/>
                      <w:color w:val="auto"/>
                      <w:spacing w:val="-3"/>
                      <w:sz w:val="21"/>
                      <w:szCs w:val="21"/>
                      <w:lang w:val="en-US" w:eastAsia="zh-CN"/>
                    </w:rPr>
                  </w:pPr>
                  <w:r>
                    <w:rPr>
                      <w:rFonts w:hint="eastAsia" w:ascii="Times New Roman" w:hAnsi="Times New Roman" w:cs="Times New Roman"/>
                      <w:color w:val="auto"/>
                      <w:spacing w:val="-3"/>
                      <w:sz w:val="21"/>
                      <w:szCs w:val="21"/>
                      <w:lang w:val="en-US" w:eastAsia="zh-CN"/>
                    </w:rPr>
                    <w:t>59.1</w:t>
                  </w:r>
                </w:p>
              </w:tc>
              <w:tc>
                <w:tcPr>
                  <w:tcW w:w="1960" w:type="dxa"/>
                  <w:tcBorders>
                    <w:tl2br w:val="nil"/>
                    <w:tr2bl w:val="nil"/>
                  </w:tcBorders>
                  <w:vAlign w:val="center"/>
                </w:tcPr>
                <w:p w14:paraId="0DF3CBAE">
                  <w:pPr>
                    <w:pStyle w:val="99"/>
                    <w:autoSpaceDE/>
                    <w:autoSpaceDN/>
                    <w:jc w:val="center"/>
                    <w:rPr>
                      <w:rFonts w:hint="default" w:ascii="Times New Roman" w:hAnsi="Times New Roman" w:cs="Times New Roman"/>
                      <w:color w:val="auto"/>
                      <w:spacing w:val="-2"/>
                      <w:sz w:val="21"/>
                      <w:szCs w:val="21"/>
                      <w:lang w:val="en-US" w:eastAsia="zh-CN"/>
                    </w:rPr>
                  </w:pPr>
                  <w:r>
                    <w:rPr>
                      <w:rFonts w:hint="eastAsia" w:ascii="Times New Roman" w:hAnsi="Times New Roman" w:cs="Times New Roman"/>
                      <w:color w:val="auto"/>
                      <w:spacing w:val="-2"/>
                      <w:sz w:val="21"/>
                      <w:szCs w:val="21"/>
                      <w:lang w:val="en-US" w:eastAsia="zh-CN"/>
                    </w:rPr>
                    <w:t>48.5</w:t>
                  </w:r>
                </w:p>
              </w:tc>
            </w:tr>
            <w:tr w14:paraId="4E58F36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1322" w:type="dxa"/>
                  <w:vMerge w:val="continue"/>
                  <w:tcBorders>
                    <w:tl2br w:val="nil"/>
                    <w:tr2bl w:val="nil"/>
                  </w:tcBorders>
                  <w:vAlign w:val="center"/>
                </w:tcPr>
                <w:p w14:paraId="29108A47">
                  <w:pPr>
                    <w:autoSpaceDE/>
                    <w:autoSpaceDN/>
                    <w:jc w:val="center"/>
                    <w:rPr>
                      <w:rFonts w:hint="eastAsia"/>
                      <w:color w:val="auto"/>
                      <w:szCs w:val="21"/>
                      <w:lang w:val="en-US" w:eastAsia="zh-CN"/>
                    </w:rPr>
                  </w:pPr>
                </w:p>
              </w:tc>
              <w:tc>
                <w:tcPr>
                  <w:tcW w:w="1557" w:type="dxa"/>
                  <w:tcBorders>
                    <w:tl2br w:val="nil"/>
                    <w:tr2bl w:val="nil"/>
                  </w:tcBorders>
                  <w:shd w:val="clear" w:color="auto" w:fill="auto"/>
                  <w:vAlign w:val="center"/>
                </w:tcPr>
                <w:p w14:paraId="70E1C400">
                  <w:pPr>
                    <w:pStyle w:val="99"/>
                    <w:autoSpaceDE/>
                    <w:autoSpaceDN/>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cs="Times New Roman"/>
                      <w:color w:val="auto"/>
                      <w:spacing w:val="-2"/>
                      <w:sz w:val="21"/>
                      <w:szCs w:val="21"/>
                    </w:rPr>
                    <w:t>西厂界外1m</w:t>
                  </w:r>
                </w:p>
              </w:tc>
              <w:tc>
                <w:tcPr>
                  <w:tcW w:w="1150" w:type="dxa"/>
                  <w:tcBorders>
                    <w:tl2br w:val="nil"/>
                    <w:tr2bl w:val="nil"/>
                  </w:tcBorders>
                  <w:shd w:val="clear" w:color="auto" w:fill="auto"/>
                  <w:vAlign w:val="center"/>
                </w:tcPr>
                <w:p w14:paraId="28E3A83B">
                  <w:pPr>
                    <w:pStyle w:val="99"/>
                    <w:autoSpaceDE/>
                    <w:autoSpaceDN/>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Z3</w:t>
                  </w:r>
                </w:p>
              </w:tc>
              <w:tc>
                <w:tcPr>
                  <w:tcW w:w="1956" w:type="dxa"/>
                  <w:tcBorders>
                    <w:tl2br w:val="nil"/>
                    <w:tr2bl w:val="nil"/>
                  </w:tcBorders>
                  <w:vAlign w:val="center"/>
                </w:tcPr>
                <w:p w14:paraId="709FC699">
                  <w:pPr>
                    <w:pStyle w:val="99"/>
                    <w:autoSpaceDE/>
                    <w:autoSpaceDN/>
                    <w:jc w:val="center"/>
                    <w:rPr>
                      <w:rFonts w:hint="default" w:ascii="Times New Roman" w:hAnsi="Times New Roman" w:cs="Times New Roman"/>
                      <w:color w:val="auto"/>
                      <w:spacing w:val="-3"/>
                      <w:sz w:val="21"/>
                      <w:szCs w:val="21"/>
                      <w:lang w:val="en-US" w:eastAsia="zh-CN"/>
                    </w:rPr>
                  </w:pPr>
                  <w:r>
                    <w:rPr>
                      <w:rFonts w:hint="eastAsia" w:ascii="Times New Roman" w:hAnsi="Times New Roman" w:cs="Times New Roman"/>
                      <w:color w:val="auto"/>
                      <w:spacing w:val="-3"/>
                      <w:sz w:val="21"/>
                      <w:szCs w:val="21"/>
                      <w:lang w:val="en-US" w:eastAsia="zh-CN"/>
                    </w:rPr>
                    <w:t>56.8</w:t>
                  </w:r>
                </w:p>
              </w:tc>
              <w:tc>
                <w:tcPr>
                  <w:tcW w:w="1960" w:type="dxa"/>
                  <w:tcBorders>
                    <w:tl2br w:val="nil"/>
                    <w:tr2bl w:val="nil"/>
                  </w:tcBorders>
                  <w:vAlign w:val="center"/>
                </w:tcPr>
                <w:p w14:paraId="1039B727">
                  <w:pPr>
                    <w:pStyle w:val="99"/>
                    <w:autoSpaceDE/>
                    <w:autoSpaceDN/>
                    <w:jc w:val="center"/>
                    <w:rPr>
                      <w:rFonts w:hint="default" w:ascii="Times New Roman" w:hAnsi="Times New Roman" w:cs="Times New Roman"/>
                      <w:color w:val="auto"/>
                      <w:spacing w:val="-2"/>
                      <w:sz w:val="21"/>
                      <w:szCs w:val="21"/>
                      <w:lang w:val="en-US" w:eastAsia="zh-CN"/>
                    </w:rPr>
                  </w:pPr>
                  <w:r>
                    <w:rPr>
                      <w:rFonts w:hint="eastAsia" w:ascii="Times New Roman" w:hAnsi="Times New Roman" w:cs="Times New Roman"/>
                      <w:color w:val="auto"/>
                      <w:spacing w:val="-2"/>
                      <w:sz w:val="21"/>
                      <w:szCs w:val="21"/>
                      <w:lang w:val="en-US" w:eastAsia="zh-CN"/>
                    </w:rPr>
                    <w:t>46.3</w:t>
                  </w:r>
                </w:p>
              </w:tc>
            </w:tr>
            <w:tr w14:paraId="43F09A7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1322" w:type="dxa"/>
                  <w:vMerge w:val="continue"/>
                  <w:tcBorders>
                    <w:tl2br w:val="nil"/>
                    <w:tr2bl w:val="nil"/>
                  </w:tcBorders>
                  <w:vAlign w:val="center"/>
                </w:tcPr>
                <w:p w14:paraId="330B32F3">
                  <w:pPr>
                    <w:autoSpaceDE/>
                    <w:autoSpaceDN/>
                    <w:jc w:val="center"/>
                    <w:rPr>
                      <w:rFonts w:hint="eastAsia"/>
                      <w:color w:val="auto"/>
                      <w:szCs w:val="21"/>
                      <w:lang w:val="en-US" w:eastAsia="zh-CN"/>
                    </w:rPr>
                  </w:pPr>
                </w:p>
              </w:tc>
              <w:tc>
                <w:tcPr>
                  <w:tcW w:w="1557" w:type="dxa"/>
                  <w:tcBorders>
                    <w:tl2br w:val="nil"/>
                    <w:tr2bl w:val="nil"/>
                  </w:tcBorders>
                  <w:shd w:val="clear" w:color="auto" w:fill="auto"/>
                  <w:vAlign w:val="center"/>
                </w:tcPr>
                <w:p w14:paraId="617D763A">
                  <w:pPr>
                    <w:pStyle w:val="99"/>
                    <w:autoSpaceDE/>
                    <w:autoSpaceDN/>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pacing w:val="-2"/>
                      <w:sz w:val="21"/>
                      <w:szCs w:val="21"/>
                      <w:lang w:val="en-US" w:eastAsia="zh-CN"/>
                    </w:rPr>
                    <w:t>北</w:t>
                  </w:r>
                  <w:r>
                    <w:rPr>
                      <w:rFonts w:ascii="Times New Roman" w:hAnsi="Times New Roman" w:cs="Times New Roman"/>
                      <w:color w:val="auto"/>
                      <w:spacing w:val="-2"/>
                      <w:sz w:val="21"/>
                      <w:szCs w:val="21"/>
                    </w:rPr>
                    <w:t>厂界外1m</w:t>
                  </w:r>
                </w:p>
              </w:tc>
              <w:tc>
                <w:tcPr>
                  <w:tcW w:w="1150" w:type="dxa"/>
                  <w:tcBorders>
                    <w:tl2br w:val="nil"/>
                    <w:tr2bl w:val="nil"/>
                  </w:tcBorders>
                  <w:shd w:val="clear" w:color="auto" w:fill="auto"/>
                  <w:vAlign w:val="center"/>
                </w:tcPr>
                <w:p w14:paraId="4940316F">
                  <w:pPr>
                    <w:pStyle w:val="99"/>
                    <w:autoSpaceDE/>
                    <w:autoSpaceDN/>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Z4</w:t>
                  </w:r>
                </w:p>
              </w:tc>
              <w:tc>
                <w:tcPr>
                  <w:tcW w:w="1956" w:type="dxa"/>
                  <w:tcBorders>
                    <w:tl2br w:val="nil"/>
                    <w:tr2bl w:val="nil"/>
                  </w:tcBorders>
                  <w:vAlign w:val="center"/>
                </w:tcPr>
                <w:p w14:paraId="32891FBA">
                  <w:pPr>
                    <w:pStyle w:val="99"/>
                    <w:autoSpaceDE/>
                    <w:autoSpaceDN/>
                    <w:jc w:val="center"/>
                    <w:rPr>
                      <w:rFonts w:hint="default" w:ascii="Times New Roman" w:hAnsi="Times New Roman" w:cs="Times New Roman"/>
                      <w:color w:val="auto"/>
                      <w:spacing w:val="-3"/>
                      <w:sz w:val="21"/>
                      <w:szCs w:val="21"/>
                      <w:lang w:val="en-US" w:eastAsia="zh-CN"/>
                    </w:rPr>
                  </w:pPr>
                  <w:r>
                    <w:rPr>
                      <w:rFonts w:hint="eastAsia" w:ascii="Times New Roman" w:hAnsi="Times New Roman" w:cs="Times New Roman"/>
                      <w:color w:val="auto"/>
                      <w:spacing w:val="-3"/>
                      <w:sz w:val="21"/>
                      <w:szCs w:val="21"/>
                      <w:lang w:val="en-US" w:eastAsia="zh-CN"/>
                    </w:rPr>
                    <w:t>58.1</w:t>
                  </w:r>
                </w:p>
              </w:tc>
              <w:tc>
                <w:tcPr>
                  <w:tcW w:w="1960" w:type="dxa"/>
                  <w:tcBorders>
                    <w:tl2br w:val="nil"/>
                    <w:tr2bl w:val="nil"/>
                  </w:tcBorders>
                  <w:vAlign w:val="center"/>
                </w:tcPr>
                <w:p w14:paraId="3B7211D4">
                  <w:pPr>
                    <w:pStyle w:val="99"/>
                    <w:autoSpaceDE/>
                    <w:autoSpaceDN/>
                    <w:jc w:val="center"/>
                    <w:rPr>
                      <w:rFonts w:hint="default" w:ascii="Times New Roman" w:hAnsi="Times New Roman" w:cs="Times New Roman"/>
                      <w:color w:val="auto"/>
                      <w:spacing w:val="-2"/>
                      <w:sz w:val="21"/>
                      <w:szCs w:val="21"/>
                      <w:lang w:val="en-US" w:eastAsia="zh-CN"/>
                    </w:rPr>
                  </w:pPr>
                  <w:r>
                    <w:rPr>
                      <w:rFonts w:hint="eastAsia" w:ascii="Times New Roman" w:hAnsi="Times New Roman" w:cs="Times New Roman"/>
                      <w:color w:val="auto"/>
                      <w:spacing w:val="-2"/>
                      <w:sz w:val="21"/>
                      <w:szCs w:val="21"/>
                      <w:lang w:val="en-US" w:eastAsia="zh-CN"/>
                    </w:rPr>
                    <w:t>47.0</w:t>
                  </w:r>
                </w:p>
              </w:tc>
            </w:tr>
            <w:tr w14:paraId="4BAA420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1322" w:type="dxa"/>
                  <w:tcBorders>
                    <w:tl2br w:val="nil"/>
                    <w:tr2bl w:val="nil"/>
                  </w:tcBorders>
                  <w:vAlign w:val="center"/>
                </w:tcPr>
                <w:p w14:paraId="6F53D9B4">
                  <w:pPr>
                    <w:autoSpaceDE/>
                    <w:autoSpaceDN/>
                    <w:jc w:val="center"/>
                    <w:rPr>
                      <w:rFonts w:hint="eastAsia"/>
                      <w:color w:val="auto"/>
                      <w:szCs w:val="21"/>
                      <w:lang w:val="en-US" w:eastAsia="zh-CN"/>
                    </w:rPr>
                  </w:pPr>
                  <w:r>
                    <w:rPr>
                      <w:rFonts w:hint="eastAsia"/>
                      <w:color w:val="auto"/>
                      <w:szCs w:val="21"/>
                      <w:lang w:val="en-US" w:eastAsia="zh-CN"/>
                    </w:rPr>
                    <w:t>检测环境条件</w:t>
                  </w:r>
                </w:p>
              </w:tc>
              <w:tc>
                <w:tcPr>
                  <w:tcW w:w="6623" w:type="dxa"/>
                  <w:gridSpan w:val="4"/>
                  <w:tcBorders>
                    <w:tl2br w:val="nil"/>
                    <w:tr2bl w:val="nil"/>
                  </w:tcBorders>
                  <w:vAlign w:val="center"/>
                </w:tcPr>
                <w:p w14:paraId="4D81BD44">
                  <w:pPr>
                    <w:pStyle w:val="99"/>
                    <w:autoSpaceDE/>
                    <w:autoSpaceDN/>
                    <w:jc w:val="both"/>
                    <w:rPr>
                      <w:rFonts w:hint="eastAsia" w:ascii="Times New Roman" w:hAnsi="Times New Roman" w:cs="Times New Roman"/>
                      <w:color w:val="auto"/>
                      <w:spacing w:val="-2"/>
                      <w:sz w:val="21"/>
                      <w:szCs w:val="21"/>
                      <w:lang w:val="en-US" w:eastAsia="zh-CN"/>
                    </w:rPr>
                  </w:pPr>
                  <w:r>
                    <w:rPr>
                      <w:rFonts w:hint="eastAsia" w:ascii="Times New Roman" w:hAnsi="Times New Roman" w:cs="Times New Roman"/>
                      <w:color w:val="auto"/>
                      <w:spacing w:val="-2"/>
                      <w:sz w:val="21"/>
                      <w:szCs w:val="21"/>
                      <w:lang w:val="en-US" w:eastAsia="zh-CN"/>
                    </w:rPr>
                    <w:t>昼间：天气：晴；风速：1.8m/s。</w:t>
                  </w:r>
                </w:p>
                <w:p w14:paraId="59928D1C">
                  <w:pPr>
                    <w:pStyle w:val="99"/>
                    <w:autoSpaceDE/>
                    <w:autoSpaceDN/>
                    <w:jc w:val="both"/>
                    <w:rPr>
                      <w:rFonts w:hint="eastAsia" w:ascii="Times New Roman" w:hAnsi="Times New Roman" w:cs="Times New Roman"/>
                      <w:color w:val="auto"/>
                      <w:spacing w:val="-2"/>
                      <w:sz w:val="21"/>
                      <w:szCs w:val="21"/>
                      <w:lang w:val="en-US" w:eastAsia="zh-CN"/>
                    </w:rPr>
                  </w:pPr>
                  <w:r>
                    <w:rPr>
                      <w:rFonts w:hint="eastAsia" w:ascii="Times New Roman" w:hAnsi="Times New Roman" w:cs="Times New Roman"/>
                      <w:color w:val="auto"/>
                      <w:spacing w:val="-2"/>
                      <w:sz w:val="21"/>
                      <w:szCs w:val="21"/>
                      <w:lang w:val="en-US" w:eastAsia="zh-CN"/>
                    </w:rPr>
                    <w:t>夜间：天气：晴；风速：1.6m/s。</w:t>
                  </w:r>
                </w:p>
              </w:tc>
            </w:tr>
          </w:tbl>
          <w:p w14:paraId="237CAFCC">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360" w:lineRule="auto"/>
              <w:ind w:firstLine="420" w:firstLineChars="200"/>
              <w:textAlignment w:val="auto"/>
              <w:rPr>
                <w:color w:val="auto"/>
              </w:rPr>
            </w:pPr>
            <w:r>
              <w:rPr>
                <w:rFonts w:ascii="Times New Roman" w:hAnsi="Times New Roman" w:eastAsia="宋体" w:cs="Times New Roman"/>
                <w:color w:val="auto"/>
                <w:kern w:val="2"/>
                <w:sz w:val="21"/>
                <w:szCs w:val="24"/>
                <w:lang w:val="en-US" w:eastAsia="zh-CN" w:bidi="ar-SA"/>
              </w:rPr>
              <w:t>（4）</w:t>
            </w:r>
            <w:r>
              <w:rPr>
                <w:rFonts w:hint="eastAsia"/>
                <w:color w:val="auto"/>
              </w:rPr>
              <w:t>固废</w:t>
            </w:r>
          </w:p>
          <w:p w14:paraId="0170E3FA">
            <w:pPr>
              <w:spacing w:before="120" w:beforeLines="50"/>
              <w:jc w:val="center"/>
              <w:rPr>
                <w:b/>
                <w:bCs/>
                <w:color w:val="auto"/>
                <w:szCs w:val="21"/>
              </w:rPr>
            </w:pPr>
            <w:r>
              <w:rPr>
                <w:rFonts w:hint="eastAsia"/>
                <w:b/>
                <w:bCs/>
                <w:color w:val="auto"/>
              </w:rPr>
              <w:t>表2-</w:t>
            </w:r>
            <w:r>
              <w:rPr>
                <w:rFonts w:hint="eastAsia"/>
                <w:b/>
                <w:bCs/>
                <w:color w:val="auto"/>
                <w:lang w:val="en-US" w:eastAsia="zh-CN"/>
              </w:rPr>
              <w:t>20</w:t>
            </w:r>
            <w:r>
              <w:rPr>
                <w:rFonts w:hint="eastAsia"/>
                <w:b/>
                <w:bCs/>
                <w:color w:val="auto"/>
              </w:rPr>
              <w:t xml:space="preserve"> 现有项目固废产生与处置情况</w:t>
            </w:r>
          </w:p>
          <w:tbl>
            <w:tblPr>
              <w:tblStyle w:val="3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759"/>
              <w:gridCol w:w="1808"/>
              <w:gridCol w:w="1539"/>
              <w:gridCol w:w="3839"/>
            </w:tblGrid>
            <w:tr w14:paraId="42A3A2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59" w:type="dxa"/>
                  <w:tcBorders>
                    <w:tl2br w:val="nil"/>
                    <w:tr2bl w:val="nil"/>
                  </w:tcBorders>
                  <w:vAlign w:val="center"/>
                </w:tcPr>
                <w:p w14:paraId="62E6B081">
                  <w:pPr>
                    <w:pStyle w:val="10"/>
                    <w:spacing w:before="0" w:after="0" w:line="240" w:lineRule="auto"/>
                    <w:ind w:right="0"/>
                    <w:jc w:val="center"/>
                    <w:rPr>
                      <w:color w:val="auto"/>
                      <w:sz w:val="21"/>
                      <w:szCs w:val="21"/>
                    </w:rPr>
                  </w:pPr>
                  <w:r>
                    <w:rPr>
                      <w:rFonts w:hint="eastAsia"/>
                      <w:color w:val="auto"/>
                      <w:sz w:val="21"/>
                      <w:szCs w:val="21"/>
                    </w:rPr>
                    <w:t>序号</w:t>
                  </w:r>
                </w:p>
              </w:tc>
              <w:tc>
                <w:tcPr>
                  <w:tcW w:w="1808" w:type="dxa"/>
                  <w:tcBorders>
                    <w:tl2br w:val="nil"/>
                    <w:tr2bl w:val="nil"/>
                  </w:tcBorders>
                  <w:vAlign w:val="center"/>
                </w:tcPr>
                <w:p w14:paraId="470E3807">
                  <w:pPr>
                    <w:pStyle w:val="10"/>
                    <w:spacing w:before="0" w:after="0" w:line="240" w:lineRule="auto"/>
                    <w:ind w:right="0"/>
                    <w:jc w:val="center"/>
                    <w:rPr>
                      <w:color w:val="auto"/>
                      <w:sz w:val="21"/>
                      <w:szCs w:val="21"/>
                    </w:rPr>
                  </w:pPr>
                  <w:r>
                    <w:rPr>
                      <w:rFonts w:hint="eastAsia"/>
                      <w:color w:val="auto"/>
                      <w:sz w:val="21"/>
                      <w:szCs w:val="21"/>
                    </w:rPr>
                    <w:t>固废名称</w:t>
                  </w:r>
                </w:p>
              </w:tc>
              <w:tc>
                <w:tcPr>
                  <w:tcW w:w="1539" w:type="dxa"/>
                  <w:tcBorders>
                    <w:tl2br w:val="nil"/>
                    <w:tr2bl w:val="nil"/>
                  </w:tcBorders>
                  <w:vAlign w:val="center"/>
                </w:tcPr>
                <w:p w14:paraId="078850D1">
                  <w:pPr>
                    <w:pStyle w:val="10"/>
                    <w:spacing w:before="0" w:after="0" w:line="240" w:lineRule="auto"/>
                    <w:ind w:right="0"/>
                    <w:jc w:val="center"/>
                    <w:rPr>
                      <w:color w:val="auto"/>
                      <w:sz w:val="21"/>
                      <w:szCs w:val="21"/>
                    </w:rPr>
                  </w:pPr>
                  <w:r>
                    <w:rPr>
                      <w:rFonts w:hint="eastAsia"/>
                      <w:color w:val="auto"/>
                      <w:sz w:val="21"/>
                      <w:szCs w:val="21"/>
                    </w:rPr>
                    <w:t>产生量t/a</w:t>
                  </w:r>
                </w:p>
              </w:tc>
              <w:tc>
                <w:tcPr>
                  <w:tcW w:w="3839" w:type="dxa"/>
                  <w:tcBorders>
                    <w:tl2br w:val="nil"/>
                    <w:tr2bl w:val="nil"/>
                  </w:tcBorders>
                  <w:vAlign w:val="center"/>
                </w:tcPr>
                <w:p w14:paraId="13912776">
                  <w:pPr>
                    <w:pStyle w:val="10"/>
                    <w:spacing w:before="0" w:after="0" w:line="240" w:lineRule="auto"/>
                    <w:ind w:right="0"/>
                    <w:jc w:val="center"/>
                    <w:rPr>
                      <w:color w:val="auto"/>
                      <w:sz w:val="21"/>
                      <w:szCs w:val="21"/>
                    </w:rPr>
                  </w:pPr>
                  <w:r>
                    <w:rPr>
                      <w:rFonts w:hint="eastAsia"/>
                      <w:color w:val="auto"/>
                      <w:sz w:val="21"/>
                      <w:szCs w:val="21"/>
                    </w:rPr>
                    <w:t>利用处置方式</w:t>
                  </w:r>
                </w:p>
              </w:tc>
            </w:tr>
            <w:tr w14:paraId="076DB4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59" w:type="dxa"/>
                  <w:tcBorders>
                    <w:tl2br w:val="nil"/>
                    <w:tr2bl w:val="nil"/>
                  </w:tcBorders>
                  <w:vAlign w:val="center"/>
                </w:tcPr>
                <w:p w14:paraId="1AAE1566">
                  <w:pPr>
                    <w:pStyle w:val="10"/>
                    <w:spacing w:before="0" w:after="0" w:line="240" w:lineRule="auto"/>
                    <w:ind w:right="0"/>
                    <w:jc w:val="center"/>
                    <w:rPr>
                      <w:color w:val="auto"/>
                      <w:sz w:val="21"/>
                      <w:szCs w:val="21"/>
                    </w:rPr>
                  </w:pPr>
                  <w:r>
                    <w:rPr>
                      <w:rFonts w:hint="eastAsia"/>
                      <w:color w:val="auto"/>
                      <w:sz w:val="21"/>
                      <w:szCs w:val="21"/>
                    </w:rPr>
                    <w:t>1</w:t>
                  </w:r>
                </w:p>
              </w:tc>
              <w:tc>
                <w:tcPr>
                  <w:tcW w:w="1808" w:type="dxa"/>
                  <w:tcBorders>
                    <w:tl2br w:val="nil"/>
                    <w:tr2bl w:val="nil"/>
                  </w:tcBorders>
                  <w:vAlign w:val="center"/>
                </w:tcPr>
                <w:p w14:paraId="23779F7B">
                  <w:pPr>
                    <w:pStyle w:val="10"/>
                    <w:spacing w:before="0" w:after="0" w:line="240" w:lineRule="auto"/>
                    <w:ind w:right="0"/>
                    <w:jc w:val="center"/>
                    <w:rPr>
                      <w:color w:val="auto"/>
                      <w:sz w:val="21"/>
                      <w:szCs w:val="21"/>
                    </w:rPr>
                  </w:pPr>
                  <w:r>
                    <w:rPr>
                      <w:rFonts w:hint="eastAsia"/>
                      <w:color w:val="auto"/>
                      <w:sz w:val="21"/>
                      <w:szCs w:val="21"/>
                    </w:rPr>
                    <w:t>废包装袋</w:t>
                  </w:r>
                </w:p>
              </w:tc>
              <w:tc>
                <w:tcPr>
                  <w:tcW w:w="1539" w:type="dxa"/>
                  <w:tcBorders>
                    <w:tl2br w:val="nil"/>
                    <w:tr2bl w:val="nil"/>
                  </w:tcBorders>
                  <w:vAlign w:val="center"/>
                </w:tcPr>
                <w:p w14:paraId="3F2DF8B7">
                  <w:pPr>
                    <w:pStyle w:val="10"/>
                    <w:spacing w:before="0" w:after="0" w:line="240" w:lineRule="auto"/>
                    <w:ind w:right="0"/>
                    <w:jc w:val="center"/>
                    <w:rPr>
                      <w:color w:val="auto"/>
                      <w:sz w:val="21"/>
                      <w:szCs w:val="21"/>
                    </w:rPr>
                  </w:pPr>
                  <w:r>
                    <w:rPr>
                      <w:rFonts w:hint="eastAsia"/>
                      <w:color w:val="auto"/>
                      <w:sz w:val="21"/>
                      <w:szCs w:val="21"/>
                    </w:rPr>
                    <w:t>0.5</w:t>
                  </w:r>
                </w:p>
              </w:tc>
              <w:tc>
                <w:tcPr>
                  <w:tcW w:w="3839" w:type="dxa"/>
                  <w:vMerge w:val="restart"/>
                  <w:tcBorders>
                    <w:tl2br w:val="nil"/>
                    <w:tr2bl w:val="nil"/>
                  </w:tcBorders>
                  <w:vAlign w:val="center"/>
                </w:tcPr>
                <w:p w14:paraId="61AB65D0">
                  <w:pPr>
                    <w:pStyle w:val="10"/>
                    <w:spacing w:before="0" w:after="0" w:line="240" w:lineRule="auto"/>
                    <w:ind w:right="0"/>
                    <w:jc w:val="center"/>
                    <w:rPr>
                      <w:color w:val="auto"/>
                      <w:sz w:val="21"/>
                      <w:szCs w:val="21"/>
                    </w:rPr>
                  </w:pPr>
                  <w:r>
                    <w:rPr>
                      <w:rFonts w:hint="eastAsia"/>
                      <w:color w:val="auto"/>
                      <w:sz w:val="21"/>
                      <w:szCs w:val="21"/>
                    </w:rPr>
                    <w:t>统一收集后外售</w:t>
                  </w:r>
                </w:p>
              </w:tc>
            </w:tr>
            <w:tr w14:paraId="5EE9CD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59" w:type="dxa"/>
                  <w:tcBorders>
                    <w:tl2br w:val="nil"/>
                    <w:tr2bl w:val="nil"/>
                  </w:tcBorders>
                  <w:vAlign w:val="center"/>
                </w:tcPr>
                <w:p w14:paraId="16B38253">
                  <w:pPr>
                    <w:pStyle w:val="10"/>
                    <w:spacing w:before="0" w:after="0" w:line="240" w:lineRule="auto"/>
                    <w:ind w:right="0"/>
                    <w:jc w:val="center"/>
                    <w:rPr>
                      <w:color w:val="auto"/>
                      <w:sz w:val="21"/>
                      <w:szCs w:val="21"/>
                    </w:rPr>
                  </w:pPr>
                  <w:r>
                    <w:rPr>
                      <w:rFonts w:hint="eastAsia"/>
                      <w:color w:val="auto"/>
                      <w:sz w:val="21"/>
                      <w:szCs w:val="21"/>
                    </w:rPr>
                    <w:t>2</w:t>
                  </w:r>
                </w:p>
              </w:tc>
              <w:tc>
                <w:tcPr>
                  <w:tcW w:w="1808" w:type="dxa"/>
                  <w:tcBorders>
                    <w:tl2br w:val="nil"/>
                    <w:tr2bl w:val="nil"/>
                  </w:tcBorders>
                  <w:vAlign w:val="center"/>
                </w:tcPr>
                <w:p w14:paraId="7F9B777A">
                  <w:pPr>
                    <w:pStyle w:val="10"/>
                    <w:spacing w:before="0" w:after="0" w:line="240" w:lineRule="auto"/>
                    <w:ind w:right="0"/>
                    <w:jc w:val="center"/>
                    <w:rPr>
                      <w:color w:val="auto"/>
                      <w:sz w:val="21"/>
                      <w:szCs w:val="21"/>
                    </w:rPr>
                  </w:pPr>
                  <w:r>
                    <w:rPr>
                      <w:rFonts w:hint="eastAsia"/>
                      <w:color w:val="auto"/>
                      <w:sz w:val="21"/>
                      <w:szCs w:val="21"/>
                    </w:rPr>
                    <w:t>水性漆渣</w:t>
                  </w:r>
                </w:p>
              </w:tc>
              <w:tc>
                <w:tcPr>
                  <w:tcW w:w="1539" w:type="dxa"/>
                  <w:tcBorders>
                    <w:tl2br w:val="nil"/>
                    <w:tr2bl w:val="nil"/>
                  </w:tcBorders>
                  <w:vAlign w:val="center"/>
                </w:tcPr>
                <w:p w14:paraId="0A436E8C">
                  <w:pPr>
                    <w:pStyle w:val="10"/>
                    <w:spacing w:before="0" w:after="0" w:line="240" w:lineRule="auto"/>
                    <w:ind w:right="0"/>
                    <w:jc w:val="center"/>
                    <w:rPr>
                      <w:color w:val="auto"/>
                      <w:sz w:val="21"/>
                      <w:szCs w:val="21"/>
                    </w:rPr>
                  </w:pPr>
                  <w:r>
                    <w:rPr>
                      <w:rFonts w:hint="eastAsia"/>
                      <w:color w:val="auto"/>
                      <w:sz w:val="21"/>
                      <w:szCs w:val="21"/>
                    </w:rPr>
                    <w:t>81</w:t>
                  </w:r>
                </w:p>
              </w:tc>
              <w:tc>
                <w:tcPr>
                  <w:tcW w:w="3839" w:type="dxa"/>
                  <w:vMerge w:val="continue"/>
                  <w:tcBorders>
                    <w:tl2br w:val="nil"/>
                    <w:tr2bl w:val="nil"/>
                  </w:tcBorders>
                  <w:vAlign w:val="center"/>
                </w:tcPr>
                <w:p w14:paraId="57F4A1A3">
                  <w:pPr>
                    <w:pStyle w:val="10"/>
                    <w:spacing w:before="0" w:after="0" w:line="240" w:lineRule="auto"/>
                    <w:ind w:right="0"/>
                    <w:jc w:val="center"/>
                    <w:rPr>
                      <w:color w:val="auto"/>
                      <w:sz w:val="21"/>
                      <w:szCs w:val="21"/>
                    </w:rPr>
                  </w:pPr>
                </w:p>
              </w:tc>
            </w:tr>
            <w:tr w14:paraId="21FFEF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59" w:type="dxa"/>
                  <w:tcBorders>
                    <w:tl2br w:val="nil"/>
                    <w:tr2bl w:val="nil"/>
                  </w:tcBorders>
                  <w:vAlign w:val="center"/>
                </w:tcPr>
                <w:p w14:paraId="4A802E55">
                  <w:pPr>
                    <w:pStyle w:val="10"/>
                    <w:spacing w:before="0" w:after="0" w:line="240" w:lineRule="auto"/>
                    <w:ind w:right="0"/>
                    <w:jc w:val="center"/>
                    <w:rPr>
                      <w:color w:val="auto"/>
                      <w:sz w:val="21"/>
                      <w:szCs w:val="21"/>
                    </w:rPr>
                  </w:pPr>
                  <w:r>
                    <w:rPr>
                      <w:rFonts w:hint="eastAsia"/>
                      <w:color w:val="auto"/>
                      <w:sz w:val="21"/>
                      <w:szCs w:val="21"/>
                    </w:rPr>
                    <w:t>3</w:t>
                  </w:r>
                </w:p>
              </w:tc>
              <w:tc>
                <w:tcPr>
                  <w:tcW w:w="1808" w:type="dxa"/>
                  <w:tcBorders>
                    <w:tl2br w:val="nil"/>
                    <w:tr2bl w:val="nil"/>
                  </w:tcBorders>
                  <w:vAlign w:val="center"/>
                </w:tcPr>
                <w:p w14:paraId="327E59FB">
                  <w:pPr>
                    <w:pStyle w:val="10"/>
                    <w:spacing w:before="0" w:after="0" w:line="240" w:lineRule="auto"/>
                    <w:ind w:right="0"/>
                    <w:jc w:val="center"/>
                    <w:rPr>
                      <w:color w:val="auto"/>
                      <w:sz w:val="21"/>
                      <w:szCs w:val="21"/>
                    </w:rPr>
                  </w:pPr>
                  <w:r>
                    <w:rPr>
                      <w:rFonts w:hint="eastAsia"/>
                      <w:color w:val="auto"/>
                      <w:sz w:val="21"/>
                      <w:szCs w:val="21"/>
                    </w:rPr>
                    <w:t>污泥</w:t>
                  </w:r>
                </w:p>
              </w:tc>
              <w:tc>
                <w:tcPr>
                  <w:tcW w:w="1539" w:type="dxa"/>
                  <w:tcBorders>
                    <w:tl2br w:val="nil"/>
                    <w:tr2bl w:val="nil"/>
                  </w:tcBorders>
                  <w:vAlign w:val="center"/>
                </w:tcPr>
                <w:p w14:paraId="344EC9A0">
                  <w:pPr>
                    <w:pStyle w:val="10"/>
                    <w:spacing w:before="0" w:after="0" w:line="240" w:lineRule="auto"/>
                    <w:ind w:right="0"/>
                    <w:jc w:val="center"/>
                    <w:rPr>
                      <w:color w:val="auto"/>
                      <w:kern w:val="2"/>
                      <w:sz w:val="21"/>
                      <w:szCs w:val="21"/>
                    </w:rPr>
                  </w:pPr>
                  <w:r>
                    <w:rPr>
                      <w:rFonts w:hint="eastAsia"/>
                      <w:color w:val="auto"/>
                      <w:sz w:val="21"/>
                      <w:szCs w:val="21"/>
                    </w:rPr>
                    <w:t>25</w:t>
                  </w:r>
                </w:p>
              </w:tc>
              <w:tc>
                <w:tcPr>
                  <w:tcW w:w="3839" w:type="dxa"/>
                  <w:vMerge w:val="continue"/>
                  <w:tcBorders>
                    <w:tl2br w:val="nil"/>
                    <w:tr2bl w:val="nil"/>
                  </w:tcBorders>
                  <w:vAlign w:val="center"/>
                </w:tcPr>
                <w:p w14:paraId="4D99D7FD">
                  <w:pPr>
                    <w:pStyle w:val="10"/>
                    <w:spacing w:before="0" w:after="0" w:line="240" w:lineRule="auto"/>
                    <w:ind w:right="0"/>
                    <w:jc w:val="center"/>
                    <w:rPr>
                      <w:color w:val="auto"/>
                      <w:sz w:val="21"/>
                      <w:szCs w:val="21"/>
                    </w:rPr>
                  </w:pPr>
                </w:p>
              </w:tc>
            </w:tr>
            <w:tr w14:paraId="7AAD90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59" w:type="dxa"/>
                  <w:tcBorders>
                    <w:tl2br w:val="nil"/>
                    <w:tr2bl w:val="nil"/>
                  </w:tcBorders>
                  <w:vAlign w:val="center"/>
                </w:tcPr>
                <w:p w14:paraId="7283E13A">
                  <w:pPr>
                    <w:pStyle w:val="10"/>
                    <w:spacing w:before="0" w:after="0" w:line="240" w:lineRule="auto"/>
                    <w:ind w:right="0"/>
                    <w:jc w:val="center"/>
                    <w:rPr>
                      <w:color w:val="auto"/>
                      <w:sz w:val="21"/>
                      <w:szCs w:val="21"/>
                    </w:rPr>
                  </w:pPr>
                  <w:r>
                    <w:rPr>
                      <w:rFonts w:hint="eastAsia"/>
                      <w:color w:val="auto"/>
                      <w:sz w:val="21"/>
                      <w:szCs w:val="21"/>
                    </w:rPr>
                    <w:t>4</w:t>
                  </w:r>
                </w:p>
              </w:tc>
              <w:tc>
                <w:tcPr>
                  <w:tcW w:w="1808" w:type="dxa"/>
                  <w:tcBorders>
                    <w:tl2br w:val="nil"/>
                    <w:tr2bl w:val="nil"/>
                  </w:tcBorders>
                  <w:vAlign w:val="center"/>
                </w:tcPr>
                <w:p w14:paraId="48645DCA">
                  <w:pPr>
                    <w:pStyle w:val="10"/>
                    <w:spacing w:before="0" w:after="0" w:line="240" w:lineRule="auto"/>
                    <w:ind w:right="0"/>
                    <w:jc w:val="center"/>
                    <w:rPr>
                      <w:color w:val="auto"/>
                      <w:sz w:val="21"/>
                      <w:szCs w:val="21"/>
                    </w:rPr>
                  </w:pPr>
                  <w:r>
                    <w:rPr>
                      <w:rFonts w:hint="eastAsia"/>
                      <w:color w:val="auto"/>
                      <w:sz w:val="21"/>
                      <w:szCs w:val="21"/>
                    </w:rPr>
                    <w:t>空酸桶</w:t>
                  </w:r>
                </w:p>
              </w:tc>
              <w:tc>
                <w:tcPr>
                  <w:tcW w:w="1539" w:type="dxa"/>
                  <w:tcBorders>
                    <w:tl2br w:val="nil"/>
                    <w:tr2bl w:val="nil"/>
                  </w:tcBorders>
                  <w:vAlign w:val="center"/>
                </w:tcPr>
                <w:p w14:paraId="4D6EE1A1">
                  <w:pPr>
                    <w:pStyle w:val="10"/>
                    <w:spacing w:before="0" w:after="0" w:line="240" w:lineRule="auto"/>
                    <w:ind w:right="0"/>
                    <w:jc w:val="center"/>
                    <w:rPr>
                      <w:color w:val="auto"/>
                      <w:sz w:val="21"/>
                      <w:szCs w:val="21"/>
                    </w:rPr>
                  </w:pPr>
                  <w:r>
                    <w:rPr>
                      <w:rFonts w:hint="eastAsia"/>
                      <w:color w:val="auto"/>
                      <w:sz w:val="21"/>
                      <w:szCs w:val="21"/>
                    </w:rPr>
                    <w:t>0.3</w:t>
                  </w:r>
                </w:p>
              </w:tc>
              <w:tc>
                <w:tcPr>
                  <w:tcW w:w="3839" w:type="dxa"/>
                  <w:tcBorders>
                    <w:tl2br w:val="nil"/>
                    <w:tr2bl w:val="nil"/>
                  </w:tcBorders>
                  <w:vAlign w:val="center"/>
                </w:tcPr>
                <w:p w14:paraId="31D2AFC3">
                  <w:pPr>
                    <w:pStyle w:val="10"/>
                    <w:spacing w:before="0" w:after="0" w:line="240" w:lineRule="auto"/>
                    <w:ind w:right="0"/>
                    <w:jc w:val="center"/>
                    <w:rPr>
                      <w:color w:val="auto"/>
                      <w:sz w:val="21"/>
                      <w:szCs w:val="21"/>
                    </w:rPr>
                  </w:pPr>
                  <w:r>
                    <w:rPr>
                      <w:rFonts w:hint="eastAsia"/>
                      <w:color w:val="auto"/>
                      <w:sz w:val="21"/>
                      <w:szCs w:val="21"/>
                    </w:rPr>
                    <w:t>供货商回收</w:t>
                  </w:r>
                </w:p>
              </w:tc>
            </w:tr>
            <w:tr w14:paraId="4C15C9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59" w:type="dxa"/>
                  <w:tcBorders>
                    <w:tl2br w:val="nil"/>
                    <w:tr2bl w:val="nil"/>
                  </w:tcBorders>
                  <w:vAlign w:val="center"/>
                </w:tcPr>
                <w:p w14:paraId="6F83BADE">
                  <w:pPr>
                    <w:pStyle w:val="10"/>
                    <w:spacing w:before="0" w:after="0" w:line="240" w:lineRule="auto"/>
                    <w:ind w:right="0"/>
                    <w:jc w:val="center"/>
                    <w:rPr>
                      <w:color w:val="auto"/>
                      <w:sz w:val="21"/>
                      <w:szCs w:val="21"/>
                    </w:rPr>
                  </w:pPr>
                  <w:r>
                    <w:rPr>
                      <w:rFonts w:hint="eastAsia"/>
                      <w:color w:val="auto"/>
                      <w:sz w:val="21"/>
                      <w:szCs w:val="21"/>
                    </w:rPr>
                    <w:t>5</w:t>
                  </w:r>
                </w:p>
              </w:tc>
              <w:tc>
                <w:tcPr>
                  <w:tcW w:w="1808" w:type="dxa"/>
                  <w:tcBorders>
                    <w:tl2br w:val="nil"/>
                    <w:tr2bl w:val="nil"/>
                  </w:tcBorders>
                  <w:vAlign w:val="center"/>
                </w:tcPr>
                <w:p w14:paraId="2BA4CBC3">
                  <w:pPr>
                    <w:pStyle w:val="10"/>
                    <w:spacing w:before="0" w:after="0" w:line="240" w:lineRule="auto"/>
                    <w:ind w:right="0"/>
                    <w:jc w:val="center"/>
                    <w:rPr>
                      <w:color w:val="auto"/>
                      <w:sz w:val="21"/>
                      <w:szCs w:val="21"/>
                    </w:rPr>
                  </w:pPr>
                  <w:r>
                    <w:rPr>
                      <w:rFonts w:hint="eastAsia"/>
                      <w:color w:val="auto"/>
                      <w:sz w:val="21"/>
                      <w:szCs w:val="21"/>
                    </w:rPr>
                    <w:t>废漆桶</w:t>
                  </w:r>
                </w:p>
              </w:tc>
              <w:tc>
                <w:tcPr>
                  <w:tcW w:w="1539" w:type="dxa"/>
                  <w:tcBorders>
                    <w:tl2br w:val="nil"/>
                    <w:tr2bl w:val="nil"/>
                  </w:tcBorders>
                  <w:vAlign w:val="center"/>
                </w:tcPr>
                <w:p w14:paraId="6C29CE14">
                  <w:pPr>
                    <w:pStyle w:val="10"/>
                    <w:spacing w:before="0" w:after="0" w:line="240" w:lineRule="auto"/>
                    <w:ind w:right="0"/>
                    <w:jc w:val="center"/>
                    <w:rPr>
                      <w:color w:val="auto"/>
                      <w:sz w:val="21"/>
                      <w:szCs w:val="21"/>
                    </w:rPr>
                  </w:pPr>
                  <w:r>
                    <w:rPr>
                      <w:rFonts w:hint="eastAsia"/>
                      <w:color w:val="auto"/>
                      <w:sz w:val="21"/>
                      <w:szCs w:val="21"/>
                    </w:rPr>
                    <w:t>1.5</w:t>
                  </w:r>
                </w:p>
              </w:tc>
              <w:tc>
                <w:tcPr>
                  <w:tcW w:w="3839" w:type="dxa"/>
                  <w:vMerge w:val="restart"/>
                  <w:tcBorders>
                    <w:tl2br w:val="nil"/>
                    <w:tr2bl w:val="nil"/>
                  </w:tcBorders>
                  <w:vAlign w:val="center"/>
                </w:tcPr>
                <w:p w14:paraId="1AD3D818">
                  <w:pPr>
                    <w:widowControl/>
                    <w:jc w:val="center"/>
                    <w:rPr>
                      <w:color w:val="auto"/>
                      <w:szCs w:val="21"/>
                    </w:rPr>
                  </w:pPr>
                  <w:r>
                    <w:rPr>
                      <w:rFonts w:hint="eastAsia" w:ascii="宋体" w:hAnsi="宋体" w:cs="宋体"/>
                      <w:color w:val="auto"/>
                      <w:kern w:val="0"/>
                      <w:szCs w:val="21"/>
                      <w:lang w:bidi="ar"/>
                    </w:rPr>
                    <w:t>委托有资质的单位处置</w:t>
                  </w:r>
                </w:p>
              </w:tc>
            </w:tr>
            <w:tr w14:paraId="423596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59" w:type="dxa"/>
                  <w:tcBorders>
                    <w:tl2br w:val="nil"/>
                    <w:tr2bl w:val="nil"/>
                  </w:tcBorders>
                  <w:vAlign w:val="center"/>
                </w:tcPr>
                <w:p w14:paraId="7AEEFA01">
                  <w:pPr>
                    <w:pStyle w:val="10"/>
                    <w:spacing w:before="0" w:after="0" w:line="240" w:lineRule="auto"/>
                    <w:ind w:right="0"/>
                    <w:jc w:val="center"/>
                    <w:rPr>
                      <w:color w:val="auto"/>
                      <w:sz w:val="21"/>
                      <w:szCs w:val="21"/>
                    </w:rPr>
                  </w:pPr>
                  <w:r>
                    <w:rPr>
                      <w:rFonts w:hint="eastAsia"/>
                      <w:color w:val="auto"/>
                      <w:sz w:val="21"/>
                      <w:szCs w:val="21"/>
                    </w:rPr>
                    <w:t>6</w:t>
                  </w:r>
                </w:p>
              </w:tc>
              <w:tc>
                <w:tcPr>
                  <w:tcW w:w="1808" w:type="dxa"/>
                  <w:tcBorders>
                    <w:tl2br w:val="nil"/>
                    <w:tr2bl w:val="nil"/>
                  </w:tcBorders>
                  <w:vAlign w:val="center"/>
                </w:tcPr>
                <w:p w14:paraId="3CF9F1D3">
                  <w:pPr>
                    <w:widowControl/>
                    <w:jc w:val="center"/>
                    <w:rPr>
                      <w:color w:val="auto"/>
                      <w:szCs w:val="21"/>
                    </w:rPr>
                  </w:pPr>
                  <w:r>
                    <w:rPr>
                      <w:rFonts w:hint="eastAsia"/>
                      <w:color w:val="auto"/>
                      <w:szCs w:val="21"/>
                    </w:rPr>
                    <w:t>废活性炭</w:t>
                  </w:r>
                </w:p>
              </w:tc>
              <w:tc>
                <w:tcPr>
                  <w:tcW w:w="1539" w:type="dxa"/>
                  <w:tcBorders>
                    <w:tl2br w:val="nil"/>
                    <w:tr2bl w:val="nil"/>
                  </w:tcBorders>
                  <w:vAlign w:val="center"/>
                </w:tcPr>
                <w:p w14:paraId="5BBEF00F">
                  <w:pPr>
                    <w:adjustRightInd w:val="0"/>
                    <w:snapToGrid w:val="0"/>
                    <w:jc w:val="center"/>
                    <w:rPr>
                      <w:color w:val="auto"/>
                      <w:szCs w:val="21"/>
                    </w:rPr>
                  </w:pPr>
                  <w:r>
                    <w:rPr>
                      <w:rFonts w:hint="eastAsia"/>
                      <w:color w:val="auto"/>
                      <w:szCs w:val="21"/>
                    </w:rPr>
                    <w:t>4t/2a</w:t>
                  </w:r>
                </w:p>
              </w:tc>
              <w:tc>
                <w:tcPr>
                  <w:tcW w:w="3839" w:type="dxa"/>
                  <w:vMerge w:val="continue"/>
                  <w:tcBorders>
                    <w:tl2br w:val="nil"/>
                    <w:tr2bl w:val="nil"/>
                  </w:tcBorders>
                  <w:vAlign w:val="center"/>
                </w:tcPr>
                <w:p w14:paraId="470C696F">
                  <w:pPr>
                    <w:pStyle w:val="10"/>
                    <w:spacing w:before="0" w:after="0" w:line="240" w:lineRule="auto"/>
                    <w:ind w:right="0"/>
                    <w:jc w:val="center"/>
                    <w:rPr>
                      <w:color w:val="auto"/>
                      <w:sz w:val="21"/>
                      <w:szCs w:val="21"/>
                    </w:rPr>
                  </w:pPr>
                </w:p>
              </w:tc>
            </w:tr>
            <w:tr w14:paraId="64CA52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59" w:type="dxa"/>
                  <w:tcBorders>
                    <w:tl2br w:val="nil"/>
                    <w:tr2bl w:val="nil"/>
                  </w:tcBorders>
                  <w:vAlign w:val="center"/>
                </w:tcPr>
                <w:p w14:paraId="1CCB2D13">
                  <w:pPr>
                    <w:pStyle w:val="10"/>
                    <w:spacing w:before="0" w:after="0" w:line="240" w:lineRule="auto"/>
                    <w:ind w:right="0"/>
                    <w:jc w:val="center"/>
                    <w:rPr>
                      <w:color w:val="auto"/>
                      <w:sz w:val="21"/>
                      <w:szCs w:val="21"/>
                    </w:rPr>
                  </w:pPr>
                  <w:r>
                    <w:rPr>
                      <w:rFonts w:hint="eastAsia"/>
                      <w:color w:val="auto"/>
                      <w:sz w:val="21"/>
                      <w:szCs w:val="21"/>
                    </w:rPr>
                    <w:t>7</w:t>
                  </w:r>
                </w:p>
              </w:tc>
              <w:tc>
                <w:tcPr>
                  <w:tcW w:w="1808" w:type="dxa"/>
                  <w:tcBorders>
                    <w:tl2br w:val="nil"/>
                    <w:tr2bl w:val="nil"/>
                  </w:tcBorders>
                  <w:vAlign w:val="center"/>
                </w:tcPr>
                <w:p w14:paraId="398CE108">
                  <w:pPr>
                    <w:pStyle w:val="10"/>
                    <w:spacing w:before="0" w:after="0" w:line="240" w:lineRule="auto"/>
                    <w:ind w:right="0"/>
                    <w:jc w:val="center"/>
                    <w:rPr>
                      <w:color w:val="auto"/>
                      <w:sz w:val="21"/>
                      <w:szCs w:val="21"/>
                    </w:rPr>
                  </w:pPr>
                  <w:r>
                    <w:rPr>
                      <w:rFonts w:hint="eastAsia"/>
                      <w:color w:val="auto"/>
                      <w:sz w:val="21"/>
                      <w:szCs w:val="21"/>
                    </w:rPr>
                    <w:t>废过滤棉</w:t>
                  </w:r>
                </w:p>
              </w:tc>
              <w:tc>
                <w:tcPr>
                  <w:tcW w:w="1539" w:type="dxa"/>
                  <w:tcBorders>
                    <w:tl2br w:val="nil"/>
                    <w:tr2bl w:val="nil"/>
                  </w:tcBorders>
                  <w:vAlign w:val="center"/>
                </w:tcPr>
                <w:p w14:paraId="6CA1D369">
                  <w:pPr>
                    <w:pStyle w:val="10"/>
                    <w:spacing w:before="0" w:after="0" w:line="240" w:lineRule="auto"/>
                    <w:ind w:right="0"/>
                    <w:jc w:val="center"/>
                    <w:rPr>
                      <w:color w:val="auto"/>
                      <w:sz w:val="21"/>
                      <w:szCs w:val="21"/>
                    </w:rPr>
                  </w:pPr>
                  <w:r>
                    <w:rPr>
                      <w:rFonts w:hint="eastAsia"/>
                      <w:color w:val="auto"/>
                      <w:sz w:val="21"/>
                      <w:szCs w:val="21"/>
                    </w:rPr>
                    <w:t>6.4</w:t>
                  </w:r>
                </w:p>
              </w:tc>
              <w:tc>
                <w:tcPr>
                  <w:tcW w:w="3839" w:type="dxa"/>
                  <w:vMerge w:val="continue"/>
                  <w:tcBorders>
                    <w:tl2br w:val="nil"/>
                    <w:tr2bl w:val="nil"/>
                  </w:tcBorders>
                  <w:vAlign w:val="center"/>
                </w:tcPr>
                <w:p w14:paraId="17384561">
                  <w:pPr>
                    <w:widowControl/>
                    <w:jc w:val="center"/>
                    <w:rPr>
                      <w:color w:val="auto"/>
                      <w:szCs w:val="21"/>
                    </w:rPr>
                  </w:pPr>
                </w:p>
              </w:tc>
            </w:tr>
            <w:tr w14:paraId="424411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59" w:type="dxa"/>
                  <w:tcBorders>
                    <w:tl2br w:val="nil"/>
                    <w:tr2bl w:val="nil"/>
                  </w:tcBorders>
                  <w:vAlign w:val="center"/>
                </w:tcPr>
                <w:p w14:paraId="40D7AE5C">
                  <w:pPr>
                    <w:pStyle w:val="10"/>
                    <w:spacing w:before="0" w:after="0" w:line="240" w:lineRule="auto"/>
                    <w:ind w:right="0"/>
                    <w:jc w:val="center"/>
                    <w:rPr>
                      <w:color w:val="auto"/>
                      <w:sz w:val="21"/>
                      <w:szCs w:val="21"/>
                    </w:rPr>
                  </w:pPr>
                  <w:r>
                    <w:rPr>
                      <w:rFonts w:hint="eastAsia"/>
                      <w:color w:val="auto"/>
                      <w:sz w:val="21"/>
                      <w:szCs w:val="21"/>
                    </w:rPr>
                    <w:t>8</w:t>
                  </w:r>
                </w:p>
              </w:tc>
              <w:tc>
                <w:tcPr>
                  <w:tcW w:w="1808" w:type="dxa"/>
                  <w:tcBorders>
                    <w:tl2br w:val="nil"/>
                    <w:tr2bl w:val="nil"/>
                  </w:tcBorders>
                  <w:vAlign w:val="center"/>
                </w:tcPr>
                <w:p w14:paraId="2D48CD20">
                  <w:pPr>
                    <w:pStyle w:val="10"/>
                    <w:spacing w:before="0" w:after="0" w:line="240" w:lineRule="auto"/>
                    <w:ind w:right="0"/>
                    <w:jc w:val="center"/>
                    <w:rPr>
                      <w:color w:val="auto"/>
                      <w:sz w:val="21"/>
                      <w:szCs w:val="21"/>
                    </w:rPr>
                  </w:pPr>
                  <w:r>
                    <w:rPr>
                      <w:rFonts w:hint="eastAsia"/>
                      <w:color w:val="auto"/>
                      <w:sz w:val="21"/>
                      <w:szCs w:val="21"/>
                    </w:rPr>
                    <w:t>废催化剂</w:t>
                  </w:r>
                </w:p>
              </w:tc>
              <w:tc>
                <w:tcPr>
                  <w:tcW w:w="1539" w:type="dxa"/>
                  <w:tcBorders>
                    <w:tl2br w:val="nil"/>
                    <w:tr2bl w:val="nil"/>
                  </w:tcBorders>
                  <w:vAlign w:val="center"/>
                </w:tcPr>
                <w:p w14:paraId="5CF205F6">
                  <w:pPr>
                    <w:adjustRightInd w:val="0"/>
                    <w:snapToGrid w:val="0"/>
                    <w:jc w:val="center"/>
                    <w:rPr>
                      <w:color w:val="auto"/>
                      <w:szCs w:val="21"/>
                    </w:rPr>
                  </w:pPr>
                  <w:r>
                    <w:rPr>
                      <w:rFonts w:hint="eastAsia"/>
                      <w:color w:val="auto"/>
                      <w:szCs w:val="21"/>
                    </w:rPr>
                    <w:t>0.001t/5a</w:t>
                  </w:r>
                </w:p>
              </w:tc>
              <w:tc>
                <w:tcPr>
                  <w:tcW w:w="3839" w:type="dxa"/>
                  <w:vMerge w:val="continue"/>
                  <w:tcBorders>
                    <w:tl2br w:val="nil"/>
                    <w:tr2bl w:val="nil"/>
                  </w:tcBorders>
                  <w:vAlign w:val="center"/>
                </w:tcPr>
                <w:p w14:paraId="4BDB9731">
                  <w:pPr>
                    <w:pStyle w:val="10"/>
                    <w:spacing w:before="0" w:after="0" w:line="240" w:lineRule="auto"/>
                    <w:ind w:right="0"/>
                    <w:jc w:val="center"/>
                    <w:rPr>
                      <w:color w:val="auto"/>
                      <w:sz w:val="21"/>
                      <w:szCs w:val="21"/>
                    </w:rPr>
                  </w:pPr>
                </w:p>
              </w:tc>
            </w:tr>
            <w:tr w14:paraId="1AAD84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59" w:type="dxa"/>
                  <w:tcBorders>
                    <w:tl2br w:val="nil"/>
                    <w:tr2bl w:val="nil"/>
                  </w:tcBorders>
                  <w:vAlign w:val="center"/>
                </w:tcPr>
                <w:p w14:paraId="484F599F">
                  <w:pPr>
                    <w:pStyle w:val="10"/>
                    <w:spacing w:before="0" w:after="0" w:line="240" w:lineRule="auto"/>
                    <w:ind w:right="0"/>
                    <w:jc w:val="center"/>
                    <w:rPr>
                      <w:color w:val="auto"/>
                      <w:sz w:val="21"/>
                      <w:szCs w:val="21"/>
                    </w:rPr>
                  </w:pPr>
                  <w:r>
                    <w:rPr>
                      <w:rFonts w:hint="eastAsia"/>
                      <w:color w:val="auto"/>
                      <w:sz w:val="21"/>
                      <w:szCs w:val="21"/>
                    </w:rPr>
                    <w:t>9</w:t>
                  </w:r>
                </w:p>
              </w:tc>
              <w:tc>
                <w:tcPr>
                  <w:tcW w:w="1808" w:type="dxa"/>
                  <w:tcBorders>
                    <w:tl2br w:val="nil"/>
                    <w:tr2bl w:val="nil"/>
                  </w:tcBorders>
                  <w:vAlign w:val="center"/>
                </w:tcPr>
                <w:p w14:paraId="272DF531">
                  <w:pPr>
                    <w:pStyle w:val="10"/>
                    <w:spacing w:before="0" w:after="0" w:line="240" w:lineRule="auto"/>
                    <w:ind w:right="0"/>
                    <w:jc w:val="center"/>
                    <w:rPr>
                      <w:color w:val="auto"/>
                      <w:sz w:val="21"/>
                      <w:szCs w:val="21"/>
                    </w:rPr>
                  </w:pPr>
                  <w:r>
                    <w:rPr>
                      <w:rFonts w:hint="eastAsia"/>
                      <w:color w:val="auto"/>
                      <w:sz w:val="21"/>
                      <w:szCs w:val="21"/>
                    </w:rPr>
                    <w:t>生活垃圾</w:t>
                  </w:r>
                </w:p>
              </w:tc>
              <w:tc>
                <w:tcPr>
                  <w:tcW w:w="1539" w:type="dxa"/>
                  <w:tcBorders>
                    <w:tl2br w:val="nil"/>
                    <w:tr2bl w:val="nil"/>
                  </w:tcBorders>
                  <w:vAlign w:val="center"/>
                </w:tcPr>
                <w:p w14:paraId="292416C5">
                  <w:pPr>
                    <w:pStyle w:val="10"/>
                    <w:spacing w:before="0" w:after="0" w:line="240" w:lineRule="auto"/>
                    <w:ind w:right="0"/>
                    <w:jc w:val="center"/>
                    <w:rPr>
                      <w:color w:val="auto"/>
                      <w:sz w:val="21"/>
                      <w:szCs w:val="21"/>
                    </w:rPr>
                  </w:pPr>
                  <w:r>
                    <w:rPr>
                      <w:rFonts w:hint="eastAsia"/>
                      <w:color w:val="auto"/>
                      <w:sz w:val="21"/>
                      <w:szCs w:val="21"/>
                    </w:rPr>
                    <w:t>197.34</w:t>
                  </w:r>
                </w:p>
              </w:tc>
              <w:tc>
                <w:tcPr>
                  <w:tcW w:w="3839" w:type="dxa"/>
                  <w:tcBorders>
                    <w:tl2br w:val="nil"/>
                    <w:tr2bl w:val="nil"/>
                  </w:tcBorders>
                  <w:vAlign w:val="center"/>
                </w:tcPr>
                <w:p w14:paraId="688A3F5B">
                  <w:pPr>
                    <w:widowControl/>
                    <w:jc w:val="center"/>
                    <w:rPr>
                      <w:color w:val="auto"/>
                      <w:szCs w:val="21"/>
                    </w:rPr>
                  </w:pPr>
                  <w:r>
                    <w:rPr>
                      <w:rFonts w:hint="eastAsia" w:ascii="宋体" w:hAnsi="宋体" w:cs="宋体"/>
                      <w:color w:val="auto"/>
                      <w:kern w:val="0"/>
                      <w:szCs w:val="21"/>
                      <w:lang w:bidi="ar"/>
                    </w:rPr>
                    <w:t>环卫部门统一清运</w:t>
                  </w:r>
                </w:p>
              </w:tc>
            </w:tr>
          </w:tbl>
          <w:p w14:paraId="0DB9CD61">
            <w:pPr>
              <w:keepNext w:val="0"/>
              <w:keepLines w:val="0"/>
              <w:pageBreakBefore w:val="0"/>
              <w:widowControl w:val="0"/>
              <w:numPr>
                <w:ilvl w:val="0"/>
                <w:numId w:val="5"/>
              </w:numPr>
              <w:kinsoku/>
              <w:wordWrap/>
              <w:overflowPunct/>
              <w:topLinePunct w:val="0"/>
              <w:autoSpaceDE/>
              <w:autoSpaceDN/>
              <w:bidi w:val="0"/>
              <w:adjustRightInd w:val="0"/>
              <w:snapToGrid/>
              <w:spacing w:before="157" w:beforeLines="50" w:line="360" w:lineRule="auto"/>
              <w:ind w:firstLine="422" w:firstLineChars="200"/>
              <w:textAlignment w:val="auto"/>
              <w:rPr>
                <w:b/>
                <w:bCs/>
                <w:color w:val="auto"/>
                <w:szCs w:val="21"/>
              </w:rPr>
            </w:pPr>
            <w:r>
              <w:rPr>
                <w:rFonts w:hint="eastAsia"/>
                <w:b/>
                <w:bCs/>
                <w:color w:val="auto"/>
                <w:szCs w:val="21"/>
              </w:rPr>
              <w:t>环境风险回顾</w:t>
            </w:r>
          </w:p>
          <w:p w14:paraId="2C08AD53">
            <w:pPr>
              <w:pStyle w:val="10"/>
              <w:adjustRightInd w:val="0"/>
              <w:spacing w:before="0" w:after="0" w:line="360" w:lineRule="auto"/>
              <w:ind w:right="0" w:firstLine="420" w:firstLineChars="200"/>
              <w:rPr>
                <w:color w:val="auto"/>
                <w:sz w:val="21"/>
                <w:szCs w:val="21"/>
              </w:rPr>
            </w:pPr>
            <w:r>
              <w:rPr>
                <w:rFonts w:hint="eastAsia"/>
                <w:color w:val="auto"/>
                <w:sz w:val="21"/>
                <w:szCs w:val="21"/>
              </w:rPr>
              <w:t>（一）企业已采取的环境风险防范措施</w:t>
            </w:r>
          </w:p>
          <w:p w14:paraId="63EE0DA3">
            <w:pPr>
              <w:pStyle w:val="10"/>
              <w:adjustRightInd w:val="0"/>
              <w:spacing w:before="0" w:after="0" w:line="360" w:lineRule="auto"/>
              <w:ind w:right="0" w:firstLine="420" w:firstLineChars="200"/>
              <w:rPr>
                <w:color w:val="auto"/>
                <w:sz w:val="21"/>
                <w:szCs w:val="21"/>
              </w:rPr>
            </w:pPr>
            <w:r>
              <w:rPr>
                <w:rFonts w:hint="eastAsia"/>
                <w:color w:val="auto"/>
                <w:sz w:val="21"/>
                <w:szCs w:val="21"/>
              </w:rPr>
              <w:t>（1）废气非正常排放事故风险防范落实措施</w:t>
            </w:r>
          </w:p>
          <w:p w14:paraId="3E8E00CE">
            <w:pPr>
              <w:pStyle w:val="10"/>
              <w:adjustRightInd w:val="0"/>
              <w:spacing w:before="0" w:after="0" w:line="360" w:lineRule="auto"/>
              <w:ind w:right="0" w:firstLine="420" w:firstLineChars="200"/>
              <w:rPr>
                <w:color w:val="auto"/>
                <w:sz w:val="21"/>
                <w:szCs w:val="21"/>
              </w:rPr>
            </w:pPr>
            <w:r>
              <w:rPr>
                <w:color w:val="auto"/>
                <w:sz w:val="21"/>
                <w:szCs w:val="21"/>
              </w:rPr>
              <w:t>①</w:t>
            </w:r>
            <w:r>
              <w:rPr>
                <w:rFonts w:hint="eastAsia"/>
                <w:color w:val="auto"/>
                <w:sz w:val="21"/>
                <w:szCs w:val="21"/>
              </w:rPr>
              <w:t>企业已</w:t>
            </w:r>
            <w:r>
              <w:rPr>
                <w:color w:val="auto"/>
                <w:sz w:val="21"/>
                <w:szCs w:val="21"/>
              </w:rPr>
              <w:t>委派专人负责环保设备的日常维护，对环保设备进行检查，及时维护保养；</w:t>
            </w:r>
          </w:p>
          <w:p w14:paraId="68C1A976">
            <w:pPr>
              <w:pStyle w:val="10"/>
              <w:adjustRightInd w:val="0"/>
              <w:spacing w:before="0" w:after="0" w:line="360" w:lineRule="auto"/>
              <w:ind w:right="0" w:firstLine="420" w:firstLineChars="200"/>
              <w:rPr>
                <w:color w:val="auto"/>
                <w:sz w:val="21"/>
                <w:szCs w:val="21"/>
              </w:rPr>
            </w:pPr>
            <w:r>
              <w:rPr>
                <w:color w:val="auto"/>
                <w:sz w:val="21"/>
                <w:szCs w:val="21"/>
              </w:rPr>
              <w:t>②</w:t>
            </w:r>
            <w:r>
              <w:rPr>
                <w:rFonts w:hint="eastAsia"/>
                <w:color w:val="auto"/>
                <w:sz w:val="21"/>
                <w:szCs w:val="21"/>
              </w:rPr>
              <w:t>有专人负责</w:t>
            </w:r>
            <w:r>
              <w:rPr>
                <w:color w:val="auto"/>
                <w:sz w:val="21"/>
                <w:szCs w:val="21"/>
              </w:rPr>
              <w:t>记录记录废气处理设施的运行、检修台账，确保环保设备的正常运行</w:t>
            </w:r>
            <w:r>
              <w:rPr>
                <w:rFonts w:hint="eastAsia"/>
                <w:color w:val="auto"/>
                <w:sz w:val="21"/>
                <w:szCs w:val="21"/>
              </w:rPr>
              <w:t>。</w:t>
            </w:r>
          </w:p>
          <w:p w14:paraId="688F10C5">
            <w:pPr>
              <w:pStyle w:val="10"/>
              <w:adjustRightInd w:val="0"/>
              <w:spacing w:before="0" w:after="0" w:line="360" w:lineRule="auto"/>
              <w:ind w:right="0" w:firstLine="420" w:firstLineChars="200"/>
              <w:rPr>
                <w:color w:val="auto"/>
                <w:sz w:val="21"/>
                <w:szCs w:val="21"/>
              </w:rPr>
            </w:pPr>
            <w:r>
              <w:rPr>
                <w:rFonts w:hint="eastAsia"/>
                <w:color w:val="auto"/>
                <w:sz w:val="21"/>
                <w:szCs w:val="21"/>
              </w:rPr>
              <w:t>（2）废水污染事故风险防范落实措施</w:t>
            </w:r>
          </w:p>
          <w:p w14:paraId="53834DE6">
            <w:pPr>
              <w:spacing w:line="360" w:lineRule="auto"/>
              <w:ind w:firstLine="420" w:firstLineChars="200"/>
              <w:rPr>
                <w:color w:val="auto"/>
                <w:szCs w:val="21"/>
              </w:rPr>
            </w:pPr>
            <w:r>
              <w:rPr>
                <w:color w:val="auto"/>
                <w:szCs w:val="21"/>
              </w:rPr>
              <w:t>①</w:t>
            </w:r>
            <w:r>
              <w:rPr>
                <w:rFonts w:hint="eastAsia"/>
                <w:color w:val="auto"/>
                <w:szCs w:val="21"/>
              </w:rPr>
              <w:t>企业已安排专职人员</w:t>
            </w:r>
            <w:r>
              <w:rPr>
                <w:color w:val="auto"/>
                <w:szCs w:val="21"/>
              </w:rPr>
              <w:t>定期对水泵等设备进行检查，以保证设备的正常运行；</w:t>
            </w:r>
          </w:p>
          <w:p w14:paraId="6F5065D1">
            <w:pPr>
              <w:spacing w:line="360" w:lineRule="auto"/>
              <w:ind w:firstLine="420" w:firstLineChars="200"/>
              <w:rPr>
                <w:color w:val="auto"/>
                <w:szCs w:val="21"/>
              </w:rPr>
            </w:pPr>
            <w:r>
              <w:rPr>
                <w:color w:val="auto"/>
                <w:szCs w:val="21"/>
              </w:rPr>
              <w:t>②化验人员每天定时抽取进水口、各池体出水口的水样，及时发现污染事故，及时启动事故排水，并对原因进行排查。</w:t>
            </w:r>
          </w:p>
          <w:p w14:paraId="7A5EE707">
            <w:pPr>
              <w:spacing w:line="360" w:lineRule="auto"/>
              <w:ind w:firstLine="420" w:firstLineChars="200"/>
              <w:rPr>
                <w:color w:val="auto"/>
                <w:szCs w:val="21"/>
              </w:rPr>
            </w:pPr>
            <w:r>
              <w:rPr>
                <w:color w:val="auto"/>
                <w:szCs w:val="21"/>
              </w:rPr>
              <w:t>③</w:t>
            </w:r>
            <w:r>
              <w:rPr>
                <w:rFonts w:hint="eastAsia"/>
                <w:color w:val="auto"/>
                <w:szCs w:val="21"/>
              </w:rPr>
              <w:t>企业厂区共</w:t>
            </w:r>
            <w:r>
              <w:rPr>
                <w:color w:val="auto"/>
                <w:szCs w:val="21"/>
              </w:rPr>
              <w:t>设有</w:t>
            </w:r>
            <w:r>
              <w:rPr>
                <w:rFonts w:hint="eastAsia"/>
                <w:color w:val="auto"/>
                <w:szCs w:val="21"/>
              </w:rPr>
              <w:t>1</w:t>
            </w:r>
            <w:r>
              <w:rPr>
                <w:color w:val="auto"/>
                <w:szCs w:val="21"/>
              </w:rPr>
              <w:t>座</w:t>
            </w:r>
            <w:r>
              <w:rPr>
                <w:rFonts w:hint="eastAsia"/>
                <w:color w:val="auto"/>
                <w:szCs w:val="21"/>
              </w:rPr>
              <w:t>容积为50</w:t>
            </w:r>
            <w:r>
              <w:rPr>
                <w:color w:val="auto"/>
                <w:szCs w:val="21"/>
              </w:rPr>
              <w:t>m</w:t>
            </w:r>
            <w:r>
              <w:rPr>
                <w:color w:val="auto"/>
                <w:szCs w:val="21"/>
                <w:vertAlign w:val="superscript"/>
              </w:rPr>
              <w:t>3</w:t>
            </w:r>
            <w:r>
              <w:rPr>
                <w:color w:val="auto"/>
                <w:szCs w:val="21"/>
              </w:rPr>
              <w:t>的应急事故池，</w:t>
            </w:r>
            <w:r>
              <w:rPr>
                <w:rFonts w:hint="eastAsia"/>
                <w:color w:val="auto"/>
                <w:szCs w:val="21"/>
              </w:rPr>
              <w:t>1</w:t>
            </w:r>
            <w:r>
              <w:rPr>
                <w:color w:val="auto"/>
                <w:szCs w:val="21"/>
              </w:rPr>
              <w:t>座</w:t>
            </w:r>
            <w:r>
              <w:rPr>
                <w:rFonts w:hint="eastAsia"/>
                <w:color w:val="auto"/>
                <w:szCs w:val="21"/>
              </w:rPr>
              <w:t>容积为180</w:t>
            </w:r>
            <w:r>
              <w:rPr>
                <w:color w:val="auto"/>
                <w:szCs w:val="21"/>
              </w:rPr>
              <w:t>m</w:t>
            </w:r>
            <w:r>
              <w:rPr>
                <w:color w:val="auto"/>
                <w:szCs w:val="21"/>
                <w:vertAlign w:val="superscript"/>
              </w:rPr>
              <w:t>3</w:t>
            </w:r>
            <w:r>
              <w:rPr>
                <w:color w:val="auto"/>
                <w:szCs w:val="21"/>
              </w:rPr>
              <w:t>的</w:t>
            </w:r>
            <w:r>
              <w:rPr>
                <w:rFonts w:hint="eastAsia"/>
                <w:color w:val="auto"/>
                <w:szCs w:val="21"/>
              </w:rPr>
              <w:t>消防水</w:t>
            </w:r>
            <w:r>
              <w:rPr>
                <w:color w:val="auto"/>
                <w:szCs w:val="21"/>
              </w:rPr>
              <w:t>池</w:t>
            </w:r>
            <w:r>
              <w:rPr>
                <w:rFonts w:hint="eastAsia"/>
                <w:color w:val="auto"/>
                <w:szCs w:val="21"/>
              </w:rPr>
              <w:t>。</w:t>
            </w:r>
            <w:r>
              <w:rPr>
                <w:color w:val="auto"/>
                <w:szCs w:val="21"/>
              </w:rPr>
              <w:t>发生事故可</w:t>
            </w:r>
            <w:r>
              <w:rPr>
                <w:rFonts w:hint="eastAsia"/>
                <w:color w:val="auto"/>
                <w:szCs w:val="21"/>
              </w:rPr>
              <w:t>立即停止产生废水的相关工序，打开</w:t>
            </w:r>
            <w:r>
              <w:rPr>
                <w:color w:val="auto"/>
                <w:szCs w:val="21"/>
              </w:rPr>
              <w:t>应急事故池阀门，污水收集至应急事故池，事故后</w:t>
            </w:r>
            <w:r>
              <w:rPr>
                <w:rFonts w:hint="eastAsia"/>
                <w:color w:val="auto"/>
                <w:szCs w:val="21"/>
              </w:rPr>
              <w:t>待故障排除后将事故废水和消防废水处理达标排放</w:t>
            </w:r>
            <w:r>
              <w:rPr>
                <w:color w:val="auto"/>
                <w:szCs w:val="21"/>
              </w:rPr>
              <w:t>减少对周围水体影响。</w:t>
            </w:r>
          </w:p>
          <w:p w14:paraId="25D1EB29">
            <w:pPr>
              <w:spacing w:line="360" w:lineRule="auto"/>
              <w:ind w:left="420" w:leftChars="200"/>
              <w:rPr>
                <w:color w:val="auto"/>
                <w:szCs w:val="21"/>
              </w:rPr>
            </w:pPr>
            <w:r>
              <w:rPr>
                <w:rFonts w:hint="eastAsia"/>
                <w:color w:val="auto"/>
                <w:szCs w:val="21"/>
              </w:rPr>
              <w:t>（3）危废暂存库风险防范措施</w:t>
            </w:r>
          </w:p>
          <w:p w14:paraId="013741DD">
            <w:pPr>
              <w:spacing w:line="360" w:lineRule="auto"/>
              <w:ind w:left="420" w:leftChars="200"/>
              <w:rPr>
                <w:color w:val="auto"/>
                <w:szCs w:val="21"/>
              </w:rPr>
            </w:pPr>
            <w:r>
              <w:rPr>
                <w:color w:val="auto"/>
                <w:szCs w:val="21"/>
              </w:rPr>
              <w:t>①</w:t>
            </w:r>
            <w:r>
              <w:rPr>
                <w:rFonts w:hint="eastAsia"/>
                <w:color w:val="auto"/>
                <w:szCs w:val="21"/>
              </w:rPr>
              <w:t>不同种类性质的固体废物分区贮存，并设置固废识别标志。</w:t>
            </w:r>
          </w:p>
          <w:p w14:paraId="3FE67714">
            <w:pPr>
              <w:spacing w:line="360" w:lineRule="auto"/>
              <w:ind w:left="420" w:leftChars="200"/>
              <w:rPr>
                <w:color w:val="auto"/>
                <w:szCs w:val="21"/>
              </w:rPr>
            </w:pPr>
            <w:r>
              <w:rPr>
                <w:color w:val="auto"/>
                <w:szCs w:val="21"/>
              </w:rPr>
              <w:t>②</w:t>
            </w:r>
            <w:r>
              <w:rPr>
                <w:rFonts w:hint="eastAsia"/>
                <w:color w:val="auto"/>
                <w:szCs w:val="21"/>
              </w:rPr>
              <w:t>危废暂存库配备灭火器及其他应急物资，有效预防突发环境污染事故。</w:t>
            </w:r>
          </w:p>
          <w:p w14:paraId="07731229">
            <w:pPr>
              <w:pStyle w:val="100"/>
              <w:snapToGrid/>
              <w:spacing w:line="360" w:lineRule="auto"/>
              <w:ind w:left="0" w:firstLine="420" w:firstLineChars="200"/>
              <w:jc w:val="both"/>
              <w:rPr>
                <w:rFonts w:hint="eastAsia"/>
                <w:color w:val="auto"/>
                <w:sz w:val="21"/>
                <w:szCs w:val="21"/>
              </w:rPr>
            </w:pPr>
            <w:r>
              <w:rPr>
                <w:rFonts w:hint="eastAsia"/>
                <w:color w:val="auto"/>
                <w:sz w:val="21"/>
                <w:szCs w:val="21"/>
              </w:rPr>
              <w:t>③安装在线摄像头，实时预防危废库突发情况。</w:t>
            </w:r>
          </w:p>
          <w:p w14:paraId="648C704E">
            <w:pPr>
              <w:spacing w:line="360" w:lineRule="auto"/>
              <w:ind w:firstLine="420" w:firstLineChars="200"/>
              <w:rPr>
                <w:color w:val="auto"/>
                <w:szCs w:val="21"/>
              </w:rPr>
            </w:pPr>
            <w:r>
              <w:rPr>
                <w:rFonts w:hint="eastAsia"/>
                <w:color w:val="auto"/>
                <w:szCs w:val="21"/>
              </w:rPr>
              <w:t>（4）火灾事故风险防范措施</w:t>
            </w:r>
          </w:p>
          <w:p w14:paraId="7ABD5020">
            <w:pPr>
              <w:pStyle w:val="10"/>
              <w:spacing w:before="0" w:after="0" w:line="360" w:lineRule="auto"/>
              <w:ind w:right="0" w:firstLine="420" w:firstLineChars="200"/>
              <w:rPr>
                <w:color w:val="auto"/>
                <w:sz w:val="21"/>
                <w:szCs w:val="21"/>
              </w:rPr>
            </w:pPr>
            <w:r>
              <w:rPr>
                <w:rFonts w:hint="eastAsia"/>
                <w:color w:val="auto"/>
                <w:sz w:val="21"/>
                <w:szCs w:val="21"/>
              </w:rPr>
              <w:t>①对有火灾危险的场所设置消防报警装置，一旦发生火灾，立即做出应急反应。</w:t>
            </w:r>
          </w:p>
          <w:p w14:paraId="4BB7DC20">
            <w:pPr>
              <w:pStyle w:val="10"/>
              <w:spacing w:before="0" w:after="0" w:line="360" w:lineRule="auto"/>
              <w:ind w:right="0" w:firstLine="420" w:firstLineChars="200"/>
              <w:rPr>
                <w:color w:val="auto"/>
                <w:sz w:val="21"/>
                <w:szCs w:val="21"/>
              </w:rPr>
            </w:pPr>
            <w:r>
              <w:rPr>
                <w:rFonts w:hint="eastAsia"/>
                <w:color w:val="auto"/>
                <w:sz w:val="21"/>
                <w:szCs w:val="21"/>
              </w:rPr>
              <w:t>②生产车间、仓库、固废堆场配备足够的相适用的各类灭火器材，并定点存放，经常检查，及时充装。</w:t>
            </w:r>
          </w:p>
          <w:p w14:paraId="6784A53E">
            <w:pPr>
              <w:pStyle w:val="10"/>
              <w:spacing w:before="0" w:after="0" w:line="360" w:lineRule="auto"/>
              <w:ind w:right="0" w:firstLine="420" w:firstLineChars="200"/>
              <w:rPr>
                <w:color w:val="auto"/>
                <w:sz w:val="21"/>
                <w:szCs w:val="21"/>
              </w:rPr>
            </w:pPr>
            <w:r>
              <w:rPr>
                <w:rFonts w:hint="eastAsia"/>
                <w:color w:val="auto"/>
                <w:sz w:val="21"/>
                <w:szCs w:val="21"/>
              </w:rPr>
              <w:t>③公司留有足够的消防通道。车间配备一定数量的灭火器等消防器材。</w:t>
            </w:r>
          </w:p>
          <w:p w14:paraId="66C431C2">
            <w:pPr>
              <w:pStyle w:val="10"/>
              <w:spacing w:before="0" w:after="0" w:line="360" w:lineRule="auto"/>
              <w:ind w:right="0" w:firstLine="420" w:firstLineChars="200"/>
              <w:rPr>
                <w:color w:val="auto"/>
                <w:sz w:val="21"/>
                <w:szCs w:val="21"/>
              </w:rPr>
            </w:pPr>
            <w:r>
              <w:rPr>
                <w:rFonts w:hint="eastAsia"/>
                <w:color w:val="auto"/>
                <w:sz w:val="21"/>
                <w:szCs w:val="21"/>
              </w:rPr>
              <w:t>④公司建立了完善的消防设施，包括高压水消防系统、火灾报警系统等。</w:t>
            </w:r>
          </w:p>
          <w:p w14:paraId="0FB5D172">
            <w:pPr>
              <w:spacing w:line="360" w:lineRule="auto"/>
              <w:ind w:firstLine="420" w:firstLineChars="200"/>
              <w:rPr>
                <w:color w:val="auto"/>
                <w:szCs w:val="21"/>
              </w:rPr>
            </w:pPr>
            <w:r>
              <w:rPr>
                <w:rFonts w:hint="eastAsia"/>
                <w:color w:val="auto"/>
                <w:szCs w:val="21"/>
              </w:rPr>
              <w:t>（5）雨排水系统防控措施</w:t>
            </w:r>
          </w:p>
          <w:p w14:paraId="4D30C074">
            <w:pPr>
              <w:spacing w:line="360" w:lineRule="auto"/>
              <w:ind w:firstLine="420" w:firstLineChars="200"/>
              <w:rPr>
                <w:color w:val="auto"/>
                <w:szCs w:val="21"/>
              </w:rPr>
            </w:pPr>
            <w:r>
              <w:rPr>
                <w:rFonts w:hint="eastAsia" w:ascii="宋体" w:hAnsi="宋体" w:cs="宋体"/>
                <w:color w:val="auto"/>
                <w:szCs w:val="21"/>
              </w:rPr>
              <w:t>①</w:t>
            </w:r>
            <w:r>
              <w:rPr>
                <w:rFonts w:hint="eastAsia"/>
                <w:color w:val="auto"/>
                <w:szCs w:val="21"/>
              </w:rPr>
              <w:t>雨水排口切断闸门采用手动式，专人负责。在紧急情况下关闭总排口，防止雨水、消防水和泄漏物进入外环境。</w:t>
            </w:r>
          </w:p>
          <w:p w14:paraId="62540B43">
            <w:pPr>
              <w:spacing w:line="360" w:lineRule="auto"/>
              <w:ind w:firstLine="420" w:firstLineChars="200"/>
              <w:rPr>
                <w:color w:val="auto"/>
                <w:szCs w:val="21"/>
              </w:rPr>
            </w:pPr>
            <w:r>
              <w:rPr>
                <w:rFonts w:hint="eastAsia" w:ascii="宋体" w:hAnsi="宋体" w:cs="宋体"/>
                <w:color w:val="auto"/>
                <w:szCs w:val="21"/>
              </w:rPr>
              <w:t>②</w:t>
            </w:r>
            <w:r>
              <w:rPr>
                <w:rFonts w:hint="eastAsia"/>
                <w:color w:val="auto"/>
                <w:szCs w:val="21"/>
              </w:rPr>
              <w:t>全厂雨排水管道与生产污水管道、生活污水管道不发生串漏，设置单独管线与事故应急池连接，可以有效防止受污染的雨水直接进入外环境。</w:t>
            </w:r>
          </w:p>
          <w:p w14:paraId="4D410379">
            <w:pPr>
              <w:spacing w:line="360" w:lineRule="auto"/>
              <w:ind w:firstLine="420" w:firstLineChars="200"/>
              <w:rPr>
                <w:color w:val="auto"/>
                <w:szCs w:val="21"/>
              </w:rPr>
            </w:pPr>
            <w:r>
              <w:rPr>
                <w:rFonts w:hint="eastAsia" w:ascii="宋体" w:hAnsi="宋体" w:cs="宋体"/>
                <w:color w:val="auto"/>
                <w:szCs w:val="21"/>
              </w:rPr>
              <w:t>③</w:t>
            </w:r>
            <w:r>
              <w:rPr>
                <w:rFonts w:hint="eastAsia"/>
                <w:color w:val="auto"/>
                <w:szCs w:val="21"/>
              </w:rPr>
              <w:t>厂区实施雨污分流制，厂区有1个雨水排口和1个污水排口，雨水排口位于厂区北侧，接厂区北侧众兴东路雨水管网，雨水排入经济开发区雨水泵站，然后就近排入泵站附近水体，污水排口也位于厂区北侧，接经济开发区污水管网，废水排入城东污水处理厂二期处理。</w:t>
            </w:r>
          </w:p>
          <w:p w14:paraId="522F15A4">
            <w:pPr>
              <w:pStyle w:val="10"/>
              <w:adjustRightInd w:val="0"/>
              <w:spacing w:before="0" w:after="0" w:line="360" w:lineRule="auto"/>
              <w:ind w:right="0" w:firstLine="420" w:firstLineChars="200"/>
              <w:rPr>
                <w:color w:val="auto"/>
                <w:sz w:val="21"/>
                <w:szCs w:val="21"/>
              </w:rPr>
            </w:pPr>
            <w:r>
              <w:rPr>
                <w:rFonts w:hint="eastAsia"/>
                <w:color w:val="auto"/>
                <w:sz w:val="21"/>
                <w:szCs w:val="21"/>
              </w:rPr>
              <w:t>（二）企业环境风险防范制度执行情况</w:t>
            </w:r>
          </w:p>
          <w:p w14:paraId="735E28DD">
            <w:pPr>
              <w:spacing w:line="360" w:lineRule="auto"/>
              <w:ind w:firstLine="420" w:firstLineChars="200"/>
              <w:rPr>
                <w:color w:val="auto"/>
                <w:szCs w:val="21"/>
              </w:rPr>
            </w:pPr>
            <w:r>
              <w:rPr>
                <w:rFonts w:hint="eastAsia"/>
                <w:color w:val="auto"/>
                <w:szCs w:val="21"/>
              </w:rPr>
              <w:t>（1）应急预案编制</w:t>
            </w:r>
          </w:p>
          <w:p w14:paraId="7E52A2E3">
            <w:pPr>
              <w:pStyle w:val="10"/>
              <w:spacing w:before="0" w:after="0" w:line="360" w:lineRule="auto"/>
              <w:ind w:right="0" w:firstLine="420" w:firstLineChars="200"/>
              <w:rPr>
                <w:rFonts w:hint="eastAsia" w:ascii="宋体" w:hAnsi="宋体" w:cs="宋体"/>
                <w:color w:val="auto"/>
                <w:sz w:val="21"/>
                <w:szCs w:val="21"/>
              </w:rPr>
            </w:pPr>
            <w:r>
              <w:rPr>
                <w:rFonts w:hint="eastAsia"/>
                <w:color w:val="auto"/>
                <w:sz w:val="21"/>
                <w:szCs w:val="21"/>
              </w:rPr>
              <w:t>建设单位委托编制的《</w:t>
            </w:r>
            <w:r>
              <w:rPr>
                <w:rFonts w:hint="eastAsia"/>
                <w:color w:val="auto"/>
                <w:sz w:val="21"/>
                <w:szCs w:val="22"/>
              </w:rPr>
              <w:t>江苏晶瑞玻璃有限公司</w:t>
            </w:r>
            <w:r>
              <w:rPr>
                <w:rFonts w:hint="eastAsia"/>
                <w:color w:val="auto"/>
                <w:sz w:val="21"/>
                <w:szCs w:val="21"/>
              </w:rPr>
              <w:t>突发环境事件应急预案》于2021年6月27日签署发布，于2021年7月2日在宿迁市泗阳生态环境局备案，备案号：321323-2023-056-L，其中环境风险等级为较大</w:t>
            </w:r>
            <w:r>
              <w:rPr>
                <w:rFonts w:hint="eastAsia" w:ascii="宋体" w:hAnsi="宋体" w:cs="宋体"/>
                <w:color w:val="auto"/>
                <w:sz w:val="21"/>
                <w:szCs w:val="21"/>
              </w:rPr>
              <w:t>[较大-大气（</w:t>
            </w:r>
            <w:r>
              <w:rPr>
                <w:color w:val="auto"/>
                <w:sz w:val="21"/>
                <w:szCs w:val="21"/>
              </w:rPr>
              <w:t>Q</w:t>
            </w:r>
            <w:r>
              <w:rPr>
                <w:rFonts w:hint="eastAsia"/>
                <w:color w:val="auto"/>
                <w:sz w:val="21"/>
                <w:szCs w:val="21"/>
              </w:rPr>
              <w:t>1M3E2</w:t>
            </w:r>
            <w:r>
              <w:rPr>
                <w:rFonts w:hint="eastAsia" w:ascii="宋体" w:hAnsi="宋体" w:cs="宋体"/>
                <w:color w:val="auto"/>
                <w:sz w:val="21"/>
                <w:szCs w:val="21"/>
              </w:rPr>
              <w:t>）+一般-水（</w:t>
            </w:r>
            <w:r>
              <w:rPr>
                <w:color w:val="auto"/>
                <w:sz w:val="21"/>
                <w:szCs w:val="21"/>
              </w:rPr>
              <w:t>Q</w:t>
            </w:r>
            <w:r>
              <w:rPr>
                <w:rFonts w:hint="eastAsia"/>
                <w:color w:val="auto"/>
                <w:sz w:val="21"/>
                <w:szCs w:val="21"/>
              </w:rPr>
              <w:t>1M2E3</w:t>
            </w:r>
            <w:r>
              <w:rPr>
                <w:rFonts w:hint="eastAsia" w:ascii="宋体" w:hAnsi="宋体" w:cs="宋体"/>
                <w:color w:val="auto"/>
                <w:sz w:val="21"/>
                <w:szCs w:val="21"/>
              </w:rPr>
              <w:t>）]。</w:t>
            </w:r>
          </w:p>
          <w:p w14:paraId="433FE15D">
            <w:pPr>
              <w:pStyle w:val="10"/>
              <w:spacing w:before="0" w:after="0" w:line="360" w:lineRule="auto"/>
              <w:ind w:left="420" w:leftChars="200" w:right="0"/>
              <w:rPr>
                <w:color w:val="auto"/>
                <w:sz w:val="21"/>
                <w:szCs w:val="21"/>
              </w:rPr>
            </w:pPr>
            <w:r>
              <w:rPr>
                <w:rFonts w:hint="eastAsia"/>
                <w:color w:val="auto"/>
                <w:sz w:val="21"/>
                <w:szCs w:val="21"/>
              </w:rPr>
              <w:t>（2）隐患排查制度</w:t>
            </w:r>
          </w:p>
          <w:p w14:paraId="04B59337">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①企业已建立危化品管理档案，并定期进项专项检查。</w:t>
            </w:r>
          </w:p>
          <w:p w14:paraId="44DD6412">
            <w:pPr>
              <w:pStyle w:val="10"/>
              <w:spacing w:before="0" w:after="0" w:line="360" w:lineRule="auto"/>
              <w:ind w:right="0" w:firstLine="420" w:firstLineChars="200"/>
              <w:rPr>
                <w:color w:val="auto"/>
                <w:sz w:val="21"/>
                <w:szCs w:val="21"/>
              </w:rPr>
            </w:pPr>
            <w:r>
              <w:rPr>
                <w:rFonts w:hint="eastAsia" w:ascii="宋体" w:hAnsi="宋体" w:cs="宋体"/>
                <w:color w:val="auto"/>
                <w:sz w:val="21"/>
                <w:szCs w:val="21"/>
              </w:rPr>
              <w:t>②企业已采取多种形式对员工进行培训教育。</w:t>
            </w:r>
          </w:p>
          <w:p w14:paraId="7C54DE20">
            <w:pPr>
              <w:spacing w:line="360" w:lineRule="auto"/>
              <w:ind w:firstLine="420" w:firstLineChars="200"/>
              <w:rPr>
                <w:color w:val="auto"/>
                <w:szCs w:val="21"/>
              </w:rPr>
            </w:pPr>
            <w:r>
              <w:rPr>
                <w:rFonts w:hint="eastAsia"/>
                <w:color w:val="auto"/>
                <w:szCs w:val="21"/>
              </w:rPr>
              <w:t>（3）应急队伍建设</w:t>
            </w:r>
          </w:p>
          <w:p w14:paraId="79118341">
            <w:pPr>
              <w:pStyle w:val="10"/>
              <w:spacing w:before="0" w:after="0" w:line="360" w:lineRule="auto"/>
              <w:ind w:right="0" w:firstLine="420" w:firstLineChars="200"/>
              <w:rPr>
                <w:rFonts w:hint="eastAsia" w:ascii="宋体" w:hAnsi="宋体" w:cs="宋体"/>
                <w:color w:val="auto"/>
                <w:sz w:val="21"/>
                <w:szCs w:val="21"/>
              </w:rPr>
            </w:pPr>
            <w:r>
              <w:rPr>
                <w:rFonts w:hint="eastAsia" w:ascii="宋体" w:hAnsi="宋体" w:cs="宋体"/>
                <w:color w:val="auto"/>
                <w:sz w:val="21"/>
                <w:szCs w:val="21"/>
              </w:rPr>
              <w:t>为突出突发事件应急管理工作，公司成立了“应急救援小组”。公司应急救援小组织体系有综合协调组、应急抢险组、应急监测组、后勤保障组、善后处理组、环境保护组。</w:t>
            </w:r>
          </w:p>
          <w:p w14:paraId="7F3EED50">
            <w:pPr>
              <w:pStyle w:val="10"/>
              <w:spacing w:before="0" w:after="0" w:line="360" w:lineRule="auto"/>
              <w:ind w:right="0" w:firstLine="420" w:firstLineChars="200"/>
              <w:rPr>
                <w:rFonts w:hint="eastAsia" w:ascii="宋体" w:hAnsi="宋体" w:cs="宋体"/>
                <w:color w:val="auto"/>
                <w:sz w:val="21"/>
                <w:szCs w:val="21"/>
              </w:rPr>
            </w:pPr>
            <w:r>
              <w:rPr>
                <w:rFonts w:hint="eastAsia" w:ascii="宋体" w:hAnsi="宋体" w:cs="宋体"/>
                <w:color w:val="auto"/>
                <w:sz w:val="21"/>
                <w:szCs w:val="21"/>
              </w:rPr>
              <w:t>公司应急指挥部由总指挥、副总指挥组成，</w:t>
            </w:r>
            <w:r>
              <w:rPr>
                <w:rFonts w:hint="eastAsia" w:ascii="Calibri" w:hAnsi="Calibri"/>
                <w:color w:val="auto"/>
                <w:sz w:val="21"/>
                <w:szCs w:val="21"/>
              </w:rPr>
              <w:t>姚学君</w:t>
            </w:r>
            <w:r>
              <w:rPr>
                <w:rFonts w:hint="eastAsia" w:ascii="宋体" w:hAnsi="宋体" w:cs="宋体"/>
                <w:color w:val="auto"/>
                <w:sz w:val="21"/>
                <w:szCs w:val="21"/>
              </w:rPr>
              <w:t>担任总指挥，</w:t>
            </w:r>
            <w:r>
              <w:rPr>
                <w:rFonts w:hint="eastAsia" w:ascii="Calibri" w:hAnsi="Calibri"/>
                <w:color w:val="auto"/>
                <w:sz w:val="21"/>
                <w:szCs w:val="21"/>
              </w:rPr>
              <w:t>刘善东</w:t>
            </w:r>
            <w:r>
              <w:rPr>
                <w:rFonts w:hint="eastAsia" w:ascii="宋体" w:hAnsi="宋体" w:cs="宋体"/>
                <w:color w:val="auto"/>
                <w:sz w:val="21"/>
                <w:szCs w:val="21"/>
              </w:rPr>
              <w:t>担任副总指挥。综合协调组由刘善东担任组长，其主要责任是</w:t>
            </w:r>
            <w:r>
              <w:rPr>
                <w:color w:val="auto"/>
                <w:sz w:val="21"/>
                <w:szCs w:val="21"/>
              </w:rPr>
              <w:t>负责事故现象现场调查、分析认定，明确事故性质和危害程度，提出建议，并及时向指挥部上报情况和原因；负责相应措施的技术储备；当其他小组需要帮助时听从指挥部安排，立即协助该组应急救援工作</w:t>
            </w:r>
            <w:r>
              <w:rPr>
                <w:rFonts w:hint="eastAsia" w:ascii="宋体" w:hAnsi="宋体" w:cs="宋体"/>
                <w:color w:val="auto"/>
                <w:sz w:val="21"/>
                <w:szCs w:val="21"/>
              </w:rPr>
              <w:t>。</w:t>
            </w:r>
          </w:p>
          <w:p w14:paraId="2C22FF6A">
            <w:pPr>
              <w:pStyle w:val="10"/>
              <w:spacing w:before="0" w:after="0" w:line="360" w:lineRule="auto"/>
              <w:ind w:right="0" w:firstLine="420" w:firstLineChars="200"/>
              <w:rPr>
                <w:rFonts w:hint="eastAsia" w:ascii="宋体" w:hAnsi="宋体" w:cs="宋体"/>
                <w:color w:val="auto"/>
                <w:sz w:val="21"/>
                <w:szCs w:val="21"/>
              </w:rPr>
            </w:pPr>
            <w:r>
              <w:rPr>
                <w:rFonts w:hint="eastAsia" w:ascii="宋体" w:hAnsi="宋体" w:cs="宋体"/>
                <w:color w:val="auto"/>
                <w:sz w:val="21"/>
                <w:szCs w:val="21"/>
              </w:rPr>
              <w:t>应急抢险组由梁春伟担任组长，其主要责任是根据领导小组指令，及时负责扑救、抢险，当事态无法控制时，立即通知领导小组求援；事故发生时，负责人员的疏散、逃生；负责损失控制、物资抢救，并对事故现场划定警戒区，阻止与抢救、抢险无关人员进入现场，保护现场不遭受破坏。</w:t>
            </w:r>
          </w:p>
          <w:p w14:paraId="55AD47F8">
            <w:pPr>
              <w:pStyle w:val="10"/>
              <w:spacing w:before="0" w:after="0" w:line="360" w:lineRule="auto"/>
              <w:ind w:right="0" w:firstLine="420" w:firstLineChars="200"/>
              <w:rPr>
                <w:rFonts w:hint="eastAsia" w:ascii="宋体" w:hAnsi="宋体" w:cs="宋体"/>
                <w:color w:val="auto"/>
                <w:sz w:val="21"/>
                <w:szCs w:val="21"/>
              </w:rPr>
            </w:pPr>
            <w:r>
              <w:rPr>
                <w:rFonts w:hint="eastAsia" w:ascii="宋体" w:hAnsi="宋体" w:cs="宋体"/>
                <w:color w:val="auto"/>
                <w:sz w:val="21"/>
                <w:szCs w:val="21"/>
              </w:rPr>
              <w:t>应急监测组由周辉担任组长，其主要责任是负责事故现场应急监测工作，及时向领导小组提供监测数据；协助上级监测部门开展承担的应急事故监测任务。</w:t>
            </w:r>
          </w:p>
          <w:p w14:paraId="73AED35A">
            <w:pPr>
              <w:pStyle w:val="10"/>
              <w:spacing w:before="0" w:after="0" w:line="360" w:lineRule="auto"/>
              <w:ind w:right="0" w:firstLine="420" w:firstLineChars="200"/>
              <w:rPr>
                <w:rFonts w:hint="eastAsia" w:ascii="宋体" w:hAnsi="宋体" w:cs="宋体"/>
                <w:color w:val="auto"/>
                <w:sz w:val="21"/>
                <w:szCs w:val="21"/>
              </w:rPr>
            </w:pPr>
            <w:r>
              <w:rPr>
                <w:rFonts w:hint="eastAsia" w:ascii="宋体" w:hAnsi="宋体" w:cs="宋体"/>
                <w:color w:val="auto"/>
                <w:sz w:val="21"/>
                <w:szCs w:val="21"/>
              </w:rPr>
              <w:t>后勤保障组由</w:t>
            </w:r>
            <w:r>
              <w:rPr>
                <w:rFonts w:hint="eastAsia" w:cs="宋体"/>
                <w:color w:val="auto"/>
                <w:kern w:val="2"/>
                <w:sz w:val="21"/>
                <w:szCs w:val="21"/>
              </w:rPr>
              <w:t>王前照</w:t>
            </w:r>
            <w:r>
              <w:rPr>
                <w:rFonts w:hint="eastAsia" w:ascii="宋体" w:hAnsi="宋体" w:cs="宋体"/>
                <w:color w:val="auto"/>
                <w:sz w:val="21"/>
                <w:szCs w:val="21"/>
              </w:rPr>
              <w:t>担任组长，其主要责任是负责指挥抢险现场受伤人员的救助和对重伤员的转移，保障抢险人员人身安全；事故结束后负责应急物资的检查、保养、更新、添置，使之满足下次应急需要。</w:t>
            </w:r>
          </w:p>
          <w:p w14:paraId="14EF10DE">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善后处理组由</w:t>
            </w:r>
            <w:r>
              <w:rPr>
                <w:rFonts w:hint="eastAsia" w:cs="宋体"/>
                <w:color w:val="auto"/>
                <w:szCs w:val="21"/>
              </w:rPr>
              <w:t>王霞</w:t>
            </w:r>
            <w:r>
              <w:rPr>
                <w:rFonts w:hint="eastAsia" w:ascii="宋体" w:hAnsi="宋体" w:cs="宋体"/>
                <w:color w:val="auto"/>
                <w:szCs w:val="21"/>
              </w:rPr>
              <w:t>担任组长，其主要责任是负责对事故现场转移出来的伤员，实施紧急救护工作；协助医疗部门将伤员护送到相关单位进行抢救和安置；发生重大污染事故时，组织厂区人员撤离现场；协助领导小组做好善后工作。</w:t>
            </w:r>
          </w:p>
          <w:p w14:paraId="3266E127">
            <w:pPr>
              <w:spacing w:line="360" w:lineRule="auto"/>
              <w:ind w:firstLine="420" w:firstLineChars="200"/>
              <w:rPr>
                <w:color w:val="auto"/>
              </w:rPr>
            </w:pPr>
            <w:r>
              <w:rPr>
                <w:rFonts w:hint="eastAsia" w:ascii="宋体" w:hAnsi="宋体" w:cs="宋体"/>
                <w:color w:val="auto"/>
                <w:szCs w:val="21"/>
              </w:rPr>
              <w:t>环境保护组由</w:t>
            </w:r>
            <w:r>
              <w:rPr>
                <w:rFonts w:hint="eastAsia" w:cs="宋体"/>
                <w:color w:val="auto"/>
                <w:szCs w:val="21"/>
              </w:rPr>
              <w:t>曹建波</w:t>
            </w:r>
            <w:r>
              <w:rPr>
                <w:rFonts w:hint="eastAsia" w:ascii="宋体" w:hAnsi="宋体" w:cs="宋体"/>
                <w:color w:val="auto"/>
                <w:szCs w:val="21"/>
              </w:rPr>
              <w:t>担任组长，其主要责任是负责事故发生后的雨、污水阀门的切换，及时关注厂区内事故废水的走向，避免事故水流出厂区进入外环境。</w:t>
            </w:r>
          </w:p>
          <w:p w14:paraId="2FD85A1A">
            <w:pPr>
              <w:spacing w:line="360" w:lineRule="auto"/>
              <w:ind w:firstLine="420" w:firstLineChars="200"/>
              <w:rPr>
                <w:color w:val="auto"/>
                <w:szCs w:val="21"/>
              </w:rPr>
            </w:pPr>
            <w:r>
              <w:rPr>
                <w:rFonts w:hint="eastAsia"/>
                <w:color w:val="auto"/>
                <w:szCs w:val="21"/>
              </w:rPr>
              <w:t>（4）应急物资装配</w:t>
            </w:r>
          </w:p>
          <w:p w14:paraId="1A05757C">
            <w:pPr>
              <w:pStyle w:val="10"/>
              <w:spacing w:before="0" w:after="0" w:line="360" w:lineRule="auto"/>
              <w:ind w:right="0" w:firstLine="420" w:firstLineChars="200"/>
              <w:rPr>
                <w:color w:val="auto"/>
                <w:sz w:val="21"/>
                <w:szCs w:val="21"/>
              </w:rPr>
            </w:pPr>
            <w:r>
              <w:rPr>
                <w:color w:val="auto"/>
                <w:sz w:val="21"/>
                <w:szCs w:val="21"/>
              </w:rPr>
              <w:t>公司内均有针对性地建立环境应急物资储备及突发环境事件应急处置专项资金</w:t>
            </w:r>
            <w:r>
              <w:rPr>
                <w:rFonts w:hint="eastAsia"/>
                <w:color w:val="auto"/>
                <w:sz w:val="21"/>
                <w:szCs w:val="21"/>
              </w:rPr>
              <w:t>。</w:t>
            </w:r>
          </w:p>
          <w:p w14:paraId="5E78C7F3">
            <w:pPr>
              <w:spacing w:line="360" w:lineRule="auto"/>
              <w:ind w:firstLine="420" w:firstLineChars="200"/>
              <w:rPr>
                <w:color w:val="auto"/>
              </w:rPr>
            </w:pPr>
            <w:r>
              <w:rPr>
                <w:rFonts w:hint="eastAsia"/>
                <w:color w:val="auto"/>
              </w:rPr>
              <w:t>（三）企业目前</w:t>
            </w:r>
            <w:r>
              <w:rPr>
                <w:color w:val="auto"/>
              </w:rPr>
              <w:t>环境风险防控现状</w:t>
            </w:r>
            <w:r>
              <w:rPr>
                <w:rFonts w:hint="eastAsia"/>
                <w:color w:val="auto"/>
              </w:rPr>
              <w:t>存在</w:t>
            </w:r>
            <w:r>
              <w:rPr>
                <w:color w:val="auto"/>
              </w:rPr>
              <w:t>问题</w:t>
            </w:r>
            <w:r>
              <w:rPr>
                <w:rFonts w:hint="eastAsia"/>
                <w:color w:val="auto"/>
              </w:rPr>
              <w:t>及整改措施</w:t>
            </w:r>
          </w:p>
          <w:p w14:paraId="5A9B8E11">
            <w:pPr>
              <w:spacing w:line="360" w:lineRule="auto"/>
              <w:ind w:firstLine="420" w:firstLineChars="200"/>
              <w:rPr>
                <w:color w:val="auto"/>
                <w:szCs w:val="21"/>
              </w:rPr>
            </w:pPr>
            <w:r>
              <w:rPr>
                <w:rFonts w:hint="eastAsia"/>
                <w:color w:val="auto"/>
                <w:szCs w:val="21"/>
              </w:rPr>
              <w:t>（1）</w:t>
            </w:r>
            <w:r>
              <w:rPr>
                <w:color w:val="auto"/>
              </w:rPr>
              <w:t>环境风险防控现状</w:t>
            </w:r>
            <w:r>
              <w:rPr>
                <w:rFonts w:hint="eastAsia"/>
                <w:color w:val="auto"/>
              </w:rPr>
              <w:t>存在</w:t>
            </w:r>
            <w:r>
              <w:rPr>
                <w:color w:val="auto"/>
              </w:rPr>
              <w:t>问题</w:t>
            </w:r>
          </w:p>
          <w:p w14:paraId="1CA60562">
            <w:pPr>
              <w:pStyle w:val="10"/>
              <w:spacing w:before="0" w:after="0" w:line="360" w:lineRule="auto"/>
              <w:ind w:right="0" w:firstLine="420" w:firstLineChars="200"/>
              <w:rPr>
                <w:color w:val="auto"/>
                <w:sz w:val="21"/>
                <w:szCs w:val="21"/>
              </w:rPr>
            </w:pPr>
            <w:r>
              <w:rPr>
                <w:rFonts w:hint="eastAsia" w:ascii="宋体" w:hAnsi="宋体" w:cs="宋体"/>
                <w:color w:val="auto"/>
                <w:sz w:val="21"/>
                <w:szCs w:val="21"/>
              </w:rPr>
              <w:t>①</w:t>
            </w:r>
            <w:r>
              <w:rPr>
                <w:rFonts w:hint="eastAsia"/>
                <w:color w:val="auto"/>
                <w:sz w:val="21"/>
                <w:szCs w:val="21"/>
              </w:rPr>
              <w:t>应急物资种类不完备并缺少应急物资更新制度。</w:t>
            </w:r>
          </w:p>
          <w:p w14:paraId="282946F6">
            <w:pPr>
              <w:spacing w:line="360" w:lineRule="auto"/>
              <w:ind w:firstLine="420" w:firstLineChars="200"/>
              <w:rPr>
                <w:color w:val="auto"/>
                <w:szCs w:val="21"/>
              </w:rPr>
            </w:pPr>
            <w:r>
              <w:rPr>
                <w:rFonts w:hint="eastAsia" w:ascii="宋体" w:hAnsi="宋体" w:cs="宋体"/>
                <w:color w:val="auto"/>
                <w:szCs w:val="21"/>
              </w:rPr>
              <w:t>②</w:t>
            </w:r>
            <w:r>
              <w:rPr>
                <w:rFonts w:hint="eastAsia"/>
                <w:color w:val="auto"/>
                <w:szCs w:val="21"/>
              </w:rPr>
              <w:t>针对各种突发环境事故应急演练次数不充分，应急小组配合不密切、反应能力不敏捷。</w:t>
            </w:r>
          </w:p>
          <w:p w14:paraId="52941459">
            <w:pPr>
              <w:pStyle w:val="10"/>
              <w:spacing w:before="0" w:after="0" w:line="360" w:lineRule="auto"/>
              <w:ind w:left="420" w:leftChars="200" w:right="0"/>
              <w:rPr>
                <w:color w:val="auto"/>
                <w:sz w:val="21"/>
                <w:szCs w:val="21"/>
              </w:rPr>
            </w:pPr>
            <w:r>
              <w:rPr>
                <w:rFonts w:hint="eastAsia"/>
                <w:color w:val="auto"/>
                <w:sz w:val="21"/>
                <w:szCs w:val="21"/>
              </w:rPr>
              <w:t>（2）整改措施</w:t>
            </w:r>
          </w:p>
          <w:p w14:paraId="15DD7107">
            <w:pPr>
              <w:spacing w:line="360" w:lineRule="auto"/>
              <w:ind w:firstLine="420" w:firstLineChars="200"/>
              <w:rPr>
                <w:color w:val="auto"/>
                <w:szCs w:val="21"/>
              </w:rPr>
            </w:pPr>
            <w:r>
              <w:rPr>
                <w:rFonts w:hint="eastAsia" w:ascii="宋体" w:hAnsi="宋体" w:cs="宋体"/>
                <w:color w:val="auto"/>
                <w:szCs w:val="21"/>
              </w:rPr>
              <w:t>①根据厂区各种可能发生的环境事故完善应急物资种类，建立应急物资更新制度。</w:t>
            </w:r>
          </w:p>
          <w:p w14:paraId="6B45D316">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②根据厂区各种可能发生的环境事故有针对性的进行应急演练，提高应急小组配合度以及反应能力。</w:t>
            </w:r>
          </w:p>
          <w:p w14:paraId="70BFE003">
            <w:pPr>
              <w:numPr>
                <w:ilvl w:val="0"/>
                <w:numId w:val="5"/>
              </w:numPr>
              <w:adjustRightInd w:val="0"/>
              <w:spacing w:line="360" w:lineRule="auto"/>
              <w:ind w:firstLine="422" w:firstLineChars="200"/>
              <w:rPr>
                <w:b/>
                <w:bCs/>
                <w:color w:val="auto"/>
                <w:szCs w:val="21"/>
              </w:rPr>
            </w:pPr>
            <w:r>
              <w:rPr>
                <w:rFonts w:hint="eastAsia"/>
                <w:b/>
                <w:bCs/>
                <w:color w:val="auto"/>
                <w:szCs w:val="21"/>
              </w:rPr>
              <w:t>现有项目存在问题及以新代老措施</w:t>
            </w:r>
          </w:p>
          <w:p w14:paraId="0C01B806">
            <w:pPr>
              <w:pStyle w:val="10"/>
              <w:spacing w:before="0" w:after="0" w:line="360" w:lineRule="auto"/>
              <w:ind w:right="0" w:firstLine="420" w:firstLineChars="200"/>
              <w:rPr>
                <w:color w:val="auto"/>
                <w:sz w:val="21"/>
                <w:szCs w:val="22"/>
              </w:rPr>
            </w:pPr>
            <w:r>
              <w:rPr>
                <w:rFonts w:hint="eastAsia"/>
                <w:color w:val="auto"/>
                <w:sz w:val="21"/>
                <w:szCs w:val="22"/>
              </w:rPr>
              <w:t>结合现有项目环评、验收资料，以及现场踏勘情况，识别出现有项目存在环境问题及整改措施如下：</w:t>
            </w:r>
          </w:p>
          <w:p w14:paraId="38FD6511">
            <w:pPr>
              <w:keepNext w:val="0"/>
              <w:keepLines w:val="0"/>
              <w:pageBreakBefore w:val="0"/>
              <w:numPr>
                <w:ilvl w:val="0"/>
                <w:numId w:val="0"/>
              </w:numPr>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kern w:val="2"/>
                <w:sz w:val="21"/>
                <w:szCs w:val="21"/>
                <w:lang w:val="en-US" w:eastAsia="zh-CN" w:bidi="ar-SA"/>
              </w:rPr>
              <w:t>（1）</w:t>
            </w:r>
            <w:r>
              <w:rPr>
                <w:rFonts w:hint="default" w:ascii="Times New Roman" w:hAnsi="Times New Roman" w:cs="Times New Roman"/>
                <w:color w:val="auto"/>
                <w:sz w:val="21"/>
                <w:szCs w:val="21"/>
              </w:rPr>
              <w:t>现有项目存在的问题</w:t>
            </w:r>
          </w:p>
          <w:p w14:paraId="6C1B216D">
            <w:pPr>
              <w:keepNext w:val="0"/>
              <w:keepLines w:val="0"/>
              <w:pageBreakBefore w:val="0"/>
              <w:widowControl/>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①</w:t>
            </w:r>
            <w:r>
              <w:rPr>
                <w:rFonts w:hint="default" w:ascii="Times New Roman" w:hAnsi="Times New Roman" w:cs="Times New Roman"/>
                <w:color w:val="auto"/>
                <w:sz w:val="21"/>
                <w:szCs w:val="21"/>
              </w:rPr>
              <w:t>现有项目环评中未对</w:t>
            </w:r>
            <w:r>
              <w:rPr>
                <w:rFonts w:hint="default" w:ascii="Times New Roman" w:hAnsi="Times New Roman" w:cs="Times New Roman"/>
                <w:color w:val="auto"/>
                <w:sz w:val="21"/>
                <w:szCs w:val="21"/>
                <w:lang w:val="en-US" w:eastAsia="zh-CN"/>
              </w:rPr>
              <w:t>生活废水中BOD</w:t>
            </w:r>
            <w:r>
              <w:rPr>
                <w:rFonts w:hint="default" w:ascii="Times New Roman" w:hAnsi="Times New Roman" w:cs="Times New Roman"/>
                <w:color w:val="auto"/>
                <w:sz w:val="21"/>
                <w:szCs w:val="21"/>
                <w:vertAlign w:val="subscript"/>
                <w:lang w:val="en-US" w:eastAsia="zh-CN"/>
              </w:rPr>
              <w:t>5</w:t>
            </w:r>
            <w:r>
              <w:rPr>
                <w:rFonts w:hint="default" w:ascii="Times New Roman" w:hAnsi="Times New Roman" w:cs="Times New Roman"/>
                <w:color w:val="auto"/>
                <w:sz w:val="21"/>
                <w:szCs w:val="21"/>
                <w:lang w:val="en-US" w:eastAsia="zh-CN"/>
              </w:rPr>
              <w:t>、总氮进行核算</w:t>
            </w:r>
            <w:r>
              <w:rPr>
                <w:rFonts w:hint="default" w:ascii="Times New Roman" w:hAnsi="Times New Roman" w:cs="Times New Roman"/>
                <w:color w:val="auto"/>
                <w:sz w:val="21"/>
                <w:szCs w:val="21"/>
              </w:rPr>
              <w:t>，本次环评补充核算。</w:t>
            </w:r>
          </w:p>
          <w:p w14:paraId="21209BB3">
            <w:pPr>
              <w:pStyle w:val="2"/>
              <w:keepNext w:val="0"/>
              <w:keepLines w:val="0"/>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②</w:t>
            </w:r>
            <w:r>
              <w:rPr>
                <w:rFonts w:hint="default" w:ascii="Times New Roman" w:hAnsi="Times New Roman" w:eastAsia="宋体" w:cs="Times New Roman"/>
                <w:color w:val="auto"/>
                <w:kern w:val="2"/>
                <w:sz w:val="21"/>
                <w:szCs w:val="21"/>
                <w:lang w:val="en-US" w:eastAsia="zh-CN" w:bidi="ar-SA"/>
              </w:rPr>
              <w:t>现有项目环评中未对生活废水</w:t>
            </w:r>
            <w:r>
              <w:rPr>
                <w:rFonts w:hint="default" w:ascii="Times New Roman" w:hAnsi="Times New Roman" w:cs="Times New Roman"/>
                <w:color w:val="auto"/>
                <w:kern w:val="2"/>
                <w:sz w:val="21"/>
                <w:szCs w:val="21"/>
                <w:lang w:val="en-US" w:eastAsia="zh-CN" w:bidi="ar-SA"/>
              </w:rPr>
              <w:t>接管量进行核算</w:t>
            </w:r>
            <w:r>
              <w:rPr>
                <w:rFonts w:hint="default" w:ascii="Times New Roman" w:hAnsi="Times New Roman" w:cs="Times New Roman"/>
                <w:color w:val="auto"/>
                <w:sz w:val="21"/>
                <w:szCs w:val="21"/>
              </w:rPr>
              <w:t>，本次环评补充核算</w:t>
            </w:r>
          </w:p>
          <w:p w14:paraId="67DE5426">
            <w:pPr>
              <w:keepNext w:val="0"/>
              <w:keepLines w:val="0"/>
              <w:pageBreakBefore w:val="0"/>
              <w:numPr>
                <w:ilvl w:val="0"/>
                <w:numId w:val="0"/>
              </w:numPr>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kern w:val="2"/>
                <w:sz w:val="21"/>
                <w:szCs w:val="21"/>
                <w:lang w:val="en-US" w:eastAsia="zh-CN" w:bidi="ar-SA"/>
              </w:rPr>
              <w:t>（2）</w:t>
            </w:r>
            <w:r>
              <w:rPr>
                <w:rFonts w:hint="default" w:ascii="Times New Roman" w:hAnsi="Times New Roman" w:cs="Times New Roman"/>
                <w:color w:val="auto"/>
                <w:sz w:val="21"/>
                <w:szCs w:val="21"/>
              </w:rPr>
              <w:t>以新带老措施</w:t>
            </w:r>
          </w:p>
          <w:p w14:paraId="0E95C859">
            <w:pPr>
              <w:keepNext w:val="0"/>
              <w:keepLines w:val="0"/>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①</w:t>
            </w:r>
            <w:r>
              <w:rPr>
                <w:rFonts w:hint="default" w:ascii="Times New Roman" w:hAnsi="Times New Roman" w:cs="Times New Roman"/>
                <w:color w:val="auto"/>
                <w:sz w:val="21"/>
                <w:szCs w:val="21"/>
              </w:rPr>
              <w:t>补充核算</w:t>
            </w:r>
            <w:r>
              <w:rPr>
                <w:rFonts w:hint="default" w:ascii="Times New Roman" w:hAnsi="Times New Roman" w:cs="Times New Roman"/>
                <w:color w:val="auto"/>
                <w:sz w:val="21"/>
                <w:szCs w:val="21"/>
                <w:lang w:val="en-US" w:eastAsia="zh-CN"/>
              </w:rPr>
              <w:t>现有环评废水中BOD</w:t>
            </w:r>
            <w:r>
              <w:rPr>
                <w:rFonts w:hint="default" w:ascii="Times New Roman" w:hAnsi="Times New Roman" w:cs="Times New Roman"/>
                <w:color w:val="auto"/>
                <w:sz w:val="21"/>
                <w:szCs w:val="21"/>
                <w:vertAlign w:val="subscript"/>
                <w:lang w:val="en-US" w:eastAsia="zh-CN"/>
              </w:rPr>
              <w:t>5</w:t>
            </w:r>
            <w:r>
              <w:rPr>
                <w:rFonts w:hint="default" w:ascii="Times New Roman" w:hAnsi="Times New Roman" w:cs="Times New Roman"/>
                <w:color w:val="auto"/>
                <w:sz w:val="21"/>
                <w:szCs w:val="21"/>
                <w:lang w:val="en-US" w:eastAsia="zh-CN"/>
              </w:rPr>
              <w:t>、总氮</w:t>
            </w:r>
            <w:r>
              <w:rPr>
                <w:rFonts w:hint="default" w:ascii="Times New Roman" w:hAnsi="Times New Roman" w:cs="Times New Roman"/>
                <w:color w:val="auto"/>
                <w:sz w:val="21"/>
                <w:szCs w:val="21"/>
              </w:rPr>
              <w:t>。</w:t>
            </w:r>
          </w:p>
          <w:p w14:paraId="32D1DCF4">
            <w:pPr>
              <w:pStyle w:val="2"/>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②补充核算现有环评废水接管量。</w:t>
            </w:r>
          </w:p>
          <w:p w14:paraId="4C05E4A5">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5B0B4700">
            <w:pPr>
              <w:pStyle w:val="2"/>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3414C909">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44C88523">
            <w:pPr>
              <w:pStyle w:val="2"/>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6FE5E396">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33C98CFC">
            <w:pPr>
              <w:pStyle w:val="2"/>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216F875A">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4F5041DD">
            <w:pPr>
              <w:pStyle w:val="2"/>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202E1CE4">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3F398510">
            <w:pPr>
              <w:pStyle w:val="2"/>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136C86BA">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7290A1CD">
            <w:pPr>
              <w:pStyle w:val="2"/>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3266210F">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0E588139">
            <w:pPr>
              <w:pStyle w:val="2"/>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42B463A6">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7476D305">
            <w:pPr>
              <w:pStyle w:val="2"/>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289AB3D6">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31648E30">
            <w:pPr>
              <w:pStyle w:val="2"/>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4C2167F4">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4D2921F5">
            <w:pPr>
              <w:pStyle w:val="2"/>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1B6061B9">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5C63AF67">
            <w:pPr>
              <w:pStyle w:val="2"/>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70D549E8">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6A349F6E">
            <w:pPr>
              <w:pStyle w:val="2"/>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7355DF74">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00E740CF">
            <w:pPr>
              <w:pStyle w:val="2"/>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08D462BB">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2830C2F5">
            <w:pPr>
              <w:pStyle w:val="2"/>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29F44A0A">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625D7A9B">
            <w:pPr>
              <w:pStyle w:val="2"/>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6FB125D0">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402E2D9D">
            <w:pPr>
              <w:pStyle w:val="2"/>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1DF740E4">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 w:val="21"/>
                <w:szCs w:val="21"/>
                <w:lang w:val="en-US" w:eastAsia="zh-CN"/>
              </w:rPr>
            </w:pPr>
          </w:p>
          <w:p w14:paraId="0B0C256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lang w:val="en-US" w:eastAsia="zh-CN"/>
              </w:rPr>
            </w:pPr>
          </w:p>
        </w:tc>
      </w:tr>
    </w:tbl>
    <w:p w14:paraId="432EC6A0">
      <w:pPr>
        <w:pStyle w:val="27"/>
        <w:ind w:firstLine="720"/>
        <w:jc w:val="center"/>
        <w:rPr>
          <w:rFonts w:ascii="Times New Roman" w:hAnsi="Times New Roman" w:eastAsia="黑体"/>
          <w:snapToGrid w:val="0"/>
          <w:sz w:val="36"/>
          <w:szCs w:val="36"/>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52E1D7E8">
      <w:pPr>
        <w:pStyle w:val="27"/>
        <w:numPr>
          <w:ilvl w:val="0"/>
          <w:numId w:val="10"/>
        </w:numPr>
        <w:jc w:val="center"/>
        <w:outlineLvl w:val="0"/>
        <w:rPr>
          <w:rFonts w:ascii="Times New Roman" w:hAnsi="Times New Roman" w:eastAsia="黑体"/>
          <w:snapToGrid w:val="0"/>
          <w:sz w:val="30"/>
          <w:szCs w:val="30"/>
        </w:rPr>
      </w:pPr>
      <w:bookmarkStart w:id="6" w:name="_Toc25794"/>
      <w:bookmarkStart w:id="23" w:name="_GoBack"/>
      <w:bookmarkEnd w:id="23"/>
      <w:r>
        <w:rPr>
          <w:rFonts w:hint="eastAsia" w:ascii="Times New Roman" w:hAnsi="Times New Roman" w:eastAsia="黑体"/>
          <w:snapToGrid w:val="0"/>
          <w:sz w:val="30"/>
          <w:szCs w:val="30"/>
        </w:rPr>
        <w:t>区域环境质量现状、环境保护目标及评价标准</w:t>
      </w:r>
      <w:bookmarkEnd w:id="6"/>
    </w:p>
    <w:tbl>
      <w:tblPr>
        <w:tblStyle w:val="3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27"/>
        <w:gridCol w:w="8190"/>
      </w:tblGrid>
      <w:tr w14:paraId="262985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35" w:hRule="atLeast"/>
          <w:jc w:val="center"/>
        </w:trPr>
        <w:tc>
          <w:tcPr>
            <w:tcW w:w="727" w:type="dxa"/>
            <w:vAlign w:val="center"/>
          </w:tcPr>
          <w:p w14:paraId="3D24B47A">
            <w:pPr>
              <w:adjustRightInd w:val="0"/>
              <w:snapToGrid w:val="0"/>
              <w:jc w:val="center"/>
              <w:rPr>
                <w:rFonts w:cs="宋体"/>
                <w:kern w:val="0"/>
                <w:szCs w:val="21"/>
              </w:rPr>
            </w:pPr>
            <w:r>
              <w:rPr>
                <w:rFonts w:hint="eastAsia" w:cs="宋体"/>
                <w:kern w:val="0"/>
                <w:szCs w:val="21"/>
              </w:rPr>
              <w:t>区域环境质量现状</w:t>
            </w:r>
          </w:p>
        </w:tc>
        <w:tc>
          <w:tcPr>
            <w:tcW w:w="8190" w:type="dxa"/>
            <w:vAlign w:val="center"/>
          </w:tcPr>
          <w:p w14:paraId="442C73F4">
            <w:pPr>
              <w:tabs>
                <w:tab w:val="left" w:pos="360"/>
              </w:tabs>
              <w:spacing w:line="360" w:lineRule="auto"/>
              <w:jc w:val="left"/>
              <w:textAlignment w:val="baseline"/>
              <w:rPr>
                <w:b/>
                <w:bCs/>
                <w:color w:val="auto"/>
                <w:szCs w:val="21"/>
              </w:rPr>
            </w:pPr>
            <w:r>
              <w:rPr>
                <w:rFonts w:hint="eastAsia"/>
                <w:b/>
                <w:bCs/>
                <w:color w:val="auto"/>
                <w:szCs w:val="21"/>
              </w:rPr>
              <w:t>1、大气环境质量现状</w:t>
            </w:r>
          </w:p>
          <w:p w14:paraId="3E27A97F">
            <w:pPr>
              <w:pageBreakBefore w:val="0"/>
              <w:kinsoku/>
              <w:wordWrap/>
              <w:overflowPunct/>
              <w:topLinePunct w:val="0"/>
              <w:autoSpaceDE w:val="0"/>
              <w:autoSpaceDN w:val="0"/>
              <w:bidi w:val="0"/>
              <w:adjustRightInd w:val="0"/>
              <w:snapToGrid w:val="0"/>
              <w:spacing w:line="360" w:lineRule="auto"/>
              <w:ind w:firstLine="420" w:firstLineChars="200"/>
              <w:textAlignment w:val="auto"/>
              <w:rPr>
                <w:rFonts w:hint="default"/>
                <w:lang w:val="en-US" w:eastAsia="zh-CN"/>
              </w:rPr>
            </w:pPr>
            <w:r>
              <w:rPr>
                <w:rFonts w:ascii="Times New Roman" w:hAnsi="Times New Roman"/>
                <w:color w:val="auto"/>
                <w:kern w:val="0"/>
                <w:szCs w:val="21"/>
              </w:rPr>
              <w:t>根据《</w:t>
            </w:r>
            <w:r>
              <w:rPr>
                <w:rFonts w:hint="eastAsia" w:ascii="Times New Roman" w:hAnsi="Times New Roman"/>
                <w:color w:val="auto"/>
                <w:kern w:val="0"/>
                <w:szCs w:val="21"/>
              </w:rPr>
              <w:t>宿迁市202</w:t>
            </w:r>
            <w:r>
              <w:rPr>
                <w:rFonts w:hint="eastAsia" w:ascii="Times New Roman" w:hAnsi="Times New Roman"/>
                <w:color w:val="auto"/>
                <w:kern w:val="0"/>
                <w:szCs w:val="21"/>
                <w:lang w:val="en-US" w:eastAsia="zh-CN"/>
              </w:rPr>
              <w:t>4</w:t>
            </w:r>
            <w:r>
              <w:rPr>
                <w:rFonts w:hint="eastAsia" w:ascii="Times New Roman" w:hAnsi="Times New Roman"/>
                <w:color w:val="auto"/>
                <w:kern w:val="0"/>
                <w:szCs w:val="21"/>
              </w:rPr>
              <w:t>年度生态环境状况公报</w:t>
            </w:r>
            <w:r>
              <w:rPr>
                <w:rFonts w:ascii="Times New Roman" w:hAnsi="Times New Roman"/>
                <w:color w:val="auto"/>
                <w:kern w:val="0"/>
                <w:szCs w:val="21"/>
              </w:rPr>
              <w:t>》</w:t>
            </w:r>
            <w:r>
              <w:rPr>
                <w:rFonts w:ascii="Times New Roman" w:hAnsi="Times New Roman"/>
                <w:kern w:val="0"/>
                <w:szCs w:val="21"/>
              </w:rPr>
              <w:t>可知，</w:t>
            </w:r>
            <w:r>
              <w:rPr>
                <w:rFonts w:hint="eastAsia" w:ascii="Times New Roman" w:hAnsi="Times New Roman"/>
                <w:kern w:val="0"/>
                <w:szCs w:val="21"/>
              </w:rPr>
              <w:t>2024年，全市环境空气优良天数达296天，优良天数比例为80.9%；空气中PM</w:t>
            </w:r>
            <w:r>
              <w:rPr>
                <w:rFonts w:hint="eastAsia" w:ascii="Times New Roman" w:hAnsi="Times New Roman"/>
                <w:kern w:val="0"/>
                <w:szCs w:val="21"/>
                <w:vertAlign w:val="subscript"/>
              </w:rPr>
              <w:t>2.5</w:t>
            </w:r>
            <w:r>
              <w:rPr>
                <w:rFonts w:hint="eastAsia" w:ascii="Times New Roman" w:hAnsi="Times New Roman"/>
                <w:kern w:val="0"/>
                <w:szCs w:val="21"/>
              </w:rPr>
              <w:t>、PM</w:t>
            </w:r>
            <w:r>
              <w:rPr>
                <w:rFonts w:hint="eastAsia" w:ascii="Times New Roman" w:hAnsi="Times New Roman"/>
                <w:kern w:val="0"/>
                <w:szCs w:val="21"/>
                <w:vertAlign w:val="subscript"/>
              </w:rPr>
              <w:t>10</w:t>
            </w:r>
            <w:r>
              <w:rPr>
                <w:rFonts w:hint="eastAsia" w:ascii="Times New Roman" w:hAnsi="Times New Roman"/>
                <w:kern w:val="0"/>
                <w:szCs w:val="21"/>
              </w:rPr>
              <w:t>、NO</w:t>
            </w:r>
            <w:r>
              <w:rPr>
                <w:rFonts w:hint="eastAsia" w:ascii="Times New Roman" w:hAnsi="Times New Roman"/>
                <w:kern w:val="0"/>
                <w:szCs w:val="21"/>
                <w:vertAlign w:val="subscript"/>
              </w:rPr>
              <w:t>2</w:t>
            </w:r>
            <w:r>
              <w:rPr>
                <w:rFonts w:hint="eastAsia" w:ascii="Times New Roman" w:hAnsi="Times New Roman"/>
                <w:kern w:val="0"/>
                <w:szCs w:val="21"/>
              </w:rPr>
              <w:t>、SO</w:t>
            </w:r>
            <w:r>
              <w:rPr>
                <w:rFonts w:hint="eastAsia" w:ascii="Times New Roman" w:hAnsi="Times New Roman"/>
                <w:kern w:val="0"/>
                <w:szCs w:val="21"/>
                <w:vertAlign w:val="subscript"/>
              </w:rPr>
              <w:t>2</w:t>
            </w:r>
            <w:r>
              <w:rPr>
                <w:rFonts w:hint="eastAsia" w:ascii="Times New Roman" w:hAnsi="Times New Roman"/>
                <w:kern w:val="0"/>
                <w:szCs w:val="21"/>
              </w:rPr>
              <w:t>、O</w:t>
            </w:r>
            <w:r>
              <w:rPr>
                <w:rFonts w:hint="eastAsia" w:ascii="Times New Roman" w:hAnsi="Times New Roman"/>
                <w:kern w:val="0"/>
                <w:szCs w:val="21"/>
                <w:vertAlign w:val="subscript"/>
              </w:rPr>
              <w:t>3</w:t>
            </w:r>
            <w:r>
              <w:rPr>
                <w:rFonts w:hint="eastAsia" w:ascii="Times New Roman" w:hAnsi="Times New Roman"/>
                <w:kern w:val="0"/>
                <w:szCs w:val="21"/>
              </w:rPr>
              <w:t>浓度均同比下降，CO指标持平，浓度均值分别为38.7</w:t>
            </w:r>
            <w:r>
              <w:rPr>
                <w:rFonts w:hint="default" w:ascii="Times New Roman" w:hAnsi="Times New Roman" w:cs="Times New Roman"/>
                <w:kern w:val="0"/>
                <w:szCs w:val="21"/>
              </w:rPr>
              <w:t>μ</w:t>
            </w:r>
            <w:r>
              <w:rPr>
                <w:rFonts w:hint="eastAsia" w:ascii="Times New Roman" w:hAnsi="Times New Roman"/>
                <w:kern w:val="0"/>
                <w:szCs w:val="21"/>
              </w:rPr>
              <w:t>g/m</w:t>
            </w:r>
            <w:r>
              <w:rPr>
                <w:rFonts w:hint="eastAsia" w:ascii="Times New Roman" w:hAnsi="Times New Roman"/>
                <w:kern w:val="0"/>
                <w:szCs w:val="21"/>
                <w:vertAlign w:val="superscript"/>
              </w:rPr>
              <w:t>3</w:t>
            </w:r>
            <w:r>
              <w:rPr>
                <w:rFonts w:hint="eastAsia" w:ascii="Times New Roman" w:hAnsi="Times New Roman"/>
                <w:kern w:val="0"/>
                <w:szCs w:val="21"/>
              </w:rPr>
              <w:t>、57</w:t>
            </w:r>
            <w:r>
              <w:rPr>
                <w:rFonts w:hint="default" w:ascii="Times New Roman" w:hAnsi="Times New Roman" w:cs="Times New Roman"/>
                <w:kern w:val="0"/>
                <w:szCs w:val="21"/>
              </w:rPr>
              <w:t>μ</w:t>
            </w:r>
            <w:r>
              <w:rPr>
                <w:rFonts w:hint="eastAsia" w:ascii="Times New Roman" w:hAnsi="Times New Roman"/>
                <w:kern w:val="0"/>
                <w:szCs w:val="21"/>
              </w:rPr>
              <w:t>g/m</w:t>
            </w:r>
            <w:r>
              <w:rPr>
                <w:rFonts w:hint="eastAsia" w:ascii="Times New Roman" w:hAnsi="Times New Roman"/>
                <w:kern w:val="0"/>
                <w:szCs w:val="21"/>
                <w:vertAlign w:val="superscript"/>
              </w:rPr>
              <w:t>3</w:t>
            </w:r>
            <w:r>
              <w:rPr>
                <w:rFonts w:hint="eastAsia" w:ascii="Times New Roman" w:hAnsi="Times New Roman"/>
                <w:kern w:val="0"/>
                <w:szCs w:val="21"/>
              </w:rPr>
              <w:t>、21</w:t>
            </w:r>
            <w:r>
              <w:rPr>
                <w:rFonts w:hint="default" w:ascii="Times New Roman" w:hAnsi="Times New Roman" w:cs="Times New Roman"/>
                <w:kern w:val="0"/>
                <w:szCs w:val="21"/>
              </w:rPr>
              <w:t>μ</w:t>
            </w:r>
            <w:r>
              <w:rPr>
                <w:rFonts w:hint="eastAsia" w:ascii="Times New Roman" w:hAnsi="Times New Roman"/>
                <w:kern w:val="0"/>
                <w:szCs w:val="21"/>
              </w:rPr>
              <w:t>g/m</w:t>
            </w:r>
            <w:r>
              <w:rPr>
                <w:rFonts w:hint="eastAsia" w:ascii="Times New Roman" w:hAnsi="Times New Roman"/>
                <w:kern w:val="0"/>
                <w:szCs w:val="21"/>
                <w:vertAlign w:val="superscript"/>
              </w:rPr>
              <w:t>3</w:t>
            </w:r>
            <w:r>
              <w:rPr>
                <w:rFonts w:hint="eastAsia" w:ascii="Times New Roman" w:hAnsi="Times New Roman"/>
                <w:kern w:val="0"/>
                <w:szCs w:val="21"/>
              </w:rPr>
              <w:t>、5</w:t>
            </w:r>
            <w:r>
              <w:rPr>
                <w:rFonts w:hint="default" w:ascii="Times New Roman" w:hAnsi="Times New Roman" w:cs="Times New Roman"/>
                <w:kern w:val="0"/>
                <w:szCs w:val="21"/>
              </w:rPr>
              <w:t>μ</w:t>
            </w:r>
            <w:r>
              <w:rPr>
                <w:rFonts w:hint="eastAsia" w:ascii="Times New Roman" w:hAnsi="Times New Roman"/>
                <w:kern w:val="0"/>
                <w:szCs w:val="21"/>
              </w:rPr>
              <w:t>g/m</w:t>
            </w:r>
            <w:r>
              <w:rPr>
                <w:rFonts w:hint="eastAsia" w:ascii="Times New Roman" w:hAnsi="Times New Roman"/>
                <w:kern w:val="0"/>
                <w:szCs w:val="21"/>
                <w:vertAlign w:val="superscript"/>
              </w:rPr>
              <w:t>3</w:t>
            </w:r>
            <w:r>
              <w:rPr>
                <w:rFonts w:hint="eastAsia" w:ascii="Times New Roman" w:hAnsi="Times New Roman"/>
                <w:kern w:val="0"/>
                <w:szCs w:val="21"/>
              </w:rPr>
              <w:t>、160</w:t>
            </w:r>
            <w:r>
              <w:rPr>
                <w:rFonts w:hint="default" w:ascii="Times New Roman" w:hAnsi="Times New Roman" w:cs="Times New Roman"/>
                <w:kern w:val="0"/>
                <w:szCs w:val="21"/>
              </w:rPr>
              <w:t>μ</w:t>
            </w:r>
            <w:r>
              <w:rPr>
                <w:rFonts w:hint="eastAsia" w:ascii="Times New Roman" w:hAnsi="Times New Roman"/>
                <w:kern w:val="0"/>
                <w:szCs w:val="21"/>
              </w:rPr>
              <w:t>g/m</w:t>
            </w:r>
            <w:r>
              <w:rPr>
                <w:rFonts w:hint="eastAsia" w:ascii="Times New Roman" w:hAnsi="Times New Roman"/>
                <w:kern w:val="0"/>
                <w:szCs w:val="21"/>
                <w:vertAlign w:val="superscript"/>
              </w:rPr>
              <w:t>3</w:t>
            </w:r>
            <w:r>
              <w:rPr>
                <w:rFonts w:hint="eastAsia" w:ascii="Times New Roman" w:hAnsi="Times New Roman"/>
                <w:kern w:val="0"/>
                <w:szCs w:val="21"/>
              </w:rPr>
              <w:t>、1.0mg/m</w:t>
            </w:r>
            <w:r>
              <w:rPr>
                <w:rFonts w:hint="eastAsia" w:ascii="Times New Roman" w:hAnsi="Times New Roman"/>
                <w:kern w:val="0"/>
                <w:szCs w:val="21"/>
                <w:vertAlign w:val="superscript"/>
              </w:rPr>
              <w:t>3</w:t>
            </w:r>
            <w:r>
              <w:rPr>
                <w:rFonts w:hint="eastAsia" w:ascii="Times New Roman" w:hAnsi="Times New Roman"/>
                <w:kern w:val="0"/>
                <w:szCs w:val="21"/>
              </w:rPr>
              <w:t>，除CO同比持平外，其余同比分别下降2.8%、9.5%、16.0%、37.5%、5.3%；其中，臭氧作为首要污染物的超标天数为33天</w:t>
            </w:r>
            <w:r>
              <w:rPr>
                <w:rFonts w:hint="eastAsia" w:ascii="Times New Roman" w:hAnsi="Times New Roman"/>
                <w:kern w:val="0"/>
                <w:sz w:val="21"/>
                <w:szCs w:val="21"/>
              </w:rPr>
              <w:t>，占全年超标天数比例达47.1%，已成为影响全市环境空气质量达标的主要指标。沭阳、泗阳和泗洪三县城市空气质量优良天数分别为295、309、304，全年占比分别为80.6%、84.4%、83.1%。全市降水pH值介于6.64~7.84之间，未出现酸雨。</w:t>
            </w:r>
          </w:p>
          <w:p w14:paraId="2B948AA4">
            <w:pPr>
              <w:tabs>
                <w:tab w:val="left" w:pos="360"/>
              </w:tabs>
              <w:spacing w:line="360" w:lineRule="auto"/>
              <w:ind w:firstLine="420" w:firstLineChars="200"/>
              <w:jc w:val="left"/>
              <w:textAlignment w:val="baseline"/>
              <w:rPr>
                <w:color w:val="auto"/>
                <w:kern w:val="0"/>
                <w:szCs w:val="21"/>
              </w:rPr>
            </w:pPr>
            <w:r>
              <w:rPr>
                <w:rFonts w:hint="eastAsia"/>
                <w:sz w:val="21"/>
                <w:szCs w:val="21"/>
              </w:rPr>
              <w:t>为切实改善空气质量，保障人民群众身体健康，以高水平保护推动经济高质量发展，确保高质量完成“十四五”目标任务，</w:t>
            </w:r>
            <w:r>
              <w:rPr>
                <w:rFonts w:hint="eastAsia" w:ascii="Times New Roman" w:hAnsi="Times New Roman"/>
                <w:sz w:val="21"/>
                <w:szCs w:val="21"/>
              </w:rPr>
              <w:t>宿迁市</w:t>
            </w:r>
            <w:r>
              <w:rPr>
                <w:rFonts w:hint="eastAsia" w:ascii="Times New Roman" w:hAnsi="Times New Roman"/>
                <w:sz w:val="21"/>
                <w:szCs w:val="21"/>
                <w:lang w:val="en-US" w:eastAsia="zh-CN"/>
              </w:rPr>
              <w:t>生态环境局</w:t>
            </w:r>
            <w:r>
              <w:rPr>
                <w:rFonts w:hint="eastAsia" w:ascii="Times New Roman" w:hAnsi="Times New Roman"/>
                <w:sz w:val="21"/>
                <w:szCs w:val="21"/>
              </w:rPr>
              <w:t>于202</w:t>
            </w:r>
            <w:r>
              <w:rPr>
                <w:rFonts w:hint="eastAsia" w:ascii="Times New Roman" w:hAnsi="Times New Roman"/>
                <w:sz w:val="21"/>
                <w:szCs w:val="21"/>
                <w:lang w:val="en-US" w:eastAsia="zh-CN"/>
              </w:rPr>
              <w:t>5</w:t>
            </w:r>
            <w:r>
              <w:rPr>
                <w:rFonts w:hint="eastAsia" w:ascii="Times New Roman" w:hAnsi="Times New Roman"/>
                <w:sz w:val="21"/>
                <w:szCs w:val="21"/>
              </w:rPr>
              <w:t>年</w:t>
            </w:r>
            <w:r>
              <w:rPr>
                <w:rFonts w:hint="eastAsia" w:ascii="Times New Roman" w:hAnsi="Times New Roman"/>
                <w:sz w:val="21"/>
                <w:szCs w:val="21"/>
                <w:lang w:val="en-US" w:eastAsia="zh-CN"/>
              </w:rPr>
              <w:t>6</w:t>
            </w:r>
            <w:r>
              <w:rPr>
                <w:rFonts w:hint="eastAsia" w:ascii="Times New Roman" w:hAnsi="Times New Roman"/>
                <w:sz w:val="21"/>
                <w:szCs w:val="21"/>
              </w:rPr>
              <w:t>月</w:t>
            </w:r>
            <w:r>
              <w:rPr>
                <w:rFonts w:hint="eastAsia" w:ascii="Times New Roman" w:hAnsi="Times New Roman"/>
                <w:sz w:val="21"/>
                <w:szCs w:val="21"/>
                <w:lang w:val="en-US" w:eastAsia="zh-CN"/>
              </w:rPr>
              <w:t>19</w:t>
            </w:r>
            <w:r>
              <w:rPr>
                <w:rFonts w:hint="eastAsia" w:ascii="Times New Roman" w:hAnsi="Times New Roman"/>
                <w:sz w:val="21"/>
                <w:szCs w:val="21"/>
              </w:rPr>
              <w:t>日发布</w:t>
            </w:r>
            <w:r>
              <w:rPr>
                <w:rFonts w:hint="eastAsia"/>
                <w:sz w:val="21"/>
                <w:szCs w:val="21"/>
              </w:rPr>
              <w:t>《</w:t>
            </w:r>
            <w:r>
              <w:rPr>
                <w:rFonts w:hint="eastAsia"/>
                <w:sz w:val="21"/>
                <w:szCs w:val="21"/>
                <w:lang w:val="en-US" w:eastAsia="zh-CN"/>
              </w:rPr>
              <w:t>宿迁市2025年大气污染防治工作方案</w:t>
            </w:r>
            <w:r>
              <w:rPr>
                <w:rFonts w:hint="eastAsia"/>
                <w:sz w:val="21"/>
                <w:szCs w:val="21"/>
              </w:rPr>
              <w:t>》，主要</w:t>
            </w:r>
            <w:r>
              <w:rPr>
                <w:rFonts w:hint="eastAsia"/>
                <w:sz w:val="21"/>
                <w:szCs w:val="21"/>
                <w:lang w:val="en-US" w:eastAsia="zh-CN"/>
              </w:rPr>
              <w:t>以</w:t>
            </w:r>
            <w:r>
              <w:rPr>
                <w:rFonts w:hint="eastAsia"/>
                <w:sz w:val="21"/>
                <w:szCs w:val="21"/>
              </w:rPr>
              <w:t>优化结构，促进绿色低碳发展</w:t>
            </w:r>
            <w:r>
              <w:rPr>
                <w:rFonts w:hint="eastAsia"/>
                <w:sz w:val="21"/>
                <w:szCs w:val="21"/>
                <w:lang w:eastAsia="zh-CN"/>
              </w:rPr>
              <w:t>；</w:t>
            </w:r>
            <w:r>
              <w:rPr>
                <w:rFonts w:hint="eastAsia"/>
                <w:sz w:val="21"/>
                <w:szCs w:val="21"/>
                <w:lang w:val="en-US" w:eastAsia="zh-CN"/>
              </w:rPr>
              <w:t>开展移动源全链条整治；强化工业企业废气治理；强化扬尘精细化管控；持续开展面源污染治理；提升污染天气应对质效等方面为重点任务，从以上几个方面进行改革推动大气环境质量持续改善</w:t>
            </w:r>
            <w:r>
              <w:rPr>
                <w:rFonts w:hint="eastAsia"/>
                <w:sz w:val="21"/>
                <w:szCs w:val="21"/>
              </w:rPr>
              <w:t>。</w:t>
            </w:r>
          </w:p>
          <w:p w14:paraId="69767659">
            <w:pPr>
              <w:tabs>
                <w:tab w:val="left" w:pos="360"/>
              </w:tabs>
              <w:spacing w:line="360" w:lineRule="auto"/>
              <w:jc w:val="left"/>
              <w:textAlignment w:val="baseline"/>
              <w:rPr>
                <w:b/>
                <w:bCs/>
                <w:color w:val="auto"/>
                <w:szCs w:val="21"/>
              </w:rPr>
            </w:pPr>
            <w:r>
              <w:rPr>
                <w:b/>
                <w:bCs/>
                <w:color w:val="auto"/>
                <w:szCs w:val="21"/>
              </w:rPr>
              <w:t>2、地表水</w:t>
            </w:r>
            <w:r>
              <w:rPr>
                <w:rFonts w:hint="eastAsia"/>
                <w:b/>
                <w:bCs/>
                <w:color w:val="auto"/>
                <w:szCs w:val="21"/>
              </w:rPr>
              <w:t>环境质量现状</w:t>
            </w:r>
          </w:p>
          <w:p w14:paraId="47502708">
            <w:pPr>
              <w:tabs>
                <w:tab w:val="left" w:pos="360"/>
              </w:tabs>
              <w:spacing w:line="360" w:lineRule="auto"/>
              <w:ind w:firstLine="420" w:firstLineChars="200"/>
              <w:jc w:val="left"/>
              <w:textAlignment w:val="baseline"/>
              <w:rPr>
                <w:rFonts w:hint="eastAsia"/>
                <w:sz w:val="21"/>
                <w:szCs w:val="21"/>
                <w:lang w:val="en-US" w:eastAsia="zh-CN"/>
              </w:rPr>
            </w:pPr>
            <w:r>
              <w:rPr>
                <w:rFonts w:hint="eastAsia"/>
                <w:sz w:val="21"/>
                <w:szCs w:val="21"/>
                <w:lang w:val="en-US" w:eastAsia="zh-CN"/>
              </w:rPr>
              <w:t>根</w:t>
            </w:r>
            <w:r>
              <w:rPr>
                <w:rFonts w:hint="eastAsia"/>
                <w:color w:val="auto"/>
                <w:sz w:val="21"/>
                <w:szCs w:val="21"/>
                <w:lang w:val="en-US" w:eastAsia="zh-CN"/>
              </w:rPr>
              <w:t>据《宿迁市2024年度生态环境状况公报》，全市10个县级</w:t>
            </w:r>
            <w:r>
              <w:rPr>
                <w:rFonts w:hint="eastAsia"/>
                <w:sz w:val="21"/>
                <w:szCs w:val="21"/>
                <w:lang w:val="en-US" w:eastAsia="zh-CN"/>
              </w:rPr>
              <w:t>以上集中式饮用水水源地水质优Ⅲ比例为100%；全市15个国考断面水质达标率为100%，优Ⅲ水体比例为86.7%，无劣Ⅴ类水体；全市35个省考断面水质达标率为100%，优Ⅲ水体比例100%，无劣Ⅴ类水体。</w:t>
            </w:r>
          </w:p>
          <w:p w14:paraId="252AB066">
            <w:pPr>
              <w:tabs>
                <w:tab w:val="left" w:pos="360"/>
              </w:tabs>
              <w:spacing w:line="360" w:lineRule="auto"/>
              <w:jc w:val="left"/>
              <w:textAlignment w:val="baseline"/>
              <w:rPr>
                <w:b/>
                <w:bCs/>
                <w:color w:val="auto"/>
                <w:szCs w:val="21"/>
              </w:rPr>
            </w:pPr>
            <w:r>
              <w:rPr>
                <w:b/>
                <w:bCs/>
                <w:color w:val="auto"/>
                <w:szCs w:val="21"/>
              </w:rPr>
              <w:t>3、</w:t>
            </w:r>
            <w:r>
              <w:rPr>
                <w:rFonts w:hint="eastAsia"/>
                <w:b/>
                <w:bCs/>
                <w:color w:val="auto"/>
                <w:szCs w:val="21"/>
              </w:rPr>
              <w:t>声环境质量现状</w:t>
            </w:r>
          </w:p>
          <w:p w14:paraId="71BDF884">
            <w:pPr>
              <w:spacing w:line="360" w:lineRule="auto"/>
              <w:ind w:firstLine="420" w:firstLineChars="200"/>
              <w:rPr>
                <w:bCs/>
                <w:color w:val="auto"/>
                <w:szCs w:val="21"/>
              </w:rPr>
            </w:pPr>
            <w:r>
              <w:rPr>
                <w:rFonts w:hint="eastAsia"/>
                <w:color w:val="auto"/>
                <w:kern w:val="0"/>
                <w:szCs w:val="21"/>
              </w:rPr>
              <w:t>项目所在区域规划为</w:t>
            </w:r>
            <w:r>
              <w:rPr>
                <w:rFonts w:hint="eastAsia"/>
                <w:color w:val="auto"/>
                <w:kern w:val="0"/>
                <w:szCs w:val="21"/>
                <w:lang w:val="en-US" w:eastAsia="zh-CN"/>
              </w:rPr>
              <w:t>3</w:t>
            </w:r>
            <w:r>
              <w:rPr>
                <w:rFonts w:hint="eastAsia"/>
                <w:color w:val="auto"/>
                <w:kern w:val="0"/>
                <w:szCs w:val="21"/>
              </w:rPr>
              <w:t>类声功能区。根据《宿迁市202</w:t>
            </w:r>
            <w:r>
              <w:rPr>
                <w:rFonts w:hint="eastAsia"/>
                <w:color w:val="auto"/>
                <w:kern w:val="0"/>
                <w:szCs w:val="21"/>
                <w:lang w:val="en-US" w:eastAsia="zh-CN"/>
              </w:rPr>
              <w:t>4</w:t>
            </w:r>
            <w:r>
              <w:rPr>
                <w:rFonts w:hint="eastAsia"/>
                <w:color w:val="auto"/>
                <w:kern w:val="0"/>
                <w:szCs w:val="21"/>
              </w:rPr>
              <w:t>年度生态环境状况公报》，宿迁市功能区声环境昼间测次达标率98.4%，夜间测次达标率94.9%。与2023年年相比，昼间测次达标率上升0.1个百分点、夜间测次达标率上升3.8个百分点。市区功能区声环境昼间测次达标率96.3%，夜间测次达标率88.1%。区域环境噪声昼间平均等效声级54.3分贝，处于二级（较好）水平。道路交通声环境昼间平均等效声级63.7分贝，处于一级（好）水平。</w:t>
            </w:r>
          </w:p>
          <w:p w14:paraId="1FF3E5E4">
            <w:pPr>
              <w:pStyle w:val="10"/>
              <w:spacing w:before="0" w:after="0" w:line="360" w:lineRule="auto"/>
              <w:ind w:right="0" w:firstLine="420" w:firstLineChars="200"/>
              <w:rPr>
                <w:color w:val="auto"/>
                <w:sz w:val="21"/>
                <w:szCs w:val="21"/>
              </w:rPr>
            </w:pPr>
            <w:r>
              <w:rPr>
                <w:rFonts w:hint="eastAsia"/>
                <w:color w:val="auto"/>
                <w:sz w:val="21"/>
                <w:szCs w:val="21"/>
              </w:rPr>
              <w:t>项目厂界外周边50米范围内无声环境保护目标，不需要进行声环境质量监测。</w:t>
            </w:r>
          </w:p>
          <w:p w14:paraId="6AC71658">
            <w:pPr>
              <w:tabs>
                <w:tab w:val="left" w:pos="360"/>
              </w:tabs>
              <w:spacing w:line="360" w:lineRule="auto"/>
              <w:jc w:val="left"/>
              <w:textAlignment w:val="baseline"/>
              <w:rPr>
                <w:b/>
                <w:bCs/>
                <w:color w:val="auto"/>
                <w:szCs w:val="21"/>
              </w:rPr>
            </w:pPr>
            <w:r>
              <w:rPr>
                <w:b/>
                <w:bCs/>
                <w:color w:val="auto"/>
                <w:szCs w:val="21"/>
              </w:rPr>
              <w:t>4、生态环境</w:t>
            </w:r>
            <w:r>
              <w:rPr>
                <w:rFonts w:hint="eastAsia"/>
                <w:b/>
                <w:bCs/>
                <w:color w:val="auto"/>
                <w:szCs w:val="21"/>
              </w:rPr>
              <w:t>质量现状</w:t>
            </w:r>
          </w:p>
          <w:p w14:paraId="72B128D9">
            <w:pPr>
              <w:spacing w:line="360" w:lineRule="auto"/>
              <w:ind w:firstLine="420" w:firstLineChars="200"/>
              <w:rPr>
                <w:b/>
                <w:bCs/>
                <w:color w:val="auto"/>
                <w:szCs w:val="21"/>
              </w:rPr>
            </w:pPr>
            <w:r>
              <w:rPr>
                <w:color w:val="auto"/>
                <w:szCs w:val="21"/>
                <w:lang w:val="zh-CN"/>
              </w:rPr>
              <w:t>本项目</w:t>
            </w:r>
            <w:r>
              <w:rPr>
                <w:color w:val="auto"/>
                <w:szCs w:val="21"/>
              </w:rPr>
              <w:t>位于江苏省泗阳经济开发区</w:t>
            </w:r>
            <w:r>
              <w:rPr>
                <w:rFonts w:hint="eastAsia"/>
                <w:color w:val="auto"/>
                <w:szCs w:val="21"/>
              </w:rPr>
              <w:t>众兴东路282号，</w:t>
            </w:r>
            <w:r>
              <w:rPr>
                <w:color w:val="auto"/>
                <w:szCs w:val="21"/>
              </w:rPr>
              <w:t>用地范围内不含生态环境保护目标</w:t>
            </w:r>
            <w:r>
              <w:rPr>
                <w:color w:val="auto"/>
                <w:szCs w:val="21"/>
                <w:lang w:val="zh-CN"/>
              </w:rPr>
              <w:t>，根据《建设项目环境影响报告表编制技术指南（污染影响类）（试行）》，</w:t>
            </w:r>
            <w:r>
              <w:rPr>
                <w:color w:val="auto"/>
                <w:szCs w:val="21"/>
              </w:rPr>
              <w:t>本项目</w:t>
            </w:r>
            <w:r>
              <w:rPr>
                <w:color w:val="auto"/>
                <w:szCs w:val="21"/>
                <w:lang w:val="zh-CN"/>
              </w:rPr>
              <w:t>不开展生态现状调查。</w:t>
            </w:r>
          </w:p>
          <w:p w14:paraId="117908D7">
            <w:pPr>
              <w:tabs>
                <w:tab w:val="left" w:pos="360"/>
              </w:tabs>
              <w:spacing w:line="360" w:lineRule="auto"/>
              <w:jc w:val="left"/>
              <w:textAlignment w:val="baseline"/>
              <w:rPr>
                <w:b/>
                <w:bCs/>
                <w:color w:val="auto"/>
                <w:szCs w:val="21"/>
              </w:rPr>
            </w:pPr>
            <w:r>
              <w:rPr>
                <w:b/>
                <w:bCs/>
                <w:color w:val="auto"/>
                <w:szCs w:val="21"/>
              </w:rPr>
              <w:t>5、电磁辐</w:t>
            </w:r>
            <w:r>
              <w:rPr>
                <w:rFonts w:hint="eastAsia"/>
                <w:b/>
                <w:bCs/>
                <w:color w:val="auto"/>
                <w:szCs w:val="21"/>
              </w:rPr>
              <w:t>射质量现状</w:t>
            </w:r>
          </w:p>
          <w:p w14:paraId="6B54EB42">
            <w:pPr>
              <w:pStyle w:val="10"/>
              <w:spacing w:before="0" w:after="0" w:line="360" w:lineRule="auto"/>
              <w:ind w:right="0" w:firstLine="420" w:firstLineChars="200"/>
              <w:rPr>
                <w:color w:val="auto"/>
                <w:sz w:val="21"/>
                <w:szCs w:val="22"/>
              </w:rPr>
            </w:pPr>
            <w:r>
              <w:rPr>
                <w:color w:val="auto"/>
                <w:sz w:val="21"/>
                <w:szCs w:val="21"/>
              </w:rPr>
              <w:t>本项目属于</w:t>
            </w:r>
            <w:r>
              <w:rPr>
                <w:rFonts w:hint="eastAsia"/>
                <w:color w:val="auto"/>
                <w:sz w:val="21"/>
                <w:szCs w:val="21"/>
              </w:rPr>
              <w:t>C3055</w:t>
            </w:r>
            <w:r>
              <w:rPr>
                <w:rFonts w:hint="eastAsia" w:ascii="宋体" w:hAnsi="宋体" w:cs="宋体"/>
                <w:color w:val="auto"/>
                <w:sz w:val="21"/>
                <w:szCs w:val="21"/>
              </w:rPr>
              <w:t>玻璃包装容器制造</w:t>
            </w:r>
            <w:r>
              <w:rPr>
                <w:color w:val="auto"/>
                <w:sz w:val="21"/>
                <w:szCs w:val="21"/>
              </w:rPr>
              <w:t>，</w:t>
            </w:r>
            <w:r>
              <w:rPr>
                <w:color w:val="auto"/>
                <w:sz w:val="21"/>
                <w:szCs w:val="22"/>
              </w:rPr>
              <w:t>不</w:t>
            </w:r>
            <w:r>
              <w:rPr>
                <w:rFonts w:hint="eastAsia"/>
                <w:color w:val="auto"/>
                <w:sz w:val="21"/>
                <w:szCs w:val="22"/>
              </w:rPr>
              <w:t>涉及</w:t>
            </w:r>
            <w:r>
              <w:rPr>
                <w:color w:val="auto"/>
                <w:sz w:val="21"/>
                <w:szCs w:val="22"/>
              </w:rPr>
              <w:t>电磁辐射，无需开展辐射现状监测与评价。</w:t>
            </w:r>
          </w:p>
          <w:p w14:paraId="33D223EF">
            <w:pPr>
              <w:tabs>
                <w:tab w:val="left" w:pos="360"/>
              </w:tabs>
              <w:spacing w:line="360" w:lineRule="auto"/>
              <w:jc w:val="left"/>
              <w:textAlignment w:val="baseline"/>
              <w:rPr>
                <w:color w:val="auto"/>
                <w:szCs w:val="21"/>
              </w:rPr>
            </w:pPr>
            <w:r>
              <w:rPr>
                <w:color w:val="auto"/>
                <w:szCs w:val="21"/>
              </w:rPr>
              <w:t>6、</w:t>
            </w:r>
            <w:r>
              <w:rPr>
                <w:b/>
                <w:bCs/>
                <w:color w:val="auto"/>
                <w:szCs w:val="21"/>
              </w:rPr>
              <w:t>地下水、土壤环境</w:t>
            </w:r>
            <w:r>
              <w:rPr>
                <w:rFonts w:hint="eastAsia"/>
                <w:b/>
                <w:bCs/>
                <w:color w:val="auto"/>
                <w:szCs w:val="21"/>
              </w:rPr>
              <w:t>质量现状</w:t>
            </w:r>
          </w:p>
          <w:p w14:paraId="1FB96377">
            <w:pPr>
              <w:spacing w:line="360" w:lineRule="auto"/>
              <w:ind w:firstLine="420" w:firstLineChars="200"/>
              <w:textAlignment w:val="baseline"/>
              <w:rPr>
                <w:color w:val="auto"/>
              </w:rPr>
            </w:pPr>
            <w:r>
              <w:rPr>
                <w:rFonts w:hint="eastAsia"/>
                <w:color w:val="auto"/>
                <w:szCs w:val="21"/>
              </w:rPr>
              <w:t>建设项目污染区包括生产、贮运装置及污染处理设施区，包括化学品库、危废暂存库、</w:t>
            </w:r>
            <w:r>
              <w:rPr>
                <w:rFonts w:hint="eastAsia"/>
                <w:color w:val="auto"/>
                <w:kern w:val="0"/>
                <w:szCs w:val="21"/>
                <w:lang w:bidi="ar"/>
              </w:rPr>
              <w:t>废气处理设施、污水管道</w:t>
            </w:r>
            <w:r>
              <w:rPr>
                <w:rFonts w:hint="eastAsia"/>
                <w:color w:val="auto"/>
                <w:szCs w:val="21"/>
              </w:rPr>
              <w:t>等。根据污染区通过各种途径可能进入地下水环境的各种有毒有害原辅材料、中间物料、“三废”的泄漏量（含跑、冒、滴、漏）及其他各类污染物的性质、产生和排放量，将污染区进一步分为简单防渗区、一般防渗区、重点防渗区。项目采取不同的分区防渗措施后，正常运营状况下可以有效防止地下水、土壤污染，故本项目不开展土壤、地下水环境质量现状调查。</w:t>
            </w:r>
          </w:p>
        </w:tc>
      </w:tr>
      <w:tr w14:paraId="257579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7" w:type="dxa"/>
            <w:vAlign w:val="center"/>
          </w:tcPr>
          <w:p w14:paraId="21ECAABA">
            <w:pPr>
              <w:adjustRightInd w:val="0"/>
              <w:snapToGrid w:val="0"/>
              <w:jc w:val="center"/>
              <w:rPr>
                <w:rFonts w:cs="宋体"/>
                <w:kern w:val="0"/>
                <w:szCs w:val="21"/>
              </w:rPr>
            </w:pPr>
            <w:r>
              <w:rPr>
                <w:rFonts w:hint="eastAsia" w:cs="宋体"/>
                <w:kern w:val="0"/>
                <w:szCs w:val="21"/>
              </w:rPr>
              <w:t>环境保护目标</w:t>
            </w:r>
          </w:p>
        </w:tc>
        <w:tc>
          <w:tcPr>
            <w:tcW w:w="8190" w:type="dxa"/>
            <w:vAlign w:val="center"/>
          </w:tcPr>
          <w:p w14:paraId="0F5E78CA">
            <w:pPr>
              <w:widowControl/>
              <w:spacing w:line="360" w:lineRule="auto"/>
              <w:ind w:firstLine="420" w:firstLineChars="200"/>
              <w:rPr>
                <w:color w:val="000000"/>
                <w:szCs w:val="21"/>
              </w:rPr>
            </w:pPr>
            <w:r>
              <w:rPr>
                <w:rFonts w:hint="eastAsia" w:cs="宋体"/>
                <w:color w:val="000000"/>
                <w:szCs w:val="21"/>
              </w:rPr>
              <w:t>项目东侧、北侧为工业用地，项目南侧为江苏润昌橡胶科技有限公司，项目西侧为江苏智善包装有限公司</w:t>
            </w:r>
            <w:r>
              <w:rPr>
                <w:color w:val="000000"/>
                <w:szCs w:val="21"/>
              </w:rPr>
              <w:t>，项目周边概况详见附图</w:t>
            </w:r>
            <w:r>
              <w:rPr>
                <w:rFonts w:hint="eastAsia"/>
                <w:color w:val="000000"/>
                <w:szCs w:val="21"/>
              </w:rPr>
              <w:t>3。</w:t>
            </w:r>
          </w:p>
          <w:p w14:paraId="364CA158">
            <w:pPr>
              <w:snapToGrid w:val="0"/>
              <w:spacing w:line="360" w:lineRule="auto"/>
              <w:ind w:firstLine="420" w:firstLineChars="200"/>
              <w:rPr>
                <w:color w:val="000000"/>
                <w:szCs w:val="21"/>
              </w:rPr>
            </w:pPr>
            <w:r>
              <w:rPr>
                <w:color w:val="000000"/>
                <w:szCs w:val="21"/>
              </w:rPr>
              <w:t>（1）大气环境</w:t>
            </w:r>
          </w:p>
          <w:p w14:paraId="34D67D25">
            <w:pPr>
              <w:snapToGrid w:val="0"/>
              <w:spacing w:line="360" w:lineRule="auto"/>
              <w:ind w:firstLine="420" w:firstLineChars="200"/>
              <w:rPr>
                <w:color w:val="000000"/>
                <w:szCs w:val="21"/>
              </w:rPr>
            </w:pPr>
            <w:r>
              <w:rPr>
                <w:color w:val="000000"/>
                <w:kern w:val="0"/>
                <w:szCs w:val="21"/>
                <w:lang w:bidi="ar"/>
              </w:rPr>
              <w:t>据现场勘察</w:t>
            </w:r>
            <w:r>
              <w:rPr>
                <w:rFonts w:hint="eastAsia"/>
                <w:color w:val="000000"/>
                <w:szCs w:val="21"/>
              </w:rPr>
              <w:t>，本项目周边500m范围内大气环境保护目标见表3-1和附图3。</w:t>
            </w:r>
          </w:p>
          <w:p w14:paraId="238BB58E">
            <w:pPr>
              <w:snapToGrid w:val="0"/>
              <w:spacing w:before="120" w:beforeLines="50"/>
              <w:jc w:val="center"/>
              <w:rPr>
                <w:b/>
                <w:bCs/>
                <w:color w:val="000000"/>
                <w:szCs w:val="21"/>
              </w:rPr>
            </w:pPr>
            <w:r>
              <w:rPr>
                <w:rFonts w:hint="eastAsia"/>
                <w:b/>
                <w:bCs/>
                <w:color w:val="000000"/>
                <w:szCs w:val="21"/>
              </w:rPr>
              <w:t>表3-1 项目500m范围内环境空气保护目标情况表</w:t>
            </w:r>
          </w:p>
          <w:tbl>
            <w:tblPr>
              <w:tblStyle w:val="3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073"/>
              <w:gridCol w:w="1660"/>
              <w:gridCol w:w="1489"/>
              <w:gridCol w:w="570"/>
              <w:gridCol w:w="718"/>
              <w:gridCol w:w="804"/>
              <w:gridCol w:w="744"/>
              <w:gridCol w:w="916"/>
            </w:tblGrid>
            <w:tr w14:paraId="6D9F38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3" w:type="dxa"/>
                  <w:vMerge w:val="restart"/>
                  <w:vAlign w:val="center"/>
                </w:tcPr>
                <w:p w14:paraId="41C0DC81">
                  <w:pPr>
                    <w:jc w:val="center"/>
                    <w:rPr>
                      <w:b/>
                      <w:bCs/>
                      <w:color w:val="000000"/>
                      <w:szCs w:val="21"/>
                    </w:rPr>
                  </w:pPr>
                  <w:r>
                    <w:rPr>
                      <w:b/>
                      <w:bCs/>
                      <w:color w:val="000000"/>
                      <w:szCs w:val="21"/>
                    </w:rPr>
                    <w:t>名称</w:t>
                  </w:r>
                </w:p>
              </w:tc>
              <w:tc>
                <w:tcPr>
                  <w:tcW w:w="3149" w:type="dxa"/>
                  <w:gridSpan w:val="2"/>
                  <w:vAlign w:val="center"/>
                </w:tcPr>
                <w:p w14:paraId="1ED82B7D">
                  <w:pPr>
                    <w:jc w:val="center"/>
                    <w:rPr>
                      <w:b/>
                      <w:bCs/>
                      <w:color w:val="000000"/>
                      <w:szCs w:val="21"/>
                    </w:rPr>
                  </w:pPr>
                  <w:r>
                    <w:rPr>
                      <w:b/>
                      <w:bCs/>
                      <w:color w:val="000000"/>
                      <w:szCs w:val="21"/>
                    </w:rPr>
                    <w:t>坐标</w:t>
                  </w:r>
                </w:p>
              </w:tc>
              <w:tc>
                <w:tcPr>
                  <w:tcW w:w="570" w:type="dxa"/>
                  <w:vMerge w:val="restart"/>
                  <w:vAlign w:val="center"/>
                </w:tcPr>
                <w:p w14:paraId="66092017">
                  <w:pPr>
                    <w:jc w:val="center"/>
                    <w:rPr>
                      <w:b/>
                      <w:bCs/>
                      <w:color w:val="000000"/>
                      <w:szCs w:val="21"/>
                    </w:rPr>
                  </w:pPr>
                  <w:r>
                    <w:rPr>
                      <w:b/>
                      <w:bCs/>
                      <w:color w:val="000000"/>
                      <w:szCs w:val="21"/>
                    </w:rPr>
                    <w:t>保护对象</w:t>
                  </w:r>
                </w:p>
              </w:tc>
              <w:tc>
                <w:tcPr>
                  <w:tcW w:w="718" w:type="dxa"/>
                  <w:vMerge w:val="restart"/>
                  <w:vAlign w:val="center"/>
                </w:tcPr>
                <w:p w14:paraId="07210FB7">
                  <w:pPr>
                    <w:jc w:val="center"/>
                    <w:rPr>
                      <w:b/>
                      <w:bCs/>
                      <w:color w:val="000000"/>
                      <w:szCs w:val="21"/>
                    </w:rPr>
                  </w:pPr>
                  <w:r>
                    <w:rPr>
                      <w:b/>
                      <w:bCs/>
                      <w:color w:val="000000"/>
                      <w:szCs w:val="21"/>
                    </w:rPr>
                    <w:t>保护</w:t>
                  </w:r>
                </w:p>
                <w:p w14:paraId="1A648E8A">
                  <w:pPr>
                    <w:jc w:val="center"/>
                    <w:rPr>
                      <w:b/>
                      <w:bCs/>
                      <w:color w:val="000000"/>
                      <w:szCs w:val="21"/>
                    </w:rPr>
                  </w:pPr>
                  <w:r>
                    <w:rPr>
                      <w:b/>
                      <w:bCs/>
                      <w:color w:val="000000"/>
                      <w:szCs w:val="21"/>
                    </w:rPr>
                    <w:t>内容</w:t>
                  </w:r>
                </w:p>
              </w:tc>
              <w:tc>
                <w:tcPr>
                  <w:tcW w:w="804" w:type="dxa"/>
                  <w:vMerge w:val="restart"/>
                  <w:vAlign w:val="center"/>
                </w:tcPr>
                <w:p w14:paraId="1EBCFA4F">
                  <w:pPr>
                    <w:jc w:val="center"/>
                    <w:rPr>
                      <w:b/>
                      <w:bCs/>
                      <w:color w:val="000000"/>
                      <w:szCs w:val="21"/>
                    </w:rPr>
                  </w:pPr>
                  <w:r>
                    <w:rPr>
                      <w:b/>
                      <w:bCs/>
                      <w:color w:val="000000"/>
                      <w:szCs w:val="21"/>
                    </w:rPr>
                    <w:t>环境功能区</w:t>
                  </w:r>
                </w:p>
              </w:tc>
              <w:tc>
                <w:tcPr>
                  <w:tcW w:w="744" w:type="dxa"/>
                  <w:vMerge w:val="restart"/>
                  <w:vAlign w:val="center"/>
                </w:tcPr>
                <w:p w14:paraId="52DB68B0">
                  <w:pPr>
                    <w:jc w:val="center"/>
                    <w:rPr>
                      <w:b/>
                      <w:bCs/>
                      <w:color w:val="000000"/>
                      <w:szCs w:val="21"/>
                    </w:rPr>
                  </w:pPr>
                  <w:r>
                    <w:rPr>
                      <w:b/>
                      <w:bCs/>
                      <w:color w:val="000000"/>
                      <w:szCs w:val="21"/>
                    </w:rPr>
                    <w:t>相对厂址方位</w:t>
                  </w:r>
                </w:p>
              </w:tc>
              <w:tc>
                <w:tcPr>
                  <w:tcW w:w="916" w:type="dxa"/>
                  <w:vMerge w:val="restart"/>
                  <w:vAlign w:val="center"/>
                </w:tcPr>
                <w:p w14:paraId="464C066C">
                  <w:pPr>
                    <w:jc w:val="center"/>
                    <w:rPr>
                      <w:b/>
                      <w:bCs/>
                      <w:color w:val="000000"/>
                      <w:szCs w:val="21"/>
                    </w:rPr>
                  </w:pPr>
                  <w:r>
                    <w:rPr>
                      <w:b/>
                      <w:bCs/>
                      <w:color w:val="000000"/>
                      <w:szCs w:val="21"/>
                    </w:rPr>
                    <w:t>相对厂界距离/m</w:t>
                  </w:r>
                </w:p>
              </w:tc>
            </w:tr>
            <w:tr w14:paraId="7A144D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3" w:type="dxa"/>
                  <w:vMerge w:val="continue"/>
                  <w:vAlign w:val="center"/>
                </w:tcPr>
                <w:p w14:paraId="10588258">
                  <w:pPr>
                    <w:jc w:val="center"/>
                    <w:rPr>
                      <w:color w:val="000000"/>
                      <w:szCs w:val="21"/>
                    </w:rPr>
                  </w:pPr>
                </w:p>
              </w:tc>
              <w:tc>
                <w:tcPr>
                  <w:tcW w:w="1660" w:type="dxa"/>
                  <w:vAlign w:val="center"/>
                </w:tcPr>
                <w:p w14:paraId="2E8D2922">
                  <w:pPr>
                    <w:jc w:val="center"/>
                    <w:rPr>
                      <w:b/>
                      <w:bCs/>
                      <w:color w:val="000000"/>
                      <w:szCs w:val="21"/>
                    </w:rPr>
                  </w:pPr>
                  <w:r>
                    <w:rPr>
                      <w:b/>
                      <w:bCs/>
                      <w:color w:val="000000"/>
                      <w:szCs w:val="21"/>
                    </w:rPr>
                    <w:t>X</w:t>
                  </w:r>
                </w:p>
              </w:tc>
              <w:tc>
                <w:tcPr>
                  <w:tcW w:w="1489" w:type="dxa"/>
                  <w:vAlign w:val="center"/>
                </w:tcPr>
                <w:p w14:paraId="786FDBE8">
                  <w:pPr>
                    <w:jc w:val="center"/>
                    <w:rPr>
                      <w:b/>
                      <w:bCs/>
                      <w:color w:val="000000"/>
                      <w:szCs w:val="21"/>
                    </w:rPr>
                  </w:pPr>
                  <w:r>
                    <w:rPr>
                      <w:b/>
                      <w:bCs/>
                      <w:color w:val="000000"/>
                      <w:szCs w:val="21"/>
                    </w:rPr>
                    <w:t>Y</w:t>
                  </w:r>
                </w:p>
              </w:tc>
              <w:tc>
                <w:tcPr>
                  <w:tcW w:w="570" w:type="dxa"/>
                  <w:vMerge w:val="continue"/>
                  <w:vAlign w:val="center"/>
                </w:tcPr>
                <w:p w14:paraId="76545C52">
                  <w:pPr>
                    <w:jc w:val="center"/>
                    <w:rPr>
                      <w:color w:val="000000"/>
                      <w:szCs w:val="21"/>
                    </w:rPr>
                  </w:pPr>
                </w:p>
              </w:tc>
              <w:tc>
                <w:tcPr>
                  <w:tcW w:w="718" w:type="dxa"/>
                  <w:vMerge w:val="continue"/>
                  <w:vAlign w:val="center"/>
                </w:tcPr>
                <w:p w14:paraId="1D66BE89">
                  <w:pPr>
                    <w:jc w:val="center"/>
                    <w:rPr>
                      <w:color w:val="000000"/>
                      <w:szCs w:val="21"/>
                    </w:rPr>
                  </w:pPr>
                </w:p>
              </w:tc>
              <w:tc>
                <w:tcPr>
                  <w:tcW w:w="804" w:type="dxa"/>
                  <w:vMerge w:val="continue"/>
                  <w:vAlign w:val="center"/>
                </w:tcPr>
                <w:p w14:paraId="09A85448">
                  <w:pPr>
                    <w:jc w:val="center"/>
                    <w:rPr>
                      <w:color w:val="000000"/>
                      <w:szCs w:val="21"/>
                    </w:rPr>
                  </w:pPr>
                </w:p>
              </w:tc>
              <w:tc>
                <w:tcPr>
                  <w:tcW w:w="744" w:type="dxa"/>
                  <w:vMerge w:val="continue"/>
                  <w:vAlign w:val="center"/>
                </w:tcPr>
                <w:p w14:paraId="19B5FEB6">
                  <w:pPr>
                    <w:jc w:val="center"/>
                    <w:rPr>
                      <w:color w:val="000000"/>
                      <w:szCs w:val="21"/>
                    </w:rPr>
                  </w:pPr>
                </w:p>
              </w:tc>
              <w:tc>
                <w:tcPr>
                  <w:tcW w:w="916" w:type="dxa"/>
                  <w:vMerge w:val="continue"/>
                  <w:vAlign w:val="center"/>
                </w:tcPr>
                <w:p w14:paraId="75F95A90">
                  <w:pPr>
                    <w:jc w:val="center"/>
                    <w:rPr>
                      <w:color w:val="000000"/>
                      <w:szCs w:val="21"/>
                    </w:rPr>
                  </w:pPr>
                </w:p>
              </w:tc>
            </w:tr>
            <w:tr w14:paraId="588F0B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3" w:type="dxa"/>
                  <w:vAlign w:val="center"/>
                </w:tcPr>
                <w:p w14:paraId="77E79C01">
                  <w:pPr>
                    <w:jc w:val="center"/>
                    <w:rPr>
                      <w:color w:val="000000"/>
                      <w:szCs w:val="21"/>
                    </w:rPr>
                  </w:pPr>
                  <w:r>
                    <w:rPr>
                      <w:rFonts w:hint="eastAsia"/>
                      <w:kern w:val="0"/>
                      <w:szCs w:val="21"/>
                    </w:rPr>
                    <w:t>来安村</w:t>
                  </w:r>
                </w:p>
              </w:tc>
              <w:tc>
                <w:tcPr>
                  <w:tcW w:w="1660" w:type="dxa"/>
                  <w:vAlign w:val="center"/>
                </w:tcPr>
                <w:p w14:paraId="0B58C262">
                  <w:pPr>
                    <w:pStyle w:val="27"/>
                    <w:widowControl w:val="0"/>
                    <w:wordWrap w:val="0"/>
                    <w:topLinePunct/>
                    <w:adjustRightInd w:val="0"/>
                    <w:snapToGrid w:val="0"/>
                    <w:spacing w:before="0" w:beforeAutospacing="0" w:after="0" w:afterAutospacing="0"/>
                    <w:jc w:val="center"/>
                    <w:rPr>
                      <w:rFonts w:ascii="Times New Roman" w:hAnsi="Times New Roman"/>
                      <w:color w:val="000000"/>
                      <w:sz w:val="21"/>
                      <w:szCs w:val="21"/>
                    </w:rPr>
                  </w:pPr>
                  <w:r>
                    <w:rPr>
                      <w:rFonts w:hint="eastAsia" w:ascii="Times New Roman" w:hAnsi="Times New Roman"/>
                      <w:sz w:val="21"/>
                      <w:szCs w:val="21"/>
                    </w:rPr>
                    <w:t>118.769237</w:t>
                  </w:r>
                </w:p>
              </w:tc>
              <w:tc>
                <w:tcPr>
                  <w:tcW w:w="1489" w:type="dxa"/>
                  <w:vAlign w:val="center"/>
                </w:tcPr>
                <w:p w14:paraId="6725F25B">
                  <w:pPr>
                    <w:pStyle w:val="27"/>
                    <w:widowControl w:val="0"/>
                    <w:wordWrap w:val="0"/>
                    <w:topLinePunct/>
                    <w:adjustRightInd w:val="0"/>
                    <w:snapToGrid w:val="0"/>
                    <w:spacing w:before="0" w:beforeAutospacing="0" w:after="0" w:afterAutospacing="0"/>
                    <w:jc w:val="center"/>
                    <w:rPr>
                      <w:rFonts w:ascii="Times New Roman" w:hAnsi="Times New Roman"/>
                      <w:color w:val="000000"/>
                      <w:sz w:val="21"/>
                      <w:szCs w:val="21"/>
                    </w:rPr>
                  </w:pPr>
                  <w:r>
                    <w:rPr>
                      <w:rFonts w:hint="eastAsia" w:ascii="Times New Roman" w:hAnsi="Times New Roman"/>
                      <w:sz w:val="21"/>
                      <w:szCs w:val="21"/>
                    </w:rPr>
                    <w:t>33.699869</w:t>
                  </w:r>
                </w:p>
              </w:tc>
              <w:tc>
                <w:tcPr>
                  <w:tcW w:w="570" w:type="dxa"/>
                  <w:vAlign w:val="center"/>
                </w:tcPr>
                <w:p w14:paraId="35CF7536">
                  <w:pPr>
                    <w:jc w:val="center"/>
                    <w:rPr>
                      <w:color w:val="000000"/>
                      <w:szCs w:val="21"/>
                    </w:rPr>
                  </w:pPr>
                  <w:r>
                    <w:rPr>
                      <w:color w:val="000000"/>
                      <w:szCs w:val="21"/>
                    </w:rPr>
                    <w:t>居民</w:t>
                  </w:r>
                </w:p>
              </w:tc>
              <w:tc>
                <w:tcPr>
                  <w:tcW w:w="718" w:type="dxa"/>
                  <w:vAlign w:val="center"/>
                </w:tcPr>
                <w:p w14:paraId="72D05E86">
                  <w:pPr>
                    <w:jc w:val="center"/>
                    <w:rPr>
                      <w:color w:val="000000"/>
                      <w:szCs w:val="21"/>
                    </w:rPr>
                  </w:pPr>
                  <w:r>
                    <w:rPr>
                      <w:rFonts w:hint="eastAsia"/>
                      <w:color w:val="000000"/>
                      <w:szCs w:val="21"/>
                    </w:rPr>
                    <w:t>3986人</w:t>
                  </w:r>
                </w:p>
              </w:tc>
              <w:tc>
                <w:tcPr>
                  <w:tcW w:w="804" w:type="dxa"/>
                  <w:vAlign w:val="center"/>
                </w:tcPr>
                <w:p w14:paraId="3EC72694">
                  <w:pPr>
                    <w:jc w:val="center"/>
                    <w:rPr>
                      <w:color w:val="000000"/>
                      <w:szCs w:val="21"/>
                    </w:rPr>
                  </w:pPr>
                  <w:r>
                    <w:rPr>
                      <w:bCs/>
                      <w:color w:val="000000"/>
                      <w:szCs w:val="21"/>
                    </w:rPr>
                    <w:t>二类区</w:t>
                  </w:r>
                </w:p>
              </w:tc>
              <w:tc>
                <w:tcPr>
                  <w:tcW w:w="744" w:type="dxa"/>
                  <w:vAlign w:val="center"/>
                </w:tcPr>
                <w:p w14:paraId="791FC4D1">
                  <w:pPr>
                    <w:jc w:val="center"/>
                    <w:rPr>
                      <w:rFonts w:hint="default" w:eastAsia="宋体"/>
                      <w:color w:val="000000"/>
                      <w:szCs w:val="21"/>
                      <w:lang w:val="en-US" w:eastAsia="zh-CN"/>
                    </w:rPr>
                  </w:pPr>
                  <w:r>
                    <w:rPr>
                      <w:rFonts w:hint="eastAsia"/>
                      <w:spacing w:val="2"/>
                      <w:szCs w:val="21"/>
                      <w:lang w:val="en-US" w:eastAsia="zh-CN"/>
                    </w:rPr>
                    <w:t>NE</w:t>
                  </w:r>
                </w:p>
              </w:tc>
              <w:tc>
                <w:tcPr>
                  <w:tcW w:w="916" w:type="dxa"/>
                  <w:vAlign w:val="center"/>
                </w:tcPr>
                <w:p w14:paraId="52CE89F3">
                  <w:pPr>
                    <w:jc w:val="center"/>
                    <w:rPr>
                      <w:color w:val="000000"/>
                      <w:szCs w:val="21"/>
                    </w:rPr>
                  </w:pPr>
                  <w:r>
                    <w:rPr>
                      <w:rFonts w:hint="eastAsia"/>
                      <w:bCs/>
                      <w:color w:val="000000"/>
                      <w:szCs w:val="21"/>
                    </w:rPr>
                    <w:t>478</w:t>
                  </w:r>
                </w:p>
              </w:tc>
            </w:tr>
            <w:tr w14:paraId="493C74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73" w:type="dxa"/>
                  <w:vAlign w:val="center"/>
                </w:tcPr>
                <w:p w14:paraId="02AE11F4">
                  <w:pPr>
                    <w:jc w:val="center"/>
                    <w:rPr>
                      <w:spacing w:val="7"/>
                      <w:szCs w:val="21"/>
                    </w:rPr>
                  </w:pPr>
                  <w:r>
                    <w:rPr>
                      <w:rFonts w:hint="eastAsia"/>
                      <w:spacing w:val="7"/>
                      <w:szCs w:val="21"/>
                    </w:rPr>
                    <w:t>江庄</w:t>
                  </w:r>
                </w:p>
              </w:tc>
              <w:tc>
                <w:tcPr>
                  <w:tcW w:w="1660" w:type="dxa"/>
                  <w:vAlign w:val="center"/>
                </w:tcPr>
                <w:p w14:paraId="6AF3705D">
                  <w:pPr>
                    <w:pStyle w:val="27"/>
                    <w:widowControl w:val="0"/>
                    <w:wordWrap w:val="0"/>
                    <w:topLinePunct/>
                    <w:adjustRightInd w:val="0"/>
                    <w:snapToGrid w:val="0"/>
                    <w:spacing w:before="0" w:beforeAutospacing="0" w:after="0" w:afterAutospacing="0"/>
                    <w:jc w:val="center"/>
                    <w:rPr>
                      <w:rFonts w:ascii="Times New Roman" w:hAnsi="Times New Roman"/>
                      <w:sz w:val="21"/>
                      <w:szCs w:val="21"/>
                    </w:rPr>
                  </w:pPr>
                  <w:r>
                    <w:rPr>
                      <w:rFonts w:hint="eastAsia" w:ascii="Times New Roman" w:hAnsi="Times New Roman"/>
                      <w:sz w:val="21"/>
                      <w:szCs w:val="21"/>
                    </w:rPr>
                    <w:t>118.769237</w:t>
                  </w:r>
                </w:p>
              </w:tc>
              <w:tc>
                <w:tcPr>
                  <w:tcW w:w="1489" w:type="dxa"/>
                  <w:vAlign w:val="center"/>
                </w:tcPr>
                <w:p w14:paraId="182A9EDE">
                  <w:pPr>
                    <w:pStyle w:val="27"/>
                    <w:widowControl w:val="0"/>
                    <w:wordWrap w:val="0"/>
                    <w:topLinePunct/>
                    <w:adjustRightInd w:val="0"/>
                    <w:snapToGrid w:val="0"/>
                    <w:spacing w:before="0" w:beforeAutospacing="0" w:after="0" w:afterAutospacing="0"/>
                    <w:jc w:val="center"/>
                    <w:rPr>
                      <w:rFonts w:ascii="Times New Roman" w:hAnsi="Times New Roman"/>
                      <w:sz w:val="21"/>
                      <w:szCs w:val="21"/>
                    </w:rPr>
                  </w:pPr>
                  <w:r>
                    <w:rPr>
                      <w:rFonts w:hint="eastAsia" w:ascii="Times New Roman" w:hAnsi="Times New Roman"/>
                      <w:sz w:val="21"/>
                      <w:szCs w:val="21"/>
                    </w:rPr>
                    <w:t>33.701757</w:t>
                  </w:r>
                </w:p>
              </w:tc>
              <w:tc>
                <w:tcPr>
                  <w:tcW w:w="570" w:type="dxa"/>
                  <w:vAlign w:val="center"/>
                </w:tcPr>
                <w:p w14:paraId="361D779A">
                  <w:pPr>
                    <w:jc w:val="center"/>
                    <w:rPr>
                      <w:color w:val="000000"/>
                      <w:szCs w:val="21"/>
                    </w:rPr>
                  </w:pPr>
                  <w:r>
                    <w:rPr>
                      <w:color w:val="000000"/>
                      <w:szCs w:val="21"/>
                    </w:rPr>
                    <w:t>居民</w:t>
                  </w:r>
                </w:p>
              </w:tc>
              <w:tc>
                <w:tcPr>
                  <w:tcW w:w="718" w:type="dxa"/>
                  <w:vAlign w:val="center"/>
                </w:tcPr>
                <w:p w14:paraId="23821754">
                  <w:pPr>
                    <w:jc w:val="center"/>
                    <w:rPr>
                      <w:color w:val="000000"/>
                      <w:szCs w:val="21"/>
                    </w:rPr>
                  </w:pPr>
                  <w:r>
                    <w:rPr>
                      <w:rFonts w:hint="eastAsia"/>
                      <w:color w:val="000000"/>
                      <w:szCs w:val="21"/>
                    </w:rPr>
                    <w:t>32人</w:t>
                  </w:r>
                </w:p>
              </w:tc>
              <w:tc>
                <w:tcPr>
                  <w:tcW w:w="804" w:type="dxa"/>
                  <w:vAlign w:val="center"/>
                </w:tcPr>
                <w:p w14:paraId="50C5B6D3">
                  <w:pPr>
                    <w:jc w:val="center"/>
                    <w:rPr>
                      <w:bCs/>
                      <w:color w:val="000000"/>
                      <w:szCs w:val="21"/>
                    </w:rPr>
                  </w:pPr>
                  <w:r>
                    <w:rPr>
                      <w:bCs/>
                      <w:color w:val="000000"/>
                      <w:szCs w:val="21"/>
                    </w:rPr>
                    <w:t>二类区</w:t>
                  </w:r>
                </w:p>
              </w:tc>
              <w:tc>
                <w:tcPr>
                  <w:tcW w:w="744" w:type="dxa"/>
                  <w:vAlign w:val="center"/>
                </w:tcPr>
                <w:p w14:paraId="4C03972A">
                  <w:pPr>
                    <w:jc w:val="center"/>
                    <w:rPr>
                      <w:rFonts w:hint="eastAsia" w:eastAsia="宋体"/>
                      <w:spacing w:val="2"/>
                      <w:szCs w:val="21"/>
                      <w:lang w:eastAsia="zh-CN"/>
                    </w:rPr>
                  </w:pPr>
                  <w:r>
                    <w:rPr>
                      <w:rFonts w:hint="eastAsia"/>
                      <w:spacing w:val="2"/>
                      <w:szCs w:val="21"/>
                      <w:lang w:val="en-US" w:eastAsia="zh-CN"/>
                    </w:rPr>
                    <w:t>N</w:t>
                  </w:r>
                </w:p>
              </w:tc>
              <w:tc>
                <w:tcPr>
                  <w:tcW w:w="916" w:type="dxa"/>
                  <w:vAlign w:val="center"/>
                </w:tcPr>
                <w:p w14:paraId="40CB1048">
                  <w:pPr>
                    <w:jc w:val="center"/>
                    <w:rPr>
                      <w:bCs/>
                      <w:color w:val="000000"/>
                      <w:szCs w:val="21"/>
                    </w:rPr>
                  </w:pPr>
                  <w:r>
                    <w:rPr>
                      <w:rFonts w:hint="eastAsia"/>
                      <w:bCs/>
                      <w:color w:val="000000"/>
                      <w:szCs w:val="21"/>
                    </w:rPr>
                    <w:t>470</w:t>
                  </w:r>
                </w:p>
              </w:tc>
            </w:tr>
          </w:tbl>
          <w:p w14:paraId="2F5A6DE3">
            <w:pPr>
              <w:snapToGrid w:val="0"/>
              <w:spacing w:before="120" w:beforeLines="50" w:line="360" w:lineRule="auto"/>
              <w:ind w:firstLine="420" w:firstLineChars="200"/>
              <w:rPr>
                <w:color w:val="000000"/>
                <w:szCs w:val="21"/>
              </w:rPr>
            </w:pPr>
            <w:r>
              <w:rPr>
                <w:color w:val="000000"/>
                <w:szCs w:val="21"/>
              </w:rPr>
              <w:t>（2）声环境</w:t>
            </w:r>
          </w:p>
          <w:p w14:paraId="3B366FE3">
            <w:pPr>
              <w:snapToGrid w:val="0"/>
              <w:spacing w:line="360" w:lineRule="auto"/>
              <w:ind w:firstLine="420" w:firstLineChars="200"/>
              <w:rPr>
                <w:color w:val="000000"/>
                <w:szCs w:val="21"/>
              </w:rPr>
            </w:pPr>
            <w:r>
              <w:rPr>
                <w:color w:val="000000"/>
                <w:szCs w:val="21"/>
              </w:rPr>
              <w:t>本项目厂界外50米范围内无声环境保护目标。</w:t>
            </w:r>
          </w:p>
          <w:p w14:paraId="326F29D0">
            <w:pPr>
              <w:snapToGrid w:val="0"/>
              <w:spacing w:line="360" w:lineRule="auto"/>
              <w:ind w:firstLine="420" w:firstLineChars="200"/>
              <w:rPr>
                <w:color w:val="000000"/>
                <w:szCs w:val="21"/>
              </w:rPr>
            </w:pPr>
            <w:r>
              <w:rPr>
                <w:color w:val="000000"/>
                <w:szCs w:val="21"/>
              </w:rPr>
              <w:t>（3）</w:t>
            </w:r>
            <w:r>
              <w:rPr>
                <w:rFonts w:hint="eastAsia"/>
                <w:color w:val="000000"/>
                <w:szCs w:val="21"/>
              </w:rPr>
              <w:t>地表水环境</w:t>
            </w:r>
          </w:p>
          <w:p w14:paraId="6DA3DBF0">
            <w:pPr>
              <w:pStyle w:val="8"/>
              <w:spacing w:line="360" w:lineRule="auto"/>
              <w:ind w:firstLine="420" w:firstLineChars="200"/>
              <w:jc w:val="both"/>
              <w:rPr>
                <w:color w:val="000000"/>
                <w:sz w:val="21"/>
                <w:szCs w:val="21"/>
              </w:rPr>
            </w:pPr>
            <w:r>
              <w:rPr>
                <w:rFonts w:hint="eastAsia"/>
                <w:color w:val="000000"/>
                <w:sz w:val="21"/>
                <w:szCs w:val="21"/>
              </w:rPr>
              <w:t>淮泗</w:t>
            </w:r>
            <w:r>
              <w:rPr>
                <w:color w:val="000000"/>
                <w:sz w:val="21"/>
                <w:szCs w:val="21"/>
              </w:rPr>
              <w:t>河位于项目</w:t>
            </w:r>
            <w:r>
              <w:rPr>
                <w:rFonts w:hint="eastAsia"/>
                <w:color w:val="000000"/>
                <w:sz w:val="21"/>
                <w:szCs w:val="21"/>
              </w:rPr>
              <w:t>东</w:t>
            </w:r>
            <w:r>
              <w:rPr>
                <w:color w:val="000000"/>
                <w:sz w:val="21"/>
                <w:szCs w:val="21"/>
              </w:rPr>
              <w:t>侧，距离约为</w:t>
            </w:r>
            <w:r>
              <w:rPr>
                <w:rFonts w:hint="eastAsia"/>
                <w:color w:val="000000"/>
                <w:sz w:val="21"/>
                <w:szCs w:val="21"/>
              </w:rPr>
              <w:t>1.9k</w:t>
            </w:r>
            <w:r>
              <w:rPr>
                <w:color w:val="000000"/>
                <w:sz w:val="21"/>
                <w:szCs w:val="21"/>
              </w:rPr>
              <w:t>m，地表水</w:t>
            </w:r>
            <w:r>
              <w:rPr>
                <w:color w:val="000000"/>
                <w:sz w:val="21"/>
                <w:szCs w:val="21"/>
                <w:lang w:bidi="ar"/>
              </w:rPr>
              <w:t>Ⅲ</w:t>
            </w:r>
            <w:r>
              <w:rPr>
                <w:color w:val="000000"/>
                <w:sz w:val="21"/>
                <w:szCs w:val="21"/>
              </w:rPr>
              <w:t>类水体，执行《地表水环境质量标准》（GB3838-2002）</w:t>
            </w:r>
            <w:r>
              <w:rPr>
                <w:color w:val="000000"/>
                <w:sz w:val="21"/>
                <w:szCs w:val="21"/>
                <w:lang w:bidi="ar"/>
              </w:rPr>
              <w:t>Ⅲ</w:t>
            </w:r>
            <w:r>
              <w:rPr>
                <w:color w:val="000000"/>
                <w:sz w:val="21"/>
                <w:szCs w:val="21"/>
              </w:rPr>
              <w:t>类标准。</w:t>
            </w:r>
          </w:p>
          <w:p w14:paraId="42397C0D">
            <w:pPr>
              <w:snapToGrid w:val="0"/>
              <w:spacing w:line="360" w:lineRule="auto"/>
              <w:ind w:firstLine="420" w:firstLineChars="200"/>
              <w:rPr>
                <w:color w:val="000000"/>
                <w:szCs w:val="21"/>
              </w:rPr>
            </w:pPr>
            <w:r>
              <w:rPr>
                <w:color w:val="000000"/>
                <w:szCs w:val="21"/>
              </w:rPr>
              <w:t>（4）</w:t>
            </w:r>
            <w:r>
              <w:rPr>
                <w:rFonts w:hint="eastAsia"/>
                <w:color w:val="000000"/>
                <w:szCs w:val="21"/>
              </w:rPr>
              <w:t>地下水环境</w:t>
            </w:r>
          </w:p>
          <w:p w14:paraId="3258CDEC">
            <w:pPr>
              <w:snapToGrid w:val="0"/>
              <w:spacing w:line="360" w:lineRule="auto"/>
              <w:ind w:firstLine="420" w:firstLineChars="200"/>
              <w:rPr>
                <w:color w:val="000000"/>
                <w:szCs w:val="21"/>
              </w:rPr>
            </w:pPr>
            <w:r>
              <w:rPr>
                <w:color w:val="000000"/>
                <w:szCs w:val="21"/>
              </w:rPr>
              <w:t>本项目厂界外500米范围内无地下水集中式饮用水水源和热水、矿泉水、温泉等特殊地下水资源。</w:t>
            </w:r>
          </w:p>
          <w:p w14:paraId="13E0B05A">
            <w:pPr>
              <w:snapToGrid w:val="0"/>
              <w:spacing w:line="360" w:lineRule="auto"/>
              <w:ind w:firstLine="420" w:firstLineChars="200"/>
              <w:rPr>
                <w:color w:val="000000"/>
                <w:szCs w:val="21"/>
              </w:rPr>
            </w:pPr>
            <w:r>
              <w:rPr>
                <w:color w:val="000000"/>
                <w:szCs w:val="21"/>
              </w:rPr>
              <w:t>（5）生态环境</w:t>
            </w:r>
          </w:p>
          <w:p w14:paraId="2DDA2977">
            <w:pPr>
              <w:spacing w:line="360" w:lineRule="auto"/>
              <w:ind w:firstLine="420" w:firstLineChars="200"/>
              <w:textAlignment w:val="baseline"/>
              <w:rPr>
                <w:szCs w:val="21"/>
              </w:rPr>
            </w:pPr>
            <w:r>
              <w:rPr>
                <w:color w:val="000000"/>
                <w:szCs w:val="21"/>
              </w:rPr>
              <w:t>本项目</w:t>
            </w:r>
            <w:r>
              <w:rPr>
                <w:rFonts w:hint="eastAsia"/>
                <w:color w:val="000000"/>
                <w:szCs w:val="21"/>
              </w:rPr>
              <w:t>位于江苏</w:t>
            </w:r>
            <w:r>
              <w:rPr>
                <w:rFonts w:hint="eastAsia"/>
                <w:color w:val="000000"/>
              </w:rPr>
              <w:t>泗阳经济开发区内</w:t>
            </w:r>
            <w:r>
              <w:rPr>
                <w:rFonts w:hint="eastAsia"/>
                <w:color w:val="000000"/>
                <w:szCs w:val="21"/>
              </w:rPr>
              <w:t>，无生态环境保护目标</w:t>
            </w:r>
          </w:p>
        </w:tc>
      </w:tr>
      <w:tr w14:paraId="78BFCB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7" w:type="dxa"/>
            <w:vAlign w:val="center"/>
          </w:tcPr>
          <w:p w14:paraId="26C795DD">
            <w:pPr>
              <w:adjustRightInd w:val="0"/>
              <w:snapToGrid w:val="0"/>
              <w:jc w:val="center"/>
              <w:rPr>
                <w:rFonts w:cs="宋体"/>
                <w:kern w:val="0"/>
                <w:szCs w:val="21"/>
              </w:rPr>
            </w:pPr>
            <w:r>
              <w:rPr>
                <w:rFonts w:hint="eastAsia" w:ascii="宋体" w:hAnsi="宋体" w:cs="宋体"/>
                <w:color w:val="000000"/>
                <w:kern w:val="0"/>
                <w:szCs w:val="21"/>
              </w:rPr>
              <w:t>污染物排放控制标准</w:t>
            </w:r>
          </w:p>
        </w:tc>
        <w:tc>
          <w:tcPr>
            <w:tcW w:w="8190" w:type="dxa"/>
          </w:tcPr>
          <w:p w14:paraId="51CD159A">
            <w:pPr>
              <w:numPr>
                <w:ilvl w:val="0"/>
                <w:numId w:val="0"/>
              </w:numPr>
              <w:adjustRightInd w:val="0"/>
              <w:snapToGrid w:val="0"/>
              <w:spacing w:line="360" w:lineRule="auto"/>
              <w:rPr>
                <w:b/>
                <w:bCs/>
                <w:color w:val="auto"/>
              </w:rPr>
            </w:pPr>
            <w:r>
              <w:rPr>
                <w:rFonts w:hint="default" w:ascii="Times New Roman" w:hAnsi="Times New Roman" w:eastAsia="宋体" w:cs="Times New Roman"/>
                <w:b/>
                <w:bCs/>
                <w:color w:val="auto"/>
                <w:kern w:val="2"/>
                <w:sz w:val="21"/>
                <w:szCs w:val="21"/>
                <w:lang w:val="en-US" w:eastAsia="zh-CN" w:bidi="ar-SA"/>
              </w:rPr>
              <w:t>1、</w:t>
            </w:r>
            <w:r>
              <w:rPr>
                <w:rFonts w:hint="eastAsia"/>
                <w:b/>
                <w:bCs/>
                <w:color w:val="auto"/>
              </w:rPr>
              <w:t>大气污染物排放标准</w:t>
            </w:r>
          </w:p>
          <w:p w14:paraId="43C29860">
            <w:pPr>
              <w:spacing w:line="360" w:lineRule="auto"/>
              <w:ind w:firstLine="420" w:firstLineChars="200"/>
              <w:rPr>
                <w:b/>
                <w:color w:val="auto"/>
              </w:rPr>
            </w:pPr>
            <w:r>
              <w:rPr>
                <w:color w:val="auto"/>
                <w:szCs w:val="21"/>
              </w:rPr>
              <w:t>本项目</w:t>
            </w:r>
            <w:r>
              <w:rPr>
                <w:rFonts w:hint="eastAsia"/>
                <w:color w:val="auto"/>
                <w:szCs w:val="21"/>
                <w:lang w:val="en-US" w:eastAsia="zh-CN"/>
              </w:rPr>
              <w:t>3#厂房直印工序产生的挥发性有机废气收集后通过现有排气筒DA002排放，非甲烷总烃有组织排放浓度和排放速率从严执行《印刷工业大气污染物排放标准》（DB32/4438-2022）相关标准要求，4#厂房直印工序产生的有机废气执行《印刷工业大气污染物排放标准》（DB32/4438-2022）相关标准要求；项目</w:t>
            </w:r>
            <w:r>
              <w:rPr>
                <w:rFonts w:hint="eastAsia"/>
                <w:color w:val="auto"/>
                <w:szCs w:val="21"/>
              </w:rPr>
              <w:t>产生的VOCs</w:t>
            </w:r>
            <w:r>
              <w:rPr>
                <w:color w:val="auto"/>
                <w:szCs w:val="21"/>
              </w:rPr>
              <w:t>无组织排放执行江苏省地方标准《大气污染物综合排放标准》（DB32/4041-2021）表3</w:t>
            </w:r>
            <w:r>
              <w:rPr>
                <w:rFonts w:hint="eastAsia"/>
                <w:color w:val="auto"/>
                <w:szCs w:val="21"/>
              </w:rPr>
              <w:t>中非甲烷总烃</w:t>
            </w:r>
            <w:r>
              <w:rPr>
                <w:color w:val="auto"/>
                <w:szCs w:val="21"/>
              </w:rPr>
              <w:t>相关标准</w:t>
            </w:r>
            <w:r>
              <w:rPr>
                <w:rFonts w:hint="eastAsia"/>
                <w:color w:val="auto"/>
                <w:szCs w:val="21"/>
                <w:lang w:eastAsia="zh-CN"/>
              </w:rPr>
              <w:t>；</w:t>
            </w:r>
            <w:r>
              <w:rPr>
                <w:color w:val="auto"/>
                <w:szCs w:val="21"/>
              </w:rPr>
              <w:t>厂区内厂房外无组织</w:t>
            </w:r>
            <w:r>
              <w:rPr>
                <w:bCs/>
                <w:color w:val="auto"/>
                <w:szCs w:val="21"/>
              </w:rPr>
              <w:t>VOCs（以非甲烷总烃计）排放</w:t>
            </w:r>
            <w:r>
              <w:rPr>
                <w:rFonts w:hint="eastAsia"/>
                <w:bCs/>
                <w:color w:val="auto"/>
                <w:szCs w:val="21"/>
                <w:lang w:val="en-US" w:eastAsia="zh-CN"/>
              </w:rPr>
              <w:t>从严</w:t>
            </w:r>
            <w:r>
              <w:rPr>
                <w:bCs/>
                <w:color w:val="auto"/>
                <w:szCs w:val="21"/>
              </w:rPr>
              <w:t>执行</w:t>
            </w:r>
            <w:r>
              <w:rPr>
                <w:color w:val="auto"/>
                <w:szCs w:val="21"/>
              </w:rPr>
              <w:t>《</w:t>
            </w:r>
            <w:r>
              <w:rPr>
                <w:rFonts w:hint="eastAsia"/>
                <w:color w:val="auto"/>
                <w:szCs w:val="21"/>
                <w:lang w:val="en-US" w:eastAsia="zh-CN"/>
              </w:rPr>
              <w:t>玻璃工业</w:t>
            </w:r>
            <w:r>
              <w:rPr>
                <w:color w:val="auto"/>
                <w:szCs w:val="21"/>
              </w:rPr>
              <w:t>大气污染物排放标准》（</w:t>
            </w:r>
            <w:r>
              <w:rPr>
                <w:rFonts w:hint="eastAsia"/>
                <w:color w:val="auto"/>
                <w:szCs w:val="21"/>
                <w:lang w:val="en-US" w:eastAsia="zh-CN"/>
              </w:rPr>
              <w:t>GB26453-2022</w:t>
            </w:r>
            <w:r>
              <w:rPr>
                <w:color w:val="auto"/>
                <w:szCs w:val="21"/>
              </w:rPr>
              <w:t>）</w:t>
            </w:r>
            <w:r>
              <w:rPr>
                <w:rFonts w:hint="eastAsia"/>
                <w:color w:val="auto"/>
                <w:szCs w:val="21"/>
                <w:lang w:val="en-US" w:eastAsia="zh-CN"/>
              </w:rPr>
              <w:t>表B.1中</w:t>
            </w:r>
            <w:r>
              <w:rPr>
                <w:color w:val="auto"/>
                <w:szCs w:val="21"/>
              </w:rPr>
              <w:t>限值</w:t>
            </w:r>
            <w:r>
              <w:rPr>
                <w:rFonts w:hint="eastAsia"/>
                <w:color w:val="auto"/>
                <w:szCs w:val="21"/>
                <w:lang w:val="en-US" w:eastAsia="zh-CN"/>
              </w:rPr>
              <w:t>要求</w:t>
            </w:r>
            <w:r>
              <w:rPr>
                <w:rFonts w:hint="eastAsia"/>
                <w:color w:val="auto"/>
                <w:szCs w:val="21"/>
                <w:lang w:eastAsia="zh-CN"/>
              </w:rPr>
              <w:t>。</w:t>
            </w:r>
            <w:r>
              <w:rPr>
                <w:color w:val="auto"/>
                <w:szCs w:val="21"/>
              </w:rPr>
              <w:t>具体见表3-</w:t>
            </w:r>
            <w:r>
              <w:rPr>
                <w:rFonts w:hint="eastAsia"/>
                <w:color w:val="auto"/>
                <w:szCs w:val="21"/>
              </w:rPr>
              <w:t>2</w:t>
            </w:r>
            <w:r>
              <w:rPr>
                <w:rFonts w:hint="eastAsia"/>
                <w:color w:val="auto"/>
                <w:szCs w:val="21"/>
                <w:lang w:eastAsia="zh-CN"/>
              </w:rPr>
              <w:t>、</w:t>
            </w:r>
            <w:r>
              <w:rPr>
                <w:rFonts w:hint="eastAsia"/>
                <w:color w:val="auto"/>
                <w:szCs w:val="21"/>
                <w:lang w:val="en-US" w:eastAsia="zh-CN"/>
              </w:rPr>
              <w:t>3-3</w:t>
            </w:r>
            <w:r>
              <w:rPr>
                <w:color w:val="auto"/>
                <w:szCs w:val="21"/>
              </w:rPr>
              <w:t>。</w:t>
            </w:r>
          </w:p>
          <w:p w14:paraId="1B5C7624">
            <w:pPr>
              <w:spacing w:before="120" w:beforeLines="50"/>
              <w:jc w:val="center"/>
              <w:rPr>
                <w:b/>
                <w:color w:val="auto"/>
              </w:rPr>
            </w:pPr>
            <w:r>
              <w:rPr>
                <w:b/>
                <w:color w:val="auto"/>
              </w:rPr>
              <w:t>表</w:t>
            </w:r>
            <w:r>
              <w:rPr>
                <w:rFonts w:hint="eastAsia"/>
                <w:b/>
                <w:color w:val="auto"/>
              </w:rPr>
              <w:t>3</w:t>
            </w:r>
            <w:r>
              <w:rPr>
                <w:b/>
                <w:color w:val="auto"/>
              </w:rPr>
              <w:t>-</w:t>
            </w:r>
            <w:r>
              <w:rPr>
                <w:rFonts w:hint="eastAsia"/>
                <w:b/>
                <w:color w:val="auto"/>
              </w:rPr>
              <w:t>2 大气污染物排放标准</w:t>
            </w:r>
          </w:p>
          <w:tbl>
            <w:tblPr>
              <w:tblStyle w:val="31"/>
              <w:tblW w:w="797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36"/>
              <w:gridCol w:w="1125"/>
              <w:gridCol w:w="1092"/>
              <w:gridCol w:w="942"/>
              <w:gridCol w:w="960"/>
              <w:gridCol w:w="750"/>
              <w:gridCol w:w="2069"/>
            </w:tblGrid>
            <w:tr w14:paraId="104C61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36" w:type="dxa"/>
                  <w:vMerge w:val="restart"/>
                  <w:tcBorders>
                    <w:tl2br w:val="nil"/>
                    <w:tr2bl w:val="nil"/>
                  </w:tcBorders>
                  <w:shd w:val="clear" w:color="auto" w:fill="auto"/>
                  <w:vAlign w:val="center"/>
                </w:tcPr>
                <w:p w14:paraId="452CFFB2">
                  <w:pPr>
                    <w:jc w:val="center"/>
                    <w:rPr>
                      <w:b/>
                      <w:bCs/>
                      <w:color w:val="auto"/>
                      <w:szCs w:val="21"/>
                    </w:rPr>
                  </w:pPr>
                  <w:r>
                    <w:rPr>
                      <w:b/>
                      <w:bCs/>
                      <w:color w:val="auto"/>
                      <w:szCs w:val="21"/>
                    </w:rPr>
                    <w:t>污染物</w:t>
                  </w:r>
                </w:p>
              </w:tc>
              <w:tc>
                <w:tcPr>
                  <w:tcW w:w="1125" w:type="dxa"/>
                  <w:vMerge w:val="restart"/>
                  <w:tcBorders>
                    <w:tl2br w:val="nil"/>
                    <w:tr2bl w:val="nil"/>
                  </w:tcBorders>
                  <w:shd w:val="clear" w:color="auto" w:fill="auto"/>
                  <w:vAlign w:val="center"/>
                </w:tcPr>
                <w:p w14:paraId="6A5A277A">
                  <w:pPr>
                    <w:jc w:val="center"/>
                    <w:rPr>
                      <w:b/>
                      <w:bCs/>
                      <w:color w:val="auto"/>
                      <w:szCs w:val="21"/>
                    </w:rPr>
                  </w:pPr>
                  <w:r>
                    <w:rPr>
                      <w:b/>
                      <w:bCs/>
                      <w:color w:val="auto"/>
                      <w:szCs w:val="21"/>
                    </w:rPr>
                    <w:t>最高允许排放浓度mg/m</w:t>
                  </w:r>
                  <w:r>
                    <w:rPr>
                      <w:b/>
                      <w:bCs/>
                      <w:color w:val="auto"/>
                      <w:szCs w:val="21"/>
                      <w:vertAlign w:val="superscript"/>
                    </w:rPr>
                    <w:t>3</w:t>
                  </w:r>
                </w:p>
              </w:tc>
              <w:tc>
                <w:tcPr>
                  <w:tcW w:w="1092" w:type="dxa"/>
                  <w:vMerge w:val="restart"/>
                  <w:tcBorders>
                    <w:tl2br w:val="nil"/>
                    <w:tr2bl w:val="nil"/>
                  </w:tcBorders>
                  <w:shd w:val="clear" w:color="auto" w:fill="auto"/>
                  <w:vAlign w:val="center"/>
                </w:tcPr>
                <w:p w14:paraId="1FA96F07">
                  <w:pPr>
                    <w:jc w:val="center"/>
                    <w:rPr>
                      <w:b/>
                      <w:bCs/>
                      <w:color w:val="auto"/>
                      <w:szCs w:val="21"/>
                    </w:rPr>
                  </w:pPr>
                  <w:r>
                    <w:rPr>
                      <w:b/>
                      <w:bCs/>
                      <w:color w:val="auto"/>
                      <w:szCs w:val="21"/>
                    </w:rPr>
                    <w:t>最高允许排放速率kg/h</w:t>
                  </w:r>
                </w:p>
              </w:tc>
              <w:tc>
                <w:tcPr>
                  <w:tcW w:w="942" w:type="dxa"/>
                  <w:vMerge w:val="restart"/>
                  <w:tcBorders>
                    <w:tl2br w:val="nil"/>
                    <w:tr2bl w:val="nil"/>
                  </w:tcBorders>
                  <w:shd w:val="clear" w:color="auto" w:fill="auto"/>
                  <w:vAlign w:val="center"/>
                </w:tcPr>
                <w:p w14:paraId="6573CC2E">
                  <w:pPr>
                    <w:jc w:val="center"/>
                    <w:rPr>
                      <w:rFonts w:hint="default" w:eastAsia="宋体"/>
                      <w:b/>
                      <w:bCs/>
                      <w:color w:val="auto"/>
                      <w:szCs w:val="21"/>
                      <w:lang w:val="en-US" w:eastAsia="zh-CN"/>
                    </w:rPr>
                  </w:pPr>
                  <w:r>
                    <w:rPr>
                      <w:rFonts w:hint="eastAsia"/>
                      <w:b/>
                      <w:bCs/>
                      <w:color w:val="auto"/>
                      <w:szCs w:val="21"/>
                      <w:lang w:val="en-US" w:eastAsia="zh-CN"/>
                    </w:rPr>
                    <w:t>污染物排放监控位置</w:t>
                  </w:r>
                </w:p>
              </w:tc>
              <w:tc>
                <w:tcPr>
                  <w:tcW w:w="1710" w:type="dxa"/>
                  <w:gridSpan w:val="2"/>
                  <w:tcBorders>
                    <w:tl2br w:val="nil"/>
                    <w:tr2bl w:val="nil"/>
                  </w:tcBorders>
                  <w:shd w:val="clear" w:color="auto" w:fill="auto"/>
                  <w:vAlign w:val="center"/>
                </w:tcPr>
                <w:p w14:paraId="4215351C">
                  <w:pPr>
                    <w:jc w:val="center"/>
                    <w:rPr>
                      <w:b/>
                      <w:bCs/>
                      <w:color w:val="auto"/>
                      <w:szCs w:val="21"/>
                    </w:rPr>
                  </w:pPr>
                  <w:r>
                    <w:rPr>
                      <w:b/>
                      <w:bCs/>
                      <w:color w:val="auto"/>
                      <w:szCs w:val="21"/>
                    </w:rPr>
                    <w:t>无组织排放监控浓度限值（mg/m</w:t>
                  </w:r>
                  <w:r>
                    <w:rPr>
                      <w:b/>
                      <w:bCs/>
                      <w:color w:val="auto"/>
                      <w:szCs w:val="21"/>
                      <w:vertAlign w:val="superscript"/>
                    </w:rPr>
                    <w:t>3</w:t>
                  </w:r>
                  <w:r>
                    <w:rPr>
                      <w:b/>
                      <w:bCs/>
                      <w:color w:val="auto"/>
                      <w:szCs w:val="21"/>
                    </w:rPr>
                    <w:t>）</w:t>
                  </w:r>
                </w:p>
              </w:tc>
              <w:tc>
                <w:tcPr>
                  <w:tcW w:w="2069" w:type="dxa"/>
                  <w:vMerge w:val="restart"/>
                  <w:tcBorders>
                    <w:tl2br w:val="nil"/>
                    <w:tr2bl w:val="nil"/>
                  </w:tcBorders>
                  <w:vAlign w:val="center"/>
                </w:tcPr>
                <w:p w14:paraId="42A35DA5">
                  <w:pPr>
                    <w:pStyle w:val="25"/>
                    <w:ind w:left="0" w:leftChars="0"/>
                    <w:jc w:val="center"/>
                    <w:rPr>
                      <w:rFonts w:ascii="Times New Roman" w:hAnsi="Times New Roman"/>
                      <w:b/>
                      <w:bCs/>
                      <w:color w:val="auto"/>
                    </w:rPr>
                  </w:pPr>
                  <w:r>
                    <w:rPr>
                      <w:rFonts w:ascii="Times New Roman" w:hAnsi="Times New Roman"/>
                      <w:b/>
                      <w:bCs/>
                      <w:color w:val="auto"/>
                      <w:szCs w:val="21"/>
                    </w:rPr>
                    <w:t>标准来源</w:t>
                  </w:r>
                </w:p>
              </w:tc>
            </w:tr>
            <w:tr w14:paraId="635302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36" w:type="dxa"/>
                  <w:vMerge w:val="continue"/>
                  <w:tcBorders>
                    <w:tl2br w:val="nil"/>
                    <w:tr2bl w:val="nil"/>
                  </w:tcBorders>
                  <w:vAlign w:val="center"/>
                </w:tcPr>
                <w:p w14:paraId="5D340EF4">
                  <w:pPr>
                    <w:pStyle w:val="25"/>
                    <w:ind w:left="0" w:leftChars="0"/>
                    <w:jc w:val="center"/>
                    <w:rPr>
                      <w:rFonts w:ascii="Times New Roman" w:hAnsi="Times New Roman"/>
                      <w:color w:val="auto"/>
                    </w:rPr>
                  </w:pPr>
                </w:p>
              </w:tc>
              <w:tc>
                <w:tcPr>
                  <w:tcW w:w="1125" w:type="dxa"/>
                  <w:vMerge w:val="continue"/>
                  <w:tcBorders>
                    <w:tl2br w:val="nil"/>
                    <w:tr2bl w:val="nil"/>
                  </w:tcBorders>
                  <w:vAlign w:val="center"/>
                </w:tcPr>
                <w:p w14:paraId="312EA1AD">
                  <w:pPr>
                    <w:pStyle w:val="25"/>
                    <w:ind w:left="0" w:leftChars="0"/>
                    <w:jc w:val="center"/>
                    <w:rPr>
                      <w:rFonts w:ascii="Times New Roman" w:hAnsi="Times New Roman"/>
                      <w:color w:val="auto"/>
                    </w:rPr>
                  </w:pPr>
                </w:p>
              </w:tc>
              <w:tc>
                <w:tcPr>
                  <w:tcW w:w="1092" w:type="dxa"/>
                  <w:vMerge w:val="continue"/>
                  <w:tcBorders>
                    <w:tl2br w:val="nil"/>
                    <w:tr2bl w:val="nil"/>
                  </w:tcBorders>
                  <w:vAlign w:val="center"/>
                </w:tcPr>
                <w:p w14:paraId="64FD2710">
                  <w:pPr>
                    <w:pStyle w:val="25"/>
                    <w:ind w:left="0" w:leftChars="0"/>
                    <w:jc w:val="center"/>
                    <w:rPr>
                      <w:rFonts w:ascii="Times New Roman" w:hAnsi="Times New Roman"/>
                      <w:color w:val="auto"/>
                    </w:rPr>
                  </w:pPr>
                </w:p>
              </w:tc>
              <w:tc>
                <w:tcPr>
                  <w:tcW w:w="942" w:type="dxa"/>
                  <w:vMerge w:val="continue"/>
                  <w:tcBorders>
                    <w:tl2br w:val="nil"/>
                    <w:tr2bl w:val="nil"/>
                  </w:tcBorders>
                  <w:vAlign w:val="center"/>
                </w:tcPr>
                <w:p w14:paraId="5D67C822">
                  <w:pPr>
                    <w:pStyle w:val="25"/>
                    <w:ind w:left="0" w:leftChars="0"/>
                    <w:jc w:val="center"/>
                    <w:rPr>
                      <w:rFonts w:ascii="Times New Roman" w:hAnsi="Times New Roman"/>
                      <w:color w:val="auto"/>
                    </w:rPr>
                  </w:pPr>
                </w:p>
              </w:tc>
              <w:tc>
                <w:tcPr>
                  <w:tcW w:w="960" w:type="dxa"/>
                  <w:tcBorders>
                    <w:tl2br w:val="nil"/>
                    <w:tr2bl w:val="nil"/>
                  </w:tcBorders>
                  <w:shd w:val="clear" w:color="auto" w:fill="auto"/>
                  <w:vAlign w:val="center"/>
                </w:tcPr>
                <w:p w14:paraId="5ED07A03">
                  <w:pPr>
                    <w:jc w:val="center"/>
                    <w:rPr>
                      <w:b/>
                      <w:bCs/>
                      <w:color w:val="auto"/>
                      <w:szCs w:val="21"/>
                    </w:rPr>
                  </w:pPr>
                  <w:r>
                    <w:rPr>
                      <w:b/>
                      <w:bCs/>
                      <w:color w:val="auto"/>
                      <w:szCs w:val="21"/>
                    </w:rPr>
                    <w:t>监控点</w:t>
                  </w:r>
                </w:p>
              </w:tc>
              <w:tc>
                <w:tcPr>
                  <w:tcW w:w="750" w:type="dxa"/>
                  <w:tcBorders>
                    <w:tl2br w:val="nil"/>
                    <w:tr2bl w:val="nil"/>
                  </w:tcBorders>
                  <w:shd w:val="clear" w:color="auto" w:fill="auto"/>
                  <w:vAlign w:val="center"/>
                </w:tcPr>
                <w:p w14:paraId="7EE59FD3">
                  <w:pPr>
                    <w:jc w:val="center"/>
                    <w:rPr>
                      <w:b/>
                      <w:bCs/>
                      <w:color w:val="auto"/>
                      <w:szCs w:val="21"/>
                    </w:rPr>
                  </w:pPr>
                  <w:r>
                    <w:rPr>
                      <w:b/>
                      <w:bCs/>
                      <w:color w:val="auto"/>
                      <w:szCs w:val="21"/>
                    </w:rPr>
                    <w:t>浓度</w:t>
                  </w:r>
                </w:p>
              </w:tc>
              <w:tc>
                <w:tcPr>
                  <w:tcW w:w="2069" w:type="dxa"/>
                  <w:vMerge w:val="continue"/>
                  <w:tcBorders>
                    <w:tl2br w:val="nil"/>
                    <w:tr2bl w:val="nil"/>
                  </w:tcBorders>
                  <w:vAlign w:val="center"/>
                </w:tcPr>
                <w:p w14:paraId="4A316095">
                  <w:pPr>
                    <w:pStyle w:val="25"/>
                    <w:ind w:left="0" w:leftChars="0"/>
                    <w:jc w:val="center"/>
                    <w:rPr>
                      <w:rFonts w:ascii="Times New Roman" w:hAnsi="Times New Roman"/>
                      <w:color w:val="auto"/>
                    </w:rPr>
                  </w:pPr>
                </w:p>
              </w:tc>
            </w:tr>
            <w:tr w14:paraId="3B91AC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1036" w:type="dxa"/>
                  <w:tcBorders>
                    <w:tl2br w:val="nil"/>
                    <w:tr2bl w:val="nil"/>
                  </w:tcBorders>
                  <w:shd w:val="clear" w:color="auto" w:fill="auto"/>
                  <w:vAlign w:val="center"/>
                </w:tcPr>
                <w:p w14:paraId="0296C86D">
                  <w:pPr>
                    <w:pStyle w:val="25"/>
                    <w:ind w:left="0" w:leftChars="0"/>
                    <w:jc w:val="center"/>
                    <w:rPr>
                      <w:rFonts w:ascii="Times New Roman" w:hAnsi="Times New Roman" w:eastAsia="宋体" w:cs="Times New Roman"/>
                      <w:color w:val="auto"/>
                      <w:kern w:val="2"/>
                      <w:sz w:val="21"/>
                      <w:szCs w:val="24"/>
                      <w:lang w:val="en-US" w:eastAsia="zh-CN" w:bidi="ar-SA"/>
                    </w:rPr>
                  </w:pPr>
                  <w:r>
                    <w:rPr>
                      <w:rFonts w:hint="eastAsia" w:ascii="Times New Roman" w:hAnsi="Times New Roman"/>
                      <w:color w:val="auto"/>
                      <w:lang w:val="en-US" w:eastAsia="zh-CN"/>
                    </w:rPr>
                    <w:t>NMHC</w:t>
                  </w:r>
                </w:p>
              </w:tc>
              <w:tc>
                <w:tcPr>
                  <w:tcW w:w="1125" w:type="dxa"/>
                  <w:tcBorders>
                    <w:tl2br w:val="nil"/>
                    <w:tr2bl w:val="nil"/>
                  </w:tcBorders>
                  <w:shd w:val="clear" w:color="auto" w:fill="auto"/>
                  <w:vAlign w:val="center"/>
                </w:tcPr>
                <w:p w14:paraId="6D93BD36">
                  <w:pPr>
                    <w:pStyle w:val="25"/>
                    <w:ind w:left="0" w:leftChars="0"/>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color w:val="auto"/>
                      <w:lang w:val="en-US" w:eastAsia="zh-CN"/>
                    </w:rPr>
                    <w:t>50</w:t>
                  </w:r>
                </w:p>
              </w:tc>
              <w:tc>
                <w:tcPr>
                  <w:tcW w:w="1092" w:type="dxa"/>
                  <w:tcBorders>
                    <w:tl2br w:val="nil"/>
                    <w:tr2bl w:val="nil"/>
                  </w:tcBorders>
                  <w:shd w:val="clear" w:color="auto" w:fill="auto"/>
                  <w:vAlign w:val="center"/>
                </w:tcPr>
                <w:p w14:paraId="57CEA2A0">
                  <w:pPr>
                    <w:pStyle w:val="25"/>
                    <w:ind w:left="0" w:leftChars="0"/>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color w:val="auto"/>
                      <w:lang w:val="en-US" w:eastAsia="zh-CN"/>
                    </w:rPr>
                    <w:t>1.8</w:t>
                  </w:r>
                </w:p>
              </w:tc>
              <w:tc>
                <w:tcPr>
                  <w:tcW w:w="942" w:type="dxa"/>
                  <w:tcBorders>
                    <w:tl2br w:val="nil"/>
                    <w:tr2bl w:val="nil"/>
                  </w:tcBorders>
                  <w:shd w:val="clear" w:color="auto" w:fill="auto"/>
                  <w:vAlign w:val="center"/>
                </w:tcPr>
                <w:p w14:paraId="7443FF33">
                  <w:pPr>
                    <w:pStyle w:val="25"/>
                    <w:ind w:left="0" w:leftChars="0"/>
                    <w:jc w:val="center"/>
                    <w:rPr>
                      <w:rFonts w:hint="default" w:ascii="Times New Roman" w:hAnsi="Times New Roman"/>
                      <w:color w:val="auto"/>
                      <w:lang w:val="en-US" w:eastAsia="zh-CN"/>
                    </w:rPr>
                  </w:pPr>
                  <w:r>
                    <w:rPr>
                      <w:rFonts w:hint="eastAsia" w:ascii="Times New Roman" w:hAnsi="Times New Roman"/>
                      <w:color w:val="auto"/>
                      <w:lang w:val="en-US" w:eastAsia="zh-CN"/>
                    </w:rPr>
                    <w:t>车间或生产设施排气筒</w:t>
                  </w:r>
                </w:p>
              </w:tc>
              <w:tc>
                <w:tcPr>
                  <w:tcW w:w="960" w:type="dxa"/>
                  <w:tcBorders>
                    <w:tl2br w:val="nil"/>
                    <w:tr2bl w:val="nil"/>
                  </w:tcBorders>
                  <w:shd w:val="clear" w:color="auto" w:fill="auto"/>
                  <w:vAlign w:val="center"/>
                </w:tcPr>
                <w:p w14:paraId="2D41B529">
                  <w:pPr>
                    <w:pStyle w:val="25"/>
                    <w:ind w:left="0" w:leftChars="0"/>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kern w:val="2"/>
                      <w:sz w:val="21"/>
                      <w:szCs w:val="24"/>
                      <w:lang w:val="en-US" w:eastAsia="zh-CN" w:bidi="ar-SA"/>
                    </w:rPr>
                    <w:t>边界外浓度最高点</w:t>
                  </w:r>
                </w:p>
              </w:tc>
              <w:tc>
                <w:tcPr>
                  <w:tcW w:w="750" w:type="dxa"/>
                  <w:tcBorders>
                    <w:tl2br w:val="nil"/>
                    <w:tr2bl w:val="nil"/>
                  </w:tcBorders>
                  <w:shd w:val="clear" w:color="auto" w:fill="auto"/>
                  <w:vAlign w:val="center"/>
                </w:tcPr>
                <w:p w14:paraId="4CCFA1FD">
                  <w:pPr>
                    <w:pStyle w:val="25"/>
                    <w:ind w:left="0" w:leftChars="0"/>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olor w:val="auto"/>
                      <w:lang w:val="en-US" w:eastAsia="zh-CN"/>
                    </w:rPr>
                    <w:t>4</w:t>
                  </w:r>
                </w:p>
              </w:tc>
              <w:tc>
                <w:tcPr>
                  <w:tcW w:w="2069" w:type="dxa"/>
                  <w:tcBorders>
                    <w:tl2br w:val="nil"/>
                    <w:tr2bl w:val="nil"/>
                  </w:tcBorders>
                  <w:vAlign w:val="center"/>
                </w:tcPr>
                <w:p w14:paraId="5486344F">
                  <w:pPr>
                    <w:pStyle w:val="25"/>
                    <w:ind w:left="0" w:leftChars="0"/>
                    <w:jc w:val="center"/>
                    <w:rPr>
                      <w:rFonts w:ascii="Times New Roman" w:hAnsi="Times New Roman"/>
                      <w:color w:val="auto"/>
                    </w:rPr>
                  </w:pPr>
                  <w:r>
                    <w:rPr>
                      <w:rFonts w:hint="eastAsia"/>
                      <w:color w:val="auto"/>
                      <w:szCs w:val="21"/>
                      <w:lang w:val="en-US" w:eastAsia="zh-CN"/>
                    </w:rPr>
                    <w:t>《印刷工业大气污染物排放标准》（DB32/4438-2022）、</w:t>
                  </w:r>
                  <w:r>
                    <w:rPr>
                      <w:rFonts w:ascii="Times New Roman" w:hAnsi="Times New Roman"/>
                      <w:color w:val="auto"/>
                      <w:szCs w:val="21"/>
                    </w:rPr>
                    <w:t>《大气污染物综合排放标准》（DB32/4041-2021）</w:t>
                  </w:r>
                </w:p>
              </w:tc>
            </w:tr>
          </w:tbl>
          <w:p w14:paraId="2F8C7F09">
            <w:pPr>
              <w:adjustRightInd w:val="0"/>
              <w:snapToGrid w:val="0"/>
              <w:spacing w:before="120" w:beforeLines="50"/>
              <w:jc w:val="center"/>
              <w:rPr>
                <w:rFonts w:hint="default" w:eastAsia="宋体"/>
                <w:b/>
                <w:kern w:val="0"/>
                <w:szCs w:val="21"/>
                <w:lang w:val="en-US" w:eastAsia="zh-CN"/>
              </w:rPr>
            </w:pPr>
            <w:r>
              <w:rPr>
                <w:rFonts w:hint="eastAsia"/>
                <w:b/>
                <w:kern w:val="0"/>
                <w:szCs w:val="21"/>
              </w:rPr>
              <w:t xml:space="preserve">表3-3 </w:t>
            </w:r>
            <w:r>
              <w:rPr>
                <w:rFonts w:hint="eastAsia"/>
                <w:b/>
                <w:kern w:val="0"/>
                <w:szCs w:val="21"/>
                <w:lang w:val="en-US" w:eastAsia="zh-CN"/>
              </w:rPr>
              <w:t>厂区内大气</w:t>
            </w:r>
            <w:r>
              <w:rPr>
                <w:rFonts w:hint="eastAsia"/>
                <w:b/>
                <w:kern w:val="0"/>
                <w:szCs w:val="21"/>
              </w:rPr>
              <w:t>污染物无组织排放</w:t>
            </w:r>
            <w:r>
              <w:rPr>
                <w:rFonts w:hint="eastAsia"/>
                <w:b/>
                <w:kern w:val="0"/>
                <w:szCs w:val="21"/>
                <w:lang w:val="en-US" w:eastAsia="zh-CN"/>
              </w:rPr>
              <w:t>浓度限值表</w:t>
            </w:r>
          </w:p>
          <w:tbl>
            <w:tblPr>
              <w:tblStyle w:val="30"/>
              <w:tblW w:w="799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7"/>
              <w:gridCol w:w="1245"/>
              <w:gridCol w:w="2610"/>
              <w:gridCol w:w="1311"/>
              <w:gridCol w:w="1924"/>
            </w:tblGrid>
            <w:tr w14:paraId="1356B1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noWrap w:val="0"/>
                  <w:vAlign w:val="center"/>
                </w:tcPr>
                <w:p w14:paraId="4267BF61">
                  <w:pPr>
                    <w:autoSpaceDE w:val="0"/>
                    <w:autoSpaceDN w:val="0"/>
                    <w:adjustRightInd w:val="0"/>
                    <w:jc w:val="center"/>
                    <w:outlineLvl w:val="3"/>
                    <w:rPr>
                      <w:b/>
                      <w:szCs w:val="21"/>
                    </w:rPr>
                  </w:pPr>
                  <w:r>
                    <w:rPr>
                      <w:b/>
                      <w:szCs w:val="21"/>
                    </w:rPr>
                    <w:t>污染物</w:t>
                  </w:r>
                </w:p>
              </w:tc>
              <w:tc>
                <w:tcPr>
                  <w:tcW w:w="1245" w:type="dxa"/>
                  <w:noWrap w:val="0"/>
                  <w:vAlign w:val="center"/>
                </w:tcPr>
                <w:p w14:paraId="607B2548">
                  <w:pPr>
                    <w:autoSpaceDE w:val="0"/>
                    <w:autoSpaceDN w:val="0"/>
                    <w:adjustRightInd w:val="0"/>
                    <w:jc w:val="center"/>
                    <w:outlineLvl w:val="3"/>
                    <w:rPr>
                      <w:b/>
                      <w:szCs w:val="21"/>
                    </w:rPr>
                  </w:pPr>
                  <w:r>
                    <w:rPr>
                      <w:b/>
                      <w:szCs w:val="21"/>
                    </w:rPr>
                    <w:t>特别排放限值</w:t>
                  </w:r>
                  <w:r>
                    <w:rPr>
                      <w:b/>
                      <w:kern w:val="0"/>
                      <w:szCs w:val="21"/>
                    </w:rPr>
                    <w:t>mg/m³</w:t>
                  </w:r>
                </w:p>
              </w:tc>
              <w:tc>
                <w:tcPr>
                  <w:tcW w:w="2610" w:type="dxa"/>
                  <w:noWrap w:val="0"/>
                  <w:vAlign w:val="center"/>
                </w:tcPr>
                <w:p w14:paraId="76C28B55">
                  <w:pPr>
                    <w:autoSpaceDE w:val="0"/>
                    <w:autoSpaceDN w:val="0"/>
                    <w:adjustRightInd w:val="0"/>
                    <w:jc w:val="center"/>
                    <w:outlineLvl w:val="3"/>
                    <w:rPr>
                      <w:b/>
                      <w:szCs w:val="21"/>
                    </w:rPr>
                  </w:pPr>
                  <w:r>
                    <w:rPr>
                      <w:b/>
                      <w:szCs w:val="21"/>
                    </w:rPr>
                    <w:t>限制含义</w:t>
                  </w:r>
                </w:p>
              </w:tc>
              <w:tc>
                <w:tcPr>
                  <w:tcW w:w="1311" w:type="dxa"/>
                  <w:noWrap w:val="0"/>
                  <w:vAlign w:val="center"/>
                </w:tcPr>
                <w:p w14:paraId="1A3BDF9F">
                  <w:pPr>
                    <w:autoSpaceDE w:val="0"/>
                    <w:autoSpaceDN w:val="0"/>
                    <w:adjustRightInd w:val="0"/>
                    <w:jc w:val="center"/>
                    <w:outlineLvl w:val="3"/>
                    <w:rPr>
                      <w:b/>
                      <w:szCs w:val="21"/>
                    </w:rPr>
                  </w:pPr>
                  <w:r>
                    <w:rPr>
                      <w:b/>
                      <w:szCs w:val="21"/>
                    </w:rPr>
                    <w:t>无组织排放监控位置</w:t>
                  </w:r>
                </w:p>
              </w:tc>
              <w:tc>
                <w:tcPr>
                  <w:tcW w:w="1924" w:type="dxa"/>
                  <w:noWrap w:val="0"/>
                  <w:vAlign w:val="center"/>
                </w:tcPr>
                <w:p w14:paraId="7EB93EC3">
                  <w:pPr>
                    <w:autoSpaceDE w:val="0"/>
                    <w:autoSpaceDN w:val="0"/>
                    <w:adjustRightInd w:val="0"/>
                    <w:jc w:val="center"/>
                    <w:outlineLvl w:val="3"/>
                    <w:rPr>
                      <w:b/>
                      <w:szCs w:val="21"/>
                    </w:rPr>
                  </w:pPr>
                  <w:r>
                    <w:rPr>
                      <w:b/>
                      <w:szCs w:val="21"/>
                    </w:rPr>
                    <w:t>执行标准</w:t>
                  </w:r>
                </w:p>
              </w:tc>
            </w:tr>
            <w:tr w14:paraId="7DE7C2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vMerge w:val="restart"/>
                  <w:noWrap w:val="0"/>
                  <w:vAlign w:val="center"/>
                </w:tcPr>
                <w:p w14:paraId="6004D1EE">
                  <w:pPr>
                    <w:adjustRightInd w:val="0"/>
                    <w:snapToGrid w:val="0"/>
                    <w:jc w:val="center"/>
                    <w:rPr>
                      <w:rFonts w:hint="default" w:eastAsia="宋体"/>
                      <w:bCs/>
                      <w:kern w:val="0"/>
                      <w:szCs w:val="21"/>
                      <w:lang w:val="en-US" w:eastAsia="zh-CN"/>
                    </w:rPr>
                  </w:pPr>
                  <w:r>
                    <w:rPr>
                      <w:rFonts w:hint="eastAsia"/>
                      <w:bCs/>
                      <w:kern w:val="0"/>
                      <w:szCs w:val="21"/>
                      <w:lang w:val="en-US" w:eastAsia="zh-CN"/>
                    </w:rPr>
                    <w:t>NMHC</w:t>
                  </w:r>
                </w:p>
              </w:tc>
              <w:tc>
                <w:tcPr>
                  <w:tcW w:w="1245" w:type="dxa"/>
                  <w:noWrap w:val="0"/>
                  <w:vAlign w:val="center"/>
                </w:tcPr>
                <w:p w14:paraId="6EEDB6A4">
                  <w:pPr>
                    <w:adjustRightInd w:val="0"/>
                    <w:snapToGrid w:val="0"/>
                    <w:jc w:val="center"/>
                    <w:rPr>
                      <w:rFonts w:hint="eastAsia" w:eastAsia="宋体"/>
                      <w:bCs/>
                      <w:kern w:val="0"/>
                      <w:szCs w:val="21"/>
                      <w:lang w:eastAsia="zh-CN"/>
                    </w:rPr>
                  </w:pPr>
                  <w:r>
                    <w:rPr>
                      <w:rFonts w:hint="eastAsia"/>
                      <w:bCs/>
                      <w:kern w:val="0"/>
                      <w:szCs w:val="21"/>
                      <w:lang w:val="en-US" w:eastAsia="zh-CN"/>
                    </w:rPr>
                    <w:t>5</w:t>
                  </w:r>
                </w:p>
              </w:tc>
              <w:tc>
                <w:tcPr>
                  <w:tcW w:w="2610" w:type="dxa"/>
                  <w:noWrap w:val="0"/>
                  <w:vAlign w:val="center"/>
                </w:tcPr>
                <w:p w14:paraId="299E50DF">
                  <w:pPr>
                    <w:adjustRightInd w:val="0"/>
                    <w:snapToGrid w:val="0"/>
                    <w:jc w:val="center"/>
                    <w:rPr>
                      <w:bCs/>
                      <w:kern w:val="0"/>
                      <w:szCs w:val="21"/>
                    </w:rPr>
                  </w:pPr>
                  <w:r>
                    <w:rPr>
                      <w:bCs/>
                      <w:szCs w:val="21"/>
                    </w:rPr>
                    <w:t>监控点处1h平均浓度值</w:t>
                  </w:r>
                </w:p>
              </w:tc>
              <w:tc>
                <w:tcPr>
                  <w:tcW w:w="1311" w:type="dxa"/>
                  <w:vMerge w:val="restart"/>
                  <w:noWrap w:val="0"/>
                  <w:vAlign w:val="center"/>
                </w:tcPr>
                <w:p w14:paraId="46BF3C80">
                  <w:pPr>
                    <w:adjustRightInd w:val="0"/>
                    <w:snapToGrid w:val="0"/>
                    <w:jc w:val="center"/>
                    <w:rPr>
                      <w:bCs/>
                      <w:kern w:val="0"/>
                      <w:szCs w:val="21"/>
                    </w:rPr>
                  </w:pPr>
                  <w:r>
                    <w:rPr>
                      <w:bCs/>
                      <w:szCs w:val="21"/>
                    </w:rPr>
                    <w:t>在厂房外设置监控点</w:t>
                  </w:r>
                </w:p>
              </w:tc>
              <w:tc>
                <w:tcPr>
                  <w:tcW w:w="1924" w:type="dxa"/>
                  <w:vMerge w:val="restart"/>
                  <w:noWrap w:val="0"/>
                  <w:vAlign w:val="center"/>
                </w:tcPr>
                <w:p w14:paraId="4D9E469E">
                  <w:pPr>
                    <w:adjustRightInd w:val="0"/>
                    <w:snapToGrid w:val="0"/>
                    <w:jc w:val="center"/>
                    <w:rPr>
                      <w:bCs/>
                      <w:kern w:val="0"/>
                      <w:szCs w:val="21"/>
                    </w:rPr>
                  </w:pPr>
                  <w:r>
                    <w:rPr>
                      <w:color w:val="auto"/>
                      <w:szCs w:val="21"/>
                    </w:rPr>
                    <w:t>《</w:t>
                  </w:r>
                  <w:r>
                    <w:rPr>
                      <w:rFonts w:hint="eastAsia"/>
                      <w:color w:val="auto"/>
                      <w:szCs w:val="21"/>
                      <w:lang w:val="en-US" w:eastAsia="zh-CN"/>
                    </w:rPr>
                    <w:t>玻璃工业</w:t>
                  </w:r>
                  <w:r>
                    <w:rPr>
                      <w:color w:val="auto"/>
                      <w:szCs w:val="21"/>
                    </w:rPr>
                    <w:t>大气污染物排放标准》（</w:t>
                  </w:r>
                  <w:r>
                    <w:rPr>
                      <w:rFonts w:hint="eastAsia"/>
                      <w:color w:val="auto"/>
                      <w:szCs w:val="21"/>
                      <w:lang w:val="en-US" w:eastAsia="zh-CN"/>
                    </w:rPr>
                    <w:t>GB26453-2022</w:t>
                  </w:r>
                  <w:r>
                    <w:rPr>
                      <w:color w:val="auto"/>
                      <w:szCs w:val="21"/>
                    </w:rPr>
                    <w:t>）</w:t>
                  </w:r>
                </w:p>
              </w:tc>
            </w:tr>
            <w:tr w14:paraId="610C51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vMerge w:val="continue"/>
                  <w:noWrap w:val="0"/>
                  <w:vAlign w:val="center"/>
                </w:tcPr>
                <w:p w14:paraId="37F7000F">
                  <w:pPr>
                    <w:adjustRightInd w:val="0"/>
                    <w:snapToGrid w:val="0"/>
                    <w:jc w:val="center"/>
                    <w:rPr>
                      <w:rFonts w:hint="eastAsia"/>
                      <w:bCs/>
                      <w:kern w:val="0"/>
                      <w:szCs w:val="21"/>
                      <w:lang w:val="en-US" w:eastAsia="zh-CN"/>
                    </w:rPr>
                  </w:pPr>
                </w:p>
              </w:tc>
              <w:tc>
                <w:tcPr>
                  <w:tcW w:w="1245" w:type="dxa"/>
                  <w:noWrap w:val="0"/>
                  <w:vAlign w:val="center"/>
                </w:tcPr>
                <w:p w14:paraId="411368C8">
                  <w:pPr>
                    <w:adjustRightInd w:val="0"/>
                    <w:snapToGrid w:val="0"/>
                    <w:jc w:val="center"/>
                    <w:rPr>
                      <w:rFonts w:hint="default"/>
                      <w:bCs/>
                      <w:kern w:val="0"/>
                      <w:szCs w:val="21"/>
                      <w:lang w:val="en-US" w:eastAsia="zh-CN"/>
                    </w:rPr>
                  </w:pPr>
                  <w:r>
                    <w:rPr>
                      <w:rFonts w:hint="eastAsia"/>
                      <w:bCs/>
                      <w:kern w:val="0"/>
                      <w:szCs w:val="21"/>
                      <w:lang w:val="en-US" w:eastAsia="zh-CN"/>
                    </w:rPr>
                    <w:t>15</w:t>
                  </w:r>
                </w:p>
              </w:tc>
              <w:tc>
                <w:tcPr>
                  <w:tcW w:w="2610" w:type="dxa"/>
                  <w:noWrap w:val="0"/>
                  <w:vAlign w:val="center"/>
                </w:tcPr>
                <w:p w14:paraId="17525961">
                  <w:pPr>
                    <w:adjustRightInd w:val="0"/>
                    <w:snapToGrid w:val="0"/>
                    <w:jc w:val="center"/>
                    <w:rPr>
                      <w:bCs/>
                      <w:szCs w:val="21"/>
                    </w:rPr>
                  </w:pPr>
                  <w:r>
                    <w:rPr>
                      <w:rFonts w:hint="eastAsia"/>
                      <w:bCs/>
                      <w:szCs w:val="21"/>
                    </w:rPr>
                    <w:t>监控点处任意一次浓度值</w:t>
                  </w:r>
                </w:p>
              </w:tc>
              <w:tc>
                <w:tcPr>
                  <w:tcW w:w="1311" w:type="dxa"/>
                  <w:vMerge w:val="continue"/>
                  <w:noWrap w:val="0"/>
                  <w:vAlign w:val="center"/>
                </w:tcPr>
                <w:p w14:paraId="62B6787C">
                  <w:pPr>
                    <w:adjustRightInd w:val="0"/>
                    <w:snapToGrid w:val="0"/>
                    <w:jc w:val="center"/>
                    <w:rPr>
                      <w:bCs/>
                      <w:szCs w:val="21"/>
                    </w:rPr>
                  </w:pPr>
                </w:p>
              </w:tc>
              <w:tc>
                <w:tcPr>
                  <w:tcW w:w="1924" w:type="dxa"/>
                  <w:vMerge w:val="continue"/>
                  <w:noWrap w:val="0"/>
                  <w:vAlign w:val="center"/>
                </w:tcPr>
                <w:p w14:paraId="15AB5793">
                  <w:pPr>
                    <w:adjustRightInd w:val="0"/>
                    <w:snapToGrid w:val="0"/>
                    <w:jc w:val="center"/>
                    <w:rPr>
                      <w:rFonts w:hint="eastAsia"/>
                      <w:color w:val="auto"/>
                      <w:sz w:val="21"/>
                      <w:szCs w:val="21"/>
                      <w:highlight w:val="none"/>
                      <w:lang w:val="en-US" w:eastAsia="zh-CN"/>
                    </w:rPr>
                  </w:pPr>
                </w:p>
              </w:tc>
            </w:tr>
          </w:tbl>
          <w:p w14:paraId="25A35E5B">
            <w:pPr>
              <w:numPr>
                <w:ilvl w:val="0"/>
                <w:numId w:val="0"/>
              </w:numPr>
              <w:adjustRightInd w:val="0"/>
              <w:snapToGrid w:val="0"/>
              <w:spacing w:before="120" w:beforeLines="50" w:line="360" w:lineRule="auto"/>
              <w:rPr>
                <w:b/>
                <w:bCs/>
                <w:color w:val="auto"/>
              </w:rPr>
            </w:pPr>
            <w:r>
              <w:rPr>
                <w:rFonts w:hint="eastAsia" w:cs="Times New Roman"/>
                <w:b/>
                <w:bCs/>
                <w:color w:val="auto"/>
                <w:kern w:val="2"/>
                <w:sz w:val="21"/>
                <w:szCs w:val="21"/>
                <w:lang w:val="en-US" w:eastAsia="zh-CN" w:bidi="ar-SA"/>
              </w:rPr>
              <w:t>2</w:t>
            </w:r>
            <w:r>
              <w:rPr>
                <w:rFonts w:hint="default" w:ascii="Times New Roman" w:hAnsi="Times New Roman" w:eastAsia="宋体" w:cs="Times New Roman"/>
                <w:b/>
                <w:bCs/>
                <w:color w:val="auto"/>
                <w:kern w:val="2"/>
                <w:sz w:val="21"/>
                <w:szCs w:val="21"/>
                <w:lang w:val="en-US" w:eastAsia="zh-CN" w:bidi="ar-SA"/>
              </w:rPr>
              <w:t>、</w:t>
            </w:r>
            <w:r>
              <w:rPr>
                <w:b/>
                <w:color w:val="auto"/>
                <w:szCs w:val="21"/>
              </w:rPr>
              <w:t>水污染物排放标准</w:t>
            </w:r>
          </w:p>
          <w:p w14:paraId="419DC765">
            <w:pPr>
              <w:adjustRightInd w:val="0"/>
              <w:snapToGrid w:val="0"/>
              <w:spacing w:line="360" w:lineRule="auto"/>
              <w:ind w:firstLine="420" w:firstLineChars="200"/>
              <w:rPr>
                <w:rFonts w:hint="eastAsia"/>
                <w:b/>
                <w:color w:val="auto"/>
                <w:kern w:val="0"/>
                <w:szCs w:val="21"/>
              </w:rPr>
            </w:pPr>
            <w:r>
              <w:rPr>
                <w:rFonts w:hint="eastAsia"/>
                <w:color w:val="auto"/>
                <w:kern w:val="0"/>
                <w:szCs w:val="21"/>
                <w:lang w:val="en-US" w:eastAsia="zh-CN"/>
              </w:rPr>
              <w:t>扩建</w:t>
            </w:r>
            <w:r>
              <w:rPr>
                <w:rFonts w:hint="eastAsia"/>
                <w:color w:val="auto"/>
                <w:kern w:val="0"/>
                <w:szCs w:val="21"/>
              </w:rPr>
              <w:t>项目产生的生活污水经化粪池处理后</w:t>
            </w:r>
            <w:r>
              <w:rPr>
                <w:rFonts w:hint="eastAsia"/>
                <w:color w:val="auto"/>
                <w:kern w:val="0"/>
                <w:szCs w:val="21"/>
                <w:lang w:val="en-US" w:eastAsia="zh-CN"/>
              </w:rPr>
              <w:t>与经污水处理站处理的生产废水达到</w:t>
            </w:r>
            <w:r>
              <w:rPr>
                <w:rFonts w:hint="eastAsia" w:hAnsi="宋体"/>
                <w:color w:val="auto"/>
                <w:szCs w:val="21"/>
                <w:lang w:val="en-US" w:eastAsia="zh-CN"/>
              </w:rPr>
              <w:t>《污水综合排放标准》（GB8978-1996）三级标准后，</w:t>
            </w:r>
            <w:r>
              <w:rPr>
                <w:rFonts w:hint="eastAsia"/>
                <w:color w:val="auto"/>
                <w:kern w:val="0"/>
                <w:szCs w:val="21"/>
                <w:lang w:val="en-US" w:eastAsia="zh-CN"/>
              </w:rPr>
              <w:t>一同</w:t>
            </w:r>
            <w:r>
              <w:rPr>
                <w:rFonts w:hint="eastAsia"/>
                <w:color w:val="auto"/>
                <w:kern w:val="0"/>
                <w:szCs w:val="21"/>
              </w:rPr>
              <w:t>接市政污水管网进入城东污水处理厂</w:t>
            </w:r>
            <w:r>
              <w:rPr>
                <w:rFonts w:hint="eastAsia"/>
                <w:color w:val="auto"/>
                <w:kern w:val="0"/>
                <w:szCs w:val="21"/>
                <w:lang w:val="en-US" w:eastAsia="zh-CN"/>
              </w:rPr>
              <w:t>二</w:t>
            </w:r>
            <w:r>
              <w:rPr>
                <w:rFonts w:hint="eastAsia"/>
                <w:color w:val="auto"/>
                <w:kern w:val="0"/>
                <w:szCs w:val="21"/>
              </w:rPr>
              <w:t>期集中处理</w:t>
            </w:r>
            <w:r>
              <w:rPr>
                <w:rFonts w:hint="eastAsia" w:hAnsi="宋体"/>
                <w:color w:val="auto"/>
                <w:szCs w:val="21"/>
                <w:lang w:val="en-US" w:eastAsia="zh-CN"/>
              </w:rPr>
              <w:t>（接管废水需要达到污水处理厂接管标准要求）</w:t>
            </w:r>
            <w:r>
              <w:rPr>
                <w:rFonts w:hint="eastAsia"/>
                <w:color w:val="auto"/>
                <w:kern w:val="0"/>
                <w:szCs w:val="21"/>
              </w:rPr>
              <w:t>，尾水排入</w:t>
            </w:r>
            <w:r>
              <w:rPr>
                <w:rFonts w:hint="eastAsia"/>
                <w:color w:val="auto"/>
                <w:kern w:val="0"/>
                <w:szCs w:val="21"/>
                <w:lang w:val="en-US" w:eastAsia="zh-CN"/>
              </w:rPr>
              <w:t>淮泗河</w:t>
            </w:r>
            <w:r>
              <w:rPr>
                <w:rFonts w:hint="eastAsia"/>
                <w:color w:val="auto"/>
                <w:kern w:val="0"/>
                <w:szCs w:val="21"/>
              </w:rPr>
              <w:t>。城东污水处理厂</w:t>
            </w:r>
            <w:r>
              <w:rPr>
                <w:rFonts w:hint="eastAsia"/>
                <w:color w:val="auto"/>
                <w:kern w:val="0"/>
                <w:szCs w:val="21"/>
                <w:lang w:val="en-US" w:eastAsia="zh-CN"/>
              </w:rPr>
              <w:t>二</w:t>
            </w:r>
            <w:r>
              <w:rPr>
                <w:rFonts w:hint="eastAsia"/>
                <w:color w:val="auto"/>
                <w:kern w:val="0"/>
                <w:szCs w:val="21"/>
              </w:rPr>
              <w:t>期出水水质执行《城镇污水处理厂污染物排放标准》（GB18918-2002）的一级A标准。具体标准见表3-4。</w:t>
            </w:r>
          </w:p>
          <w:p w14:paraId="08CD32E6">
            <w:pPr>
              <w:adjustRightInd w:val="0"/>
              <w:snapToGrid w:val="0"/>
              <w:spacing w:before="120" w:beforeLines="50"/>
              <w:jc w:val="center"/>
              <w:rPr>
                <w:rFonts w:hint="eastAsia"/>
                <w:b/>
                <w:color w:val="auto"/>
                <w:kern w:val="0"/>
                <w:szCs w:val="21"/>
              </w:rPr>
            </w:pPr>
            <w:r>
              <w:rPr>
                <w:rFonts w:hint="eastAsia"/>
                <w:b/>
                <w:color w:val="auto"/>
                <w:kern w:val="0"/>
                <w:szCs w:val="21"/>
              </w:rPr>
              <w:t>表3-4 城东污水处理厂</w:t>
            </w:r>
            <w:r>
              <w:rPr>
                <w:rFonts w:hint="eastAsia"/>
                <w:b/>
                <w:color w:val="auto"/>
                <w:kern w:val="0"/>
                <w:szCs w:val="21"/>
                <w:lang w:val="en-US" w:eastAsia="zh-CN"/>
              </w:rPr>
              <w:t>二</w:t>
            </w:r>
            <w:r>
              <w:rPr>
                <w:rFonts w:hint="eastAsia"/>
                <w:b/>
                <w:color w:val="auto"/>
                <w:kern w:val="0"/>
                <w:szCs w:val="21"/>
              </w:rPr>
              <w:t>期接管及排放标准（单位：mg/L，pH无量纲）</w:t>
            </w:r>
          </w:p>
          <w:tbl>
            <w:tblPr>
              <w:tblStyle w:val="30"/>
              <w:tblW w:w="4992"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22"/>
              <w:gridCol w:w="554"/>
              <w:gridCol w:w="720"/>
              <w:gridCol w:w="780"/>
              <w:gridCol w:w="615"/>
              <w:gridCol w:w="900"/>
              <w:gridCol w:w="870"/>
              <w:gridCol w:w="720"/>
              <w:gridCol w:w="881"/>
            </w:tblGrid>
            <w:tr w14:paraId="1DF1F0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06" w:type="pct"/>
                  <w:tcBorders>
                    <w:top w:val="single" w:color="auto" w:sz="12" w:space="0"/>
                    <w:bottom w:val="single" w:color="auto" w:sz="4" w:space="0"/>
                    <w:tl2br w:val="single" w:color="auto" w:sz="4" w:space="0"/>
                  </w:tcBorders>
                  <w:noWrap w:val="0"/>
                  <w:vAlign w:val="center"/>
                </w:tcPr>
                <w:p w14:paraId="64BEB9AA">
                  <w:pPr>
                    <w:adjustRightInd w:val="0"/>
                    <w:snapToGrid w:val="0"/>
                    <w:jc w:val="center"/>
                    <w:rPr>
                      <w:b/>
                      <w:color w:val="auto"/>
                      <w:kern w:val="0"/>
                      <w:szCs w:val="21"/>
                    </w:rPr>
                  </w:pPr>
                  <w:r>
                    <w:rPr>
                      <w:b/>
                      <w:color w:val="auto"/>
                      <w:kern w:val="0"/>
                      <w:szCs w:val="21"/>
                    </w:rPr>
                    <w:t xml:space="preserve">     </w:t>
                  </w:r>
                  <w:r>
                    <w:rPr>
                      <w:rFonts w:hint="eastAsia"/>
                      <w:b/>
                      <w:color w:val="auto"/>
                      <w:kern w:val="0"/>
                      <w:szCs w:val="21"/>
                    </w:rPr>
                    <w:t xml:space="preserve">  </w:t>
                  </w:r>
                  <w:r>
                    <w:rPr>
                      <w:b/>
                      <w:color w:val="auto"/>
                      <w:kern w:val="0"/>
                      <w:szCs w:val="21"/>
                    </w:rPr>
                    <w:t xml:space="preserve"> 污染因子</w:t>
                  </w:r>
                </w:p>
                <w:p w14:paraId="2D6E9286">
                  <w:pPr>
                    <w:adjustRightInd w:val="0"/>
                    <w:snapToGrid w:val="0"/>
                    <w:rPr>
                      <w:b/>
                      <w:color w:val="auto"/>
                      <w:kern w:val="0"/>
                      <w:szCs w:val="21"/>
                    </w:rPr>
                  </w:pPr>
                  <w:r>
                    <w:rPr>
                      <w:b/>
                      <w:color w:val="auto"/>
                      <w:kern w:val="0"/>
                      <w:szCs w:val="21"/>
                    </w:rPr>
                    <w:t>执行标准</w:t>
                  </w:r>
                </w:p>
              </w:tc>
              <w:tc>
                <w:tcPr>
                  <w:tcW w:w="347" w:type="pct"/>
                  <w:noWrap w:val="0"/>
                  <w:vAlign w:val="center"/>
                </w:tcPr>
                <w:p w14:paraId="2309A151">
                  <w:pPr>
                    <w:adjustRightInd w:val="0"/>
                    <w:snapToGrid w:val="0"/>
                    <w:jc w:val="center"/>
                    <w:rPr>
                      <w:b/>
                      <w:color w:val="auto"/>
                      <w:kern w:val="0"/>
                      <w:szCs w:val="21"/>
                    </w:rPr>
                  </w:pPr>
                  <w:r>
                    <w:rPr>
                      <w:b/>
                      <w:color w:val="auto"/>
                      <w:kern w:val="0"/>
                      <w:szCs w:val="21"/>
                    </w:rPr>
                    <w:t>pH</w:t>
                  </w:r>
                </w:p>
              </w:tc>
              <w:tc>
                <w:tcPr>
                  <w:tcW w:w="452" w:type="pct"/>
                  <w:noWrap w:val="0"/>
                  <w:vAlign w:val="center"/>
                </w:tcPr>
                <w:p w14:paraId="6C560928">
                  <w:pPr>
                    <w:adjustRightInd w:val="0"/>
                    <w:snapToGrid w:val="0"/>
                    <w:jc w:val="center"/>
                    <w:rPr>
                      <w:b/>
                      <w:color w:val="auto"/>
                      <w:kern w:val="0"/>
                      <w:szCs w:val="21"/>
                    </w:rPr>
                  </w:pPr>
                  <w:r>
                    <w:rPr>
                      <w:b/>
                      <w:color w:val="auto"/>
                      <w:kern w:val="0"/>
                      <w:szCs w:val="21"/>
                    </w:rPr>
                    <w:t>COD</w:t>
                  </w:r>
                </w:p>
              </w:tc>
              <w:tc>
                <w:tcPr>
                  <w:tcW w:w="489" w:type="pct"/>
                  <w:noWrap w:val="0"/>
                  <w:vAlign w:val="center"/>
                </w:tcPr>
                <w:p w14:paraId="26E3A3AB">
                  <w:pPr>
                    <w:adjustRightInd w:val="0"/>
                    <w:snapToGrid w:val="0"/>
                    <w:jc w:val="center"/>
                    <w:rPr>
                      <w:b/>
                      <w:color w:val="auto"/>
                      <w:kern w:val="0"/>
                      <w:szCs w:val="21"/>
                    </w:rPr>
                  </w:pPr>
                  <w:r>
                    <w:rPr>
                      <w:rFonts w:hint="eastAsia"/>
                      <w:b/>
                      <w:color w:val="auto"/>
                      <w:kern w:val="0"/>
                      <w:szCs w:val="21"/>
                    </w:rPr>
                    <w:t>BOD</w:t>
                  </w:r>
                  <w:r>
                    <w:rPr>
                      <w:rFonts w:hint="eastAsia"/>
                      <w:b/>
                      <w:color w:val="auto"/>
                      <w:kern w:val="0"/>
                      <w:szCs w:val="21"/>
                      <w:vertAlign w:val="subscript"/>
                    </w:rPr>
                    <w:t>5</w:t>
                  </w:r>
                </w:p>
              </w:tc>
              <w:tc>
                <w:tcPr>
                  <w:tcW w:w="386" w:type="pct"/>
                  <w:noWrap w:val="0"/>
                  <w:vAlign w:val="center"/>
                </w:tcPr>
                <w:p w14:paraId="56A750BC">
                  <w:pPr>
                    <w:adjustRightInd w:val="0"/>
                    <w:snapToGrid w:val="0"/>
                    <w:jc w:val="center"/>
                    <w:rPr>
                      <w:b/>
                      <w:color w:val="auto"/>
                      <w:kern w:val="0"/>
                      <w:szCs w:val="21"/>
                    </w:rPr>
                  </w:pPr>
                  <w:r>
                    <w:rPr>
                      <w:b/>
                      <w:color w:val="auto"/>
                      <w:kern w:val="0"/>
                      <w:szCs w:val="21"/>
                    </w:rPr>
                    <w:t>SS</w:t>
                  </w:r>
                </w:p>
              </w:tc>
              <w:tc>
                <w:tcPr>
                  <w:tcW w:w="565" w:type="pct"/>
                  <w:noWrap w:val="0"/>
                  <w:vAlign w:val="center"/>
                </w:tcPr>
                <w:p w14:paraId="39637339">
                  <w:pPr>
                    <w:adjustRightInd w:val="0"/>
                    <w:snapToGrid w:val="0"/>
                    <w:jc w:val="center"/>
                    <w:rPr>
                      <w:b/>
                      <w:color w:val="auto"/>
                      <w:kern w:val="0"/>
                      <w:szCs w:val="21"/>
                    </w:rPr>
                  </w:pPr>
                  <w:r>
                    <w:rPr>
                      <w:b/>
                      <w:color w:val="auto"/>
                      <w:kern w:val="0"/>
                      <w:szCs w:val="21"/>
                    </w:rPr>
                    <w:t>氨氮</w:t>
                  </w:r>
                </w:p>
              </w:tc>
              <w:tc>
                <w:tcPr>
                  <w:tcW w:w="546" w:type="pct"/>
                  <w:noWrap w:val="0"/>
                  <w:vAlign w:val="center"/>
                </w:tcPr>
                <w:p w14:paraId="1C43A987">
                  <w:pPr>
                    <w:adjustRightInd w:val="0"/>
                    <w:snapToGrid w:val="0"/>
                    <w:jc w:val="center"/>
                    <w:rPr>
                      <w:b/>
                      <w:color w:val="auto"/>
                      <w:kern w:val="0"/>
                      <w:szCs w:val="21"/>
                    </w:rPr>
                  </w:pPr>
                  <w:r>
                    <w:rPr>
                      <w:b/>
                      <w:color w:val="auto"/>
                      <w:kern w:val="0"/>
                      <w:szCs w:val="21"/>
                    </w:rPr>
                    <w:t>总氮</w:t>
                  </w:r>
                </w:p>
              </w:tc>
              <w:tc>
                <w:tcPr>
                  <w:tcW w:w="452" w:type="pct"/>
                  <w:noWrap w:val="0"/>
                  <w:vAlign w:val="center"/>
                </w:tcPr>
                <w:p w14:paraId="50D96A46">
                  <w:pPr>
                    <w:adjustRightInd w:val="0"/>
                    <w:snapToGrid w:val="0"/>
                    <w:jc w:val="center"/>
                    <w:rPr>
                      <w:rFonts w:hint="eastAsia"/>
                      <w:b/>
                      <w:color w:val="auto"/>
                      <w:kern w:val="0"/>
                      <w:szCs w:val="21"/>
                    </w:rPr>
                  </w:pPr>
                  <w:r>
                    <w:rPr>
                      <w:b/>
                      <w:color w:val="auto"/>
                      <w:kern w:val="0"/>
                      <w:szCs w:val="21"/>
                    </w:rPr>
                    <w:t>总磷</w:t>
                  </w:r>
                </w:p>
              </w:tc>
              <w:tc>
                <w:tcPr>
                  <w:tcW w:w="553" w:type="pct"/>
                  <w:noWrap w:val="0"/>
                  <w:vAlign w:val="center"/>
                </w:tcPr>
                <w:p w14:paraId="653A8D40">
                  <w:pPr>
                    <w:adjustRightInd w:val="0"/>
                    <w:snapToGrid w:val="0"/>
                    <w:jc w:val="center"/>
                    <w:rPr>
                      <w:rFonts w:hint="eastAsia" w:eastAsia="宋体"/>
                      <w:b/>
                      <w:color w:val="auto"/>
                      <w:kern w:val="0"/>
                      <w:szCs w:val="21"/>
                      <w:lang w:val="en-US" w:eastAsia="zh-CN"/>
                    </w:rPr>
                  </w:pPr>
                  <w:r>
                    <w:rPr>
                      <w:rFonts w:hint="eastAsia"/>
                      <w:b/>
                      <w:color w:val="auto"/>
                      <w:kern w:val="0"/>
                      <w:szCs w:val="21"/>
                      <w:lang w:val="en-US" w:eastAsia="zh-CN"/>
                    </w:rPr>
                    <w:t>氟化物</w:t>
                  </w:r>
                </w:p>
              </w:tc>
            </w:tr>
            <w:tr w14:paraId="395EBE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06" w:type="pct"/>
                  <w:shd w:val="clear" w:color="auto" w:fill="auto"/>
                  <w:noWrap w:val="0"/>
                  <w:vAlign w:val="center"/>
                </w:tcPr>
                <w:p w14:paraId="0B40A19E">
                  <w:pPr>
                    <w:pStyle w:val="91"/>
                    <w:keepNext w:val="0"/>
                    <w:keepLines w:val="0"/>
                    <w:pageBreakBefore w:val="0"/>
                    <w:kinsoku/>
                    <w:wordWrap/>
                    <w:overflowPunct/>
                    <w:topLinePunct w:val="0"/>
                    <w:bidi w:val="0"/>
                    <w:snapToGrid w:val="0"/>
                    <w:spacing w:after="0" w:afterLines="0"/>
                    <w:ind w:left="0" w:leftChars="0" w:right="0" w:rightChars="0"/>
                    <w:textAlignment w:val="auto"/>
                    <w:rPr>
                      <w:rFonts w:hint="default" w:ascii="Times New Roman" w:hAnsi="Times New Roman" w:eastAsia="宋体" w:cs="Times New Roman"/>
                      <w:b/>
                      <w:color w:val="auto"/>
                      <w:kern w:val="0"/>
                      <w:sz w:val="21"/>
                      <w:szCs w:val="21"/>
                      <w:lang w:val="en-US" w:eastAsia="zh-CN" w:bidi="ar-SA"/>
                    </w:rPr>
                  </w:pPr>
                  <w:r>
                    <w:rPr>
                      <w:rFonts w:hint="eastAsia" w:ascii="Times New Roman" w:hAnsi="Times New Roman" w:eastAsia="宋体"/>
                      <w:b/>
                      <w:color w:val="auto"/>
                      <w:kern w:val="0"/>
                      <w:sz w:val="21"/>
                      <w:szCs w:val="21"/>
                      <w:lang w:val="en-US" w:eastAsia="zh-CN"/>
                    </w:rPr>
                    <w:t>污水综合排放标准</w:t>
                  </w:r>
                </w:p>
              </w:tc>
              <w:tc>
                <w:tcPr>
                  <w:tcW w:w="347" w:type="pct"/>
                  <w:shd w:val="clear" w:color="auto" w:fill="auto"/>
                  <w:noWrap w:val="0"/>
                  <w:vAlign w:val="center"/>
                </w:tcPr>
                <w:p w14:paraId="08B099A4">
                  <w:pPr>
                    <w:keepNext w:val="0"/>
                    <w:keepLines w:val="0"/>
                    <w:pageBreakBefore w:val="0"/>
                    <w:kinsoku/>
                    <w:wordWrap/>
                    <w:overflowPunct/>
                    <w:topLinePunct w:val="0"/>
                    <w:bidi w:val="0"/>
                    <w:snapToGrid w:val="0"/>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6~9</w:t>
                  </w:r>
                </w:p>
              </w:tc>
              <w:tc>
                <w:tcPr>
                  <w:tcW w:w="452" w:type="pct"/>
                  <w:shd w:val="clear" w:color="auto" w:fill="auto"/>
                  <w:noWrap w:val="0"/>
                  <w:vAlign w:val="center"/>
                </w:tcPr>
                <w:p w14:paraId="3BA3888F">
                  <w:pPr>
                    <w:keepNext w:val="0"/>
                    <w:keepLines w:val="0"/>
                    <w:pageBreakBefore w:val="0"/>
                    <w:kinsoku/>
                    <w:wordWrap/>
                    <w:overflowPunct/>
                    <w:topLinePunct w:val="0"/>
                    <w:bidi w:val="0"/>
                    <w:snapToGrid w:val="0"/>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500</w:t>
                  </w:r>
                </w:p>
              </w:tc>
              <w:tc>
                <w:tcPr>
                  <w:tcW w:w="489" w:type="pct"/>
                  <w:shd w:val="clear" w:color="auto" w:fill="auto"/>
                  <w:noWrap w:val="0"/>
                  <w:vAlign w:val="center"/>
                </w:tcPr>
                <w:p w14:paraId="27E36268">
                  <w:pPr>
                    <w:keepNext w:val="0"/>
                    <w:keepLines w:val="0"/>
                    <w:pageBreakBefore w:val="0"/>
                    <w:kinsoku/>
                    <w:wordWrap/>
                    <w:overflowPunct/>
                    <w:topLinePunct w:val="0"/>
                    <w:bidi w:val="0"/>
                    <w:snapToGrid w:val="0"/>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300</w:t>
                  </w:r>
                </w:p>
              </w:tc>
              <w:tc>
                <w:tcPr>
                  <w:tcW w:w="386" w:type="pct"/>
                  <w:shd w:val="clear" w:color="auto" w:fill="auto"/>
                  <w:noWrap w:val="0"/>
                  <w:vAlign w:val="center"/>
                </w:tcPr>
                <w:p w14:paraId="6CBA8AAA">
                  <w:pPr>
                    <w:keepNext w:val="0"/>
                    <w:keepLines w:val="0"/>
                    <w:pageBreakBefore w:val="0"/>
                    <w:kinsoku/>
                    <w:wordWrap/>
                    <w:overflowPunct/>
                    <w:topLinePunct w:val="0"/>
                    <w:bidi w:val="0"/>
                    <w:snapToGrid w:val="0"/>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400</w:t>
                  </w:r>
                </w:p>
              </w:tc>
              <w:tc>
                <w:tcPr>
                  <w:tcW w:w="565" w:type="pct"/>
                  <w:noWrap w:val="0"/>
                  <w:vAlign w:val="center"/>
                </w:tcPr>
                <w:p w14:paraId="754ED803">
                  <w:pPr>
                    <w:adjustRightInd w:val="0"/>
                    <w:snapToGrid w:val="0"/>
                    <w:jc w:val="center"/>
                    <w:rPr>
                      <w:rFonts w:hint="eastAsia" w:eastAsia="宋体"/>
                      <w:color w:val="auto"/>
                      <w:kern w:val="0"/>
                      <w:szCs w:val="21"/>
                      <w:lang w:val="en-US" w:eastAsia="zh-CN"/>
                    </w:rPr>
                  </w:pPr>
                  <w:r>
                    <w:rPr>
                      <w:rFonts w:hint="eastAsia"/>
                      <w:color w:val="auto"/>
                      <w:kern w:val="0"/>
                      <w:szCs w:val="21"/>
                      <w:lang w:val="en-US" w:eastAsia="zh-CN"/>
                    </w:rPr>
                    <w:t>/</w:t>
                  </w:r>
                </w:p>
              </w:tc>
              <w:tc>
                <w:tcPr>
                  <w:tcW w:w="546" w:type="pct"/>
                  <w:noWrap w:val="0"/>
                  <w:vAlign w:val="center"/>
                </w:tcPr>
                <w:p w14:paraId="70322456">
                  <w:pPr>
                    <w:adjustRightInd w:val="0"/>
                    <w:snapToGrid w:val="0"/>
                    <w:jc w:val="center"/>
                    <w:rPr>
                      <w:rFonts w:hint="eastAsia" w:eastAsia="宋体"/>
                      <w:color w:val="auto"/>
                      <w:kern w:val="0"/>
                      <w:szCs w:val="21"/>
                      <w:lang w:val="en-US" w:eastAsia="zh-CN"/>
                    </w:rPr>
                  </w:pPr>
                  <w:r>
                    <w:rPr>
                      <w:rFonts w:hint="eastAsia"/>
                      <w:color w:val="auto"/>
                      <w:kern w:val="0"/>
                      <w:szCs w:val="21"/>
                      <w:lang w:val="en-US" w:eastAsia="zh-CN"/>
                    </w:rPr>
                    <w:t>/</w:t>
                  </w:r>
                </w:p>
              </w:tc>
              <w:tc>
                <w:tcPr>
                  <w:tcW w:w="452" w:type="pct"/>
                  <w:noWrap w:val="0"/>
                  <w:vAlign w:val="center"/>
                </w:tcPr>
                <w:p w14:paraId="51C7192A">
                  <w:pPr>
                    <w:adjustRightInd w:val="0"/>
                    <w:snapToGrid w:val="0"/>
                    <w:jc w:val="center"/>
                    <w:rPr>
                      <w:rFonts w:hint="eastAsia" w:eastAsia="宋体"/>
                      <w:color w:val="auto"/>
                      <w:kern w:val="0"/>
                      <w:szCs w:val="21"/>
                      <w:lang w:val="en-US" w:eastAsia="zh-CN"/>
                    </w:rPr>
                  </w:pPr>
                  <w:r>
                    <w:rPr>
                      <w:rFonts w:hint="eastAsia"/>
                      <w:color w:val="auto"/>
                      <w:kern w:val="0"/>
                      <w:szCs w:val="21"/>
                      <w:lang w:val="en-US" w:eastAsia="zh-CN"/>
                    </w:rPr>
                    <w:t>/</w:t>
                  </w:r>
                </w:p>
              </w:tc>
              <w:tc>
                <w:tcPr>
                  <w:tcW w:w="553" w:type="pct"/>
                  <w:noWrap w:val="0"/>
                  <w:vAlign w:val="center"/>
                </w:tcPr>
                <w:p w14:paraId="77E87AC8">
                  <w:pPr>
                    <w:adjustRightInd w:val="0"/>
                    <w:snapToGrid w:val="0"/>
                    <w:jc w:val="center"/>
                    <w:rPr>
                      <w:rFonts w:hint="default"/>
                      <w:color w:val="auto"/>
                      <w:kern w:val="0"/>
                      <w:szCs w:val="21"/>
                      <w:lang w:val="en-US" w:eastAsia="zh-CN"/>
                    </w:rPr>
                  </w:pPr>
                  <w:r>
                    <w:rPr>
                      <w:rFonts w:hint="eastAsia"/>
                      <w:color w:val="auto"/>
                      <w:kern w:val="0"/>
                      <w:szCs w:val="21"/>
                      <w:lang w:val="en-US" w:eastAsia="zh-CN"/>
                    </w:rPr>
                    <w:t>20</w:t>
                  </w:r>
                </w:p>
              </w:tc>
            </w:tr>
            <w:tr w14:paraId="475827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06" w:type="pct"/>
                  <w:noWrap w:val="0"/>
                  <w:vAlign w:val="center"/>
                </w:tcPr>
                <w:p w14:paraId="3BBC0C22">
                  <w:pPr>
                    <w:adjustRightInd w:val="0"/>
                    <w:snapToGrid w:val="0"/>
                    <w:jc w:val="center"/>
                    <w:rPr>
                      <w:b/>
                      <w:color w:val="auto"/>
                      <w:kern w:val="0"/>
                      <w:szCs w:val="21"/>
                    </w:rPr>
                  </w:pPr>
                  <w:r>
                    <w:rPr>
                      <w:b/>
                      <w:color w:val="auto"/>
                      <w:kern w:val="0"/>
                      <w:szCs w:val="21"/>
                    </w:rPr>
                    <w:t>接管标准</w:t>
                  </w:r>
                </w:p>
              </w:tc>
              <w:tc>
                <w:tcPr>
                  <w:tcW w:w="347" w:type="pct"/>
                  <w:noWrap w:val="0"/>
                  <w:vAlign w:val="center"/>
                </w:tcPr>
                <w:p w14:paraId="089E095E">
                  <w:pPr>
                    <w:adjustRightInd w:val="0"/>
                    <w:snapToGrid w:val="0"/>
                    <w:jc w:val="center"/>
                    <w:rPr>
                      <w:color w:val="auto"/>
                      <w:kern w:val="0"/>
                      <w:szCs w:val="21"/>
                    </w:rPr>
                  </w:pPr>
                  <w:r>
                    <w:rPr>
                      <w:color w:val="auto"/>
                      <w:kern w:val="0"/>
                      <w:szCs w:val="21"/>
                    </w:rPr>
                    <w:t>6~9</w:t>
                  </w:r>
                </w:p>
              </w:tc>
              <w:tc>
                <w:tcPr>
                  <w:tcW w:w="452" w:type="pct"/>
                  <w:noWrap w:val="0"/>
                  <w:vAlign w:val="center"/>
                </w:tcPr>
                <w:p w14:paraId="7D4096A2">
                  <w:pPr>
                    <w:adjustRightInd w:val="0"/>
                    <w:snapToGrid w:val="0"/>
                    <w:jc w:val="center"/>
                    <w:rPr>
                      <w:rFonts w:hint="default" w:eastAsia="宋体"/>
                      <w:color w:val="auto"/>
                      <w:kern w:val="0"/>
                      <w:szCs w:val="21"/>
                      <w:lang w:val="en-US" w:eastAsia="zh-CN"/>
                    </w:rPr>
                  </w:pPr>
                  <w:r>
                    <w:rPr>
                      <w:rFonts w:hint="eastAsia"/>
                      <w:color w:val="auto"/>
                      <w:kern w:val="0"/>
                      <w:szCs w:val="21"/>
                      <w:lang w:val="en-US" w:eastAsia="zh-CN"/>
                    </w:rPr>
                    <w:t>500</w:t>
                  </w:r>
                </w:p>
              </w:tc>
              <w:tc>
                <w:tcPr>
                  <w:tcW w:w="489" w:type="pct"/>
                  <w:noWrap w:val="0"/>
                  <w:vAlign w:val="center"/>
                </w:tcPr>
                <w:p w14:paraId="53F12CA5">
                  <w:pPr>
                    <w:adjustRightInd w:val="0"/>
                    <w:snapToGrid w:val="0"/>
                    <w:jc w:val="center"/>
                    <w:rPr>
                      <w:rFonts w:hint="default" w:eastAsia="宋体"/>
                      <w:color w:val="auto"/>
                      <w:kern w:val="0"/>
                      <w:szCs w:val="21"/>
                      <w:lang w:val="en-US" w:eastAsia="zh-CN"/>
                    </w:rPr>
                  </w:pPr>
                  <w:r>
                    <w:rPr>
                      <w:rFonts w:hint="eastAsia"/>
                      <w:color w:val="auto"/>
                      <w:kern w:val="0"/>
                      <w:szCs w:val="21"/>
                      <w:lang w:val="en-US" w:eastAsia="zh-CN"/>
                    </w:rPr>
                    <w:t>200</w:t>
                  </w:r>
                </w:p>
              </w:tc>
              <w:tc>
                <w:tcPr>
                  <w:tcW w:w="386" w:type="pct"/>
                  <w:noWrap w:val="0"/>
                  <w:vAlign w:val="center"/>
                </w:tcPr>
                <w:p w14:paraId="5F062BFD">
                  <w:pPr>
                    <w:adjustRightInd w:val="0"/>
                    <w:snapToGrid w:val="0"/>
                    <w:jc w:val="center"/>
                    <w:rPr>
                      <w:rFonts w:hint="default" w:eastAsia="宋体"/>
                      <w:color w:val="auto"/>
                      <w:kern w:val="0"/>
                      <w:szCs w:val="21"/>
                      <w:lang w:val="en-US" w:eastAsia="zh-CN"/>
                    </w:rPr>
                  </w:pPr>
                  <w:r>
                    <w:rPr>
                      <w:rFonts w:hint="eastAsia"/>
                      <w:color w:val="auto"/>
                      <w:kern w:val="0"/>
                      <w:szCs w:val="21"/>
                      <w:lang w:val="en-US" w:eastAsia="zh-CN"/>
                    </w:rPr>
                    <w:t>250</w:t>
                  </w:r>
                </w:p>
              </w:tc>
              <w:tc>
                <w:tcPr>
                  <w:tcW w:w="565" w:type="pct"/>
                  <w:noWrap w:val="0"/>
                  <w:vAlign w:val="center"/>
                </w:tcPr>
                <w:p w14:paraId="0D3B0984">
                  <w:pPr>
                    <w:adjustRightInd w:val="0"/>
                    <w:snapToGrid w:val="0"/>
                    <w:jc w:val="center"/>
                    <w:rPr>
                      <w:color w:val="auto"/>
                      <w:kern w:val="0"/>
                      <w:szCs w:val="21"/>
                    </w:rPr>
                  </w:pPr>
                  <w:r>
                    <w:rPr>
                      <w:rFonts w:hint="eastAsia"/>
                      <w:color w:val="auto"/>
                      <w:kern w:val="0"/>
                      <w:szCs w:val="21"/>
                    </w:rPr>
                    <w:t>30</w:t>
                  </w:r>
                </w:p>
              </w:tc>
              <w:tc>
                <w:tcPr>
                  <w:tcW w:w="546" w:type="pct"/>
                  <w:noWrap w:val="0"/>
                  <w:vAlign w:val="center"/>
                </w:tcPr>
                <w:p w14:paraId="3F158C67">
                  <w:pPr>
                    <w:adjustRightInd w:val="0"/>
                    <w:snapToGrid w:val="0"/>
                    <w:jc w:val="center"/>
                    <w:rPr>
                      <w:color w:val="auto"/>
                      <w:kern w:val="0"/>
                      <w:szCs w:val="21"/>
                    </w:rPr>
                  </w:pPr>
                  <w:r>
                    <w:rPr>
                      <w:rFonts w:hint="eastAsia"/>
                      <w:color w:val="auto"/>
                      <w:kern w:val="0"/>
                      <w:szCs w:val="21"/>
                    </w:rPr>
                    <w:t>40</w:t>
                  </w:r>
                </w:p>
              </w:tc>
              <w:tc>
                <w:tcPr>
                  <w:tcW w:w="452" w:type="pct"/>
                  <w:noWrap w:val="0"/>
                  <w:vAlign w:val="center"/>
                </w:tcPr>
                <w:p w14:paraId="55800121">
                  <w:pPr>
                    <w:adjustRightInd w:val="0"/>
                    <w:snapToGrid w:val="0"/>
                    <w:jc w:val="center"/>
                    <w:rPr>
                      <w:color w:val="auto"/>
                      <w:kern w:val="0"/>
                      <w:szCs w:val="21"/>
                    </w:rPr>
                  </w:pPr>
                  <w:r>
                    <w:rPr>
                      <w:rFonts w:hint="eastAsia"/>
                      <w:color w:val="auto"/>
                      <w:kern w:val="0"/>
                      <w:szCs w:val="21"/>
                    </w:rPr>
                    <w:t>5</w:t>
                  </w:r>
                </w:p>
              </w:tc>
              <w:tc>
                <w:tcPr>
                  <w:tcW w:w="553" w:type="pct"/>
                  <w:noWrap w:val="0"/>
                  <w:vAlign w:val="center"/>
                </w:tcPr>
                <w:p w14:paraId="2B3E5309">
                  <w:pPr>
                    <w:adjustRightInd w:val="0"/>
                    <w:snapToGrid w:val="0"/>
                    <w:jc w:val="center"/>
                    <w:rPr>
                      <w:rFonts w:hint="default" w:eastAsia="宋体"/>
                      <w:color w:val="auto"/>
                      <w:kern w:val="0"/>
                      <w:szCs w:val="21"/>
                      <w:lang w:val="en-US" w:eastAsia="zh-CN"/>
                    </w:rPr>
                  </w:pPr>
                  <w:r>
                    <w:rPr>
                      <w:rFonts w:hint="eastAsia"/>
                      <w:color w:val="auto"/>
                      <w:kern w:val="0"/>
                      <w:szCs w:val="21"/>
                      <w:lang w:val="en-US" w:eastAsia="zh-CN"/>
                    </w:rPr>
                    <w:t>1.5</w:t>
                  </w:r>
                </w:p>
              </w:tc>
            </w:tr>
            <w:tr w14:paraId="7C8BC2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06" w:type="pct"/>
                  <w:noWrap w:val="0"/>
                  <w:vAlign w:val="center"/>
                </w:tcPr>
                <w:p w14:paraId="1330EB61">
                  <w:pPr>
                    <w:adjustRightInd w:val="0"/>
                    <w:snapToGrid w:val="0"/>
                    <w:jc w:val="center"/>
                    <w:rPr>
                      <w:b/>
                      <w:color w:val="auto"/>
                      <w:kern w:val="0"/>
                      <w:szCs w:val="21"/>
                    </w:rPr>
                  </w:pPr>
                  <w:r>
                    <w:rPr>
                      <w:b/>
                      <w:color w:val="auto"/>
                      <w:kern w:val="0"/>
                      <w:szCs w:val="21"/>
                    </w:rPr>
                    <w:t>尾水排放标准</w:t>
                  </w:r>
                </w:p>
              </w:tc>
              <w:tc>
                <w:tcPr>
                  <w:tcW w:w="347" w:type="pct"/>
                  <w:noWrap w:val="0"/>
                  <w:vAlign w:val="center"/>
                </w:tcPr>
                <w:p w14:paraId="706C0B58">
                  <w:pPr>
                    <w:adjustRightInd w:val="0"/>
                    <w:snapToGrid w:val="0"/>
                    <w:jc w:val="center"/>
                    <w:rPr>
                      <w:color w:val="auto"/>
                      <w:kern w:val="0"/>
                      <w:szCs w:val="21"/>
                    </w:rPr>
                  </w:pPr>
                  <w:r>
                    <w:rPr>
                      <w:color w:val="auto"/>
                      <w:kern w:val="0"/>
                      <w:szCs w:val="21"/>
                    </w:rPr>
                    <w:t>6~</w:t>
                  </w:r>
                  <w:r>
                    <w:rPr>
                      <w:rFonts w:hint="eastAsia"/>
                      <w:color w:val="auto"/>
                      <w:kern w:val="0"/>
                      <w:szCs w:val="21"/>
                    </w:rPr>
                    <w:t>9</w:t>
                  </w:r>
                </w:p>
              </w:tc>
              <w:tc>
                <w:tcPr>
                  <w:tcW w:w="452" w:type="pct"/>
                  <w:noWrap w:val="0"/>
                  <w:vAlign w:val="center"/>
                </w:tcPr>
                <w:p w14:paraId="21CD309C">
                  <w:pPr>
                    <w:adjustRightInd w:val="0"/>
                    <w:snapToGrid w:val="0"/>
                    <w:jc w:val="center"/>
                    <w:rPr>
                      <w:color w:val="auto"/>
                      <w:kern w:val="0"/>
                      <w:szCs w:val="21"/>
                    </w:rPr>
                  </w:pPr>
                  <w:r>
                    <w:rPr>
                      <w:rFonts w:hint="eastAsia"/>
                      <w:color w:val="auto"/>
                      <w:kern w:val="0"/>
                      <w:szCs w:val="21"/>
                      <w:lang w:val="en-US" w:eastAsia="zh-CN"/>
                    </w:rPr>
                    <w:t>5</w:t>
                  </w:r>
                  <w:r>
                    <w:rPr>
                      <w:rFonts w:hint="eastAsia"/>
                      <w:color w:val="auto"/>
                      <w:kern w:val="0"/>
                      <w:szCs w:val="21"/>
                    </w:rPr>
                    <w:t>0</w:t>
                  </w:r>
                </w:p>
              </w:tc>
              <w:tc>
                <w:tcPr>
                  <w:tcW w:w="489" w:type="pct"/>
                  <w:noWrap w:val="0"/>
                  <w:vAlign w:val="center"/>
                </w:tcPr>
                <w:p w14:paraId="6D9FD176">
                  <w:pPr>
                    <w:adjustRightInd w:val="0"/>
                    <w:snapToGrid w:val="0"/>
                    <w:jc w:val="center"/>
                    <w:rPr>
                      <w:color w:val="auto"/>
                      <w:kern w:val="0"/>
                      <w:szCs w:val="21"/>
                    </w:rPr>
                  </w:pPr>
                  <w:r>
                    <w:rPr>
                      <w:rFonts w:hint="eastAsia"/>
                      <w:color w:val="auto"/>
                      <w:kern w:val="0"/>
                      <w:szCs w:val="21"/>
                    </w:rPr>
                    <w:t>10</w:t>
                  </w:r>
                </w:p>
              </w:tc>
              <w:tc>
                <w:tcPr>
                  <w:tcW w:w="386" w:type="pct"/>
                  <w:noWrap w:val="0"/>
                  <w:vAlign w:val="center"/>
                </w:tcPr>
                <w:p w14:paraId="03160C07">
                  <w:pPr>
                    <w:adjustRightInd w:val="0"/>
                    <w:snapToGrid w:val="0"/>
                    <w:jc w:val="center"/>
                    <w:rPr>
                      <w:color w:val="auto"/>
                      <w:kern w:val="0"/>
                      <w:szCs w:val="21"/>
                    </w:rPr>
                  </w:pPr>
                  <w:r>
                    <w:rPr>
                      <w:color w:val="auto"/>
                      <w:kern w:val="0"/>
                      <w:szCs w:val="21"/>
                    </w:rPr>
                    <w:t>10</w:t>
                  </w:r>
                </w:p>
              </w:tc>
              <w:tc>
                <w:tcPr>
                  <w:tcW w:w="565" w:type="pct"/>
                  <w:noWrap w:val="0"/>
                  <w:vAlign w:val="center"/>
                </w:tcPr>
                <w:p w14:paraId="3CD04016">
                  <w:pPr>
                    <w:adjustRightInd w:val="0"/>
                    <w:snapToGrid w:val="0"/>
                    <w:jc w:val="center"/>
                    <w:rPr>
                      <w:color w:val="auto"/>
                      <w:kern w:val="0"/>
                      <w:szCs w:val="21"/>
                    </w:rPr>
                  </w:pPr>
                  <w:r>
                    <w:rPr>
                      <w:color w:val="auto"/>
                      <w:kern w:val="0"/>
                      <w:szCs w:val="21"/>
                    </w:rPr>
                    <w:t>5</w:t>
                  </w:r>
                  <w:r>
                    <w:rPr>
                      <w:rFonts w:hint="eastAsia"/>
                      <w:color w:val="auto"/>
                      <w:kern w:val="0"/>
                      <w:szCs w:val="21"/>
                    </w:rPr>
                    <w:t>（</w:t>
                  </w:r>
                  <w:r>
                    <w:rPr>
                      <w:color w:val="auto"/>
                      <w:kern w:val="0"/>
                      <w:szCs w:val="21"/>
                    </w:rPr>
                    <w:t>8</w:t>
                  </w:r>
                  <w:r>
                    <w:rPr>
                      <w:rFonts w:hint="eastAsia"/>
                      <w:color w:val="auto"/>
                      <w:kern w:val="0"/>
                      <w:szCs w:val="21"/>
                    </w:rPr>
                    <w:t>）*</w:t>
                  </w:r>
                </w:p>
              </w:tc>
              <w:tc>
                <w:tcPr>
                  <w:tcW w:w="546" w:type="pct"/>
                  <w:noWrap w:val="0"/>
                  <w:vAlign w:val="center"/>
                </w:tcPr>
                <w:p w14:paraId="596532F9">
                  <w:pPr>
                    <w:adjustRightInd w:val="0"/>
                    <w:snapToGrid w:val="0"/>
                    <w:jc w:val="center"/>
                    <w:rPr>
                      <w:color w:val="auto"/>
                      <w:kern w:val="0"/>
                      <w:szCs w:val="21"/>
                    </w:rPr>
                  </w:pPr>
                  <w:r>
                    <w:rPr>
                      <w:color w:val="auto"/>
                      <w:kern w:val="0"/>
                      <w:szCs w:val="21"/>
                    </w:rPr>
                    <w:t>15</w:t>
                  </w:r>
                </w:p>
              </w:tc>
              <w:tc>
                <w:tcPr>
                  <w:tcW w:w="452" w:type="pct"/>
                  <w:noWrap w:val="0"/>
                  <w:vAlign w:val="center"/>
                </w:tcPr>
                <w:p w14:paraId="6BD14652">
                  <w:pPr>
                    <w:adjustRightInd w:val="0"/>
                    <w:snapToGrid w:val="0"/>
                    <w:jc w:val="center"/>
                    <w:rPr>
                      <w:color w:val="auto"/>
                      <w:kern w:val="0"/>
                      <w:szCs w:val="21"/>
                    </w:rPr>
                  </w:pPr>
                  <w:r>
                    <w:rPr>
                      <w:color w:val="auto"/>
                      <w:kern w:val="0"/>
                      <w:szCs w:val="21"/>
                    </w:rPr>
                    <w:t>0.5</w:t>
                  </w:r>
                </w:p>
              </w:tc>
              <w:tc>
                <w:tcPr>
                  <w:tcW w:w="553" w:type="pct"/>
                  <w:noWrap w:val="0"/>
                  <w:vAlign w:val="center"/>
                </w:tcPr>
                <w:p w14:paraId="76096FBB">
                  <w:pPr>
                    <w:adjustRightInd w:val="0"/>
                    <w:snapToGrid w:val="0"/>
                    <w:jc w:val="center"/>
                    <w:rPr>
                      <w:rFonts w:hint="default" w:eastAsia="宋体"/>
                      <w:color w:val="auto"/>
                      <w:kern w:val="0"/>
                      <w:szCs w:val="21"/>
                      <w:lang w:val="en-US" w:eastAsia="zh-CN"/>
                    </w:rPr>
                  </w:pPr>
                  <w:r>
                    <w:rPr>
                      <w:rFonts w:hint="eastAsia"/>
                      <w:color w:val="auto"/>
                      <w:kern w:val="0"/>
                      <w:szCs w:val="21"/>
                      <w:lang w:val="en-US" w:eastAsia="zh-CN"/>
                    </w:rPr>
                    <w:t>1.5</w:t>
                  </w:r>
                </w:p>
              </w:tc>
            </w:tr>
            <w:tr w14:paraId="7DC71A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9"/>
                  <w:noWrap w:val="0"/>
                  <w:vAlign w:val="center"/>
                </w:tcPr>
                <w:p w14:paraId="44620090">
                  <w:pPr>
                    <w:adjustRightInd w:val="0"/>
                    <w:snapToGrid w:val="0"/>
                    <w:jc w:val="left"/>
                    <w:rPr>
                      <w:color w:val="auto"/>
                      <w:szCs w:val="21"/>
                    </w:rPr>
                  </w:pPr>
                  <w:r>
                    <w:rPr>
                      <w:color w:val="auto"/>
                      <w:szCs w:val="21"/>
                    </w:rPr>
                    <w:t>注：*括号外数值为水温</w:t>
                  </w:r>
                  <w:r>
                    <w:rPr>
                      <w:rFonts w:hint="eastAsia"/>
                      <w:color w:val="auto"/>
                      <w:szCs w:val="21"/>
                    </w:rPr>
                    <w:t>&gt;</w:t>
                  </w:r>
                  <w:r>
                    <w:rPr>
                      <w:color w:val="auto"/>
                      <w:szCs w:val="21"/>
                    </w:rPr>
                    <w:t>12℃时的控制指标，括号内数值为水温≤12℃时的控制指标。</w:t>
                  </w:r>
                </w:p>
                <w:p w14:paraId="3C7DF809">
                  <w:pPr>
                    <w:adjustRightInd w:val="0"/>
                    <w:snapToGrid w:val="0"/>
                    <w:ind w:firstLine="420" w:firstLineChars="200"/>
                    <w:jc w:val="left"/>
                    <w:rPr>
                      <w:rFonts w:hint="default" w:eastAsia="宋体"/>
                      <w:color w:val="auto"/>
                      <w:szCs w:val="21"/>
                      <w:lang w:val="en-US" w:eastAsia="zh-CN"/>
                    </w:rPr>
                  </w:pPr>
                  <w:r>
                    <w:rPr>
                      <w:rFonts w:hint="eastAsia"/>
                      <w:color w:val="auto"/>
                      <w:szCs w:val="21"/>
                      <w:lang w:val="en-US" w:eastAsia="zh-CN"/>
                    </w:rPr>
                    <w:t>氟化物</w:t>
                  </w:r>
                  <w:r>
                    <w:rPr>
                      <w:rFonts w:ascii="Times New Roman" w:hAnsi="Times New Roman" w:eastAsia="宋体" w:cs="Times New Roman"/>
                      <w:color w:val="auto"/>
                      <w:szCs w:val="21"/>
                    </w:rPr>
                    <w:t>接管</w:t>
                  </w:r>
                  <w:r>
                    <w:rPr>
                      <w:rFonts w:hint="eastAsia" w:eastAsia="宋体" w:cs="Times New Roman"/>
                      <w:color w:val="auto"/>
                      <w:szCs w:val="21"/>
                      <w:lang w:eastAsia="zh-CN"/>
                    </w:rPr>
                    <w:t>、</w:t>
                  </w:r>
                  <w:r>
                    <w:rPr>
                      <w:rFonts w:hint="eastAsia" w:eastAsia="宋体" w:cs="Times New Roman"/>
                      <w:color w:val="auto"/>
                      <w:szCs w:val="21"/>
                      <w:lang w:val="en-US" w:eastAsia="zh-CN"/>
                    </w:rPr>
                    <w:t>排放</w:t>
                  </w:r>
                  <w:r>
                    <w:rPr>
                      <w:rFonts w:ascii="Times New Roman" w:hAnsi="Times New Roman" w:eastAsia="宋体" w:cs="Times New Roman"/>
                      <w:color w:val="auto"/>
                      <w:szCs w:val="21"/>
                    </w:rPr>
                    <w:t>标准参照</w:t>
                  </w:r>
                  <w:r>
                    <w:rPr>
                      <w:rFonts w:hint="eastAsia" w:ascii="Times New Roman" w:hAnsi="Times New Roman" w:eastAsia="宋体" w:cs="Times New Roman"/>
                      <w:color w:val="auto"/>
                      <w:szCs w:val="21"/>
                      <w:lang w:eastAsia="zh-CN"/>
                    </w:rPr>
                    <w:t>《</w:t>
                  </w:r>
                  <w:r>
                    <w:rPr>
                      <w:rFonts w:hint="eastAsia" w:eastAsia="宋体" w:cs="Times New Roman"/>
                      <w:color w:val="auto"/>
                      <w:szCs w:val="21"/>
                      <w:lang w:val="en-US" w:eastAsia="zh-CN"/>
                    </w:rPr>
                    <w:t>城镇污水处理厂污染物排放标准</w:t>
                  </w:r>
                  <w:r>
                    <w:rPr>
                      <w:rFonts w:hint="eastAsia" w:ascii="Times New Roman" w:hAnsi="Times New Roman" w:eastAsia="宋体" w:cs="Times New Roman"/>
                      <w:color w:val="auto"/>
                      <w:szCs w:val="21"/>
                      <w:lang w:eastAsia="zh-CN"/>
                    </w:rPr>
                    <w:t>》（</w:t>
                  </w:r>
                  <w:r>
                    <w:rPr>
                      <w:rFonts w:hint="eastAsia" w:eastAsia="宋体" w:cs="Times New Roman"/>
                      <w:color w:val="auto"/>
                      <w:szCs w:val="21"/>
                      <w:lang w:val="en-US" w:eastAsia="zh-CN"/>
                    </w:rPr>
                    <w:t>D</w:t>
                  </w:r>
                  <w:r>
                    <w:rPr>
                      <w:rFonts w:ascii="Times New Roman" w:hAnsi="Times New Roman" w:eastAsia="宋体" w:cs="Times New Roman"/>
                      <w:color w:val="auto"/>
                      <w:szCs w:val="21"/>
                    </w:rPr>
                    <w:t>B</w:t>
                  </w:r>
                  <w:r>
                    <w:rPr>
                      <w:rFonts w:hint="eastAsia" w:eastAsia="宋体" w:cs="Times New Roman"/>
                      <w:color w:val="auto"/>
                      <w:szCs w:val="21"/>
                      <w:lang w:val="en-US" w:eastAsia="zh-CN"/>
                    </w:rPr>
                    <w:t>32/4440</w:t>
                  </w:r>
                  <w:r>
                    <w:rPr>
                      <w:rFonts w:ascii="Times New Roman" w:hAnsi="Times New Roman" w:eastAsia="宋体" w:cs="Times New Roman"/>
                      <w:color w:val="auto"/>
                      <w:szCs w:val="21"/>
                    </w:rPr>
                    <w:t>-</w:t>
                  </w:r>
                  <w:r>
                    <w:rPr>
                      <w:rFonts w:hint="eastAsia" w:eastAsia="宋体" w:cs="Times New Roman"/>
                      <w:color w:val="auto"/>
                      <w:szCs w:val="21"/>
                      <w:lang w:val="en-US" w:eastAsia="zh-CN"/>
                    </w:rPr>
                    <w:t>2022</w:t>
                  </w:r>
                  <w:r>
                    <w:rPr>
                      <w:rFonts w:hint="eastAsia" w:ascii="Times New Roman" w:hAnsi="Times New Roman" w:eastAsia="宋体" w:cs="Times New Roman"/>
                      <w:color w:val="auto"/>
                      <w:szCs w:val="21"/>
                      <w:lang w:eastAsia="zh-CN"/>
                    </w:rPr>
                    <w:t>）</w:t>
                  </w:r>
                  <w:r>
                    <w:rPr>
                      <w:rFonts w:hint="eastAsia" w:eastAsia="宋体" w:cs="Times New Roman"/>
                      <w:color w:val="auto"/>
                      <w:szCs w:val="21"/>
                      <w:lang w:val="en-US" w:eastAsia="zh-CN"/>
                    </w:rPr>
                    <w:t>表4中排放限值</w:t>
                  </w:r>
                  <w:r>
                    <w:rPr>
                      <w:rFonts w:hint="eastAsia" w:ascii="Times New Roman" w:hAnsi="Times New Roman" w:eastAsia="宋体" w:cs="Times New Roman"/>
                      <w:color w:val="auto"/>
                      <w:szCs w:val="21"/>
                      <w:lang w:val="en-US" w:eastAsia="zh-CN"/>
                    </w:rPr>
                    <w:t>。</w:t>
                  </w:r>
                </w:p>
              </w:tc>
            </w:tr>
          </w:tbl>
          <w:p w14:paraId="2BA7FCD6">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textAlignment w:val="auto"/>
              <w:rPr>
                <w:b/>
                <w:bCs/>
                <w:color w:val="auto"/>
              </w:rPr>
            </w:pPr>
            <w:r>
              <w:rPr>
                <w:rFonts w:hint="default" w:ascii="Times New Roman" w:hAnsi="Times New Roman" w:eastAsia="宋体" w:cs="Times New Roman"/>
                <w:b/>
                <w:bCs/>
                <w:color w:val="auto"/>
                <w:kern w:val="2"/>
                <w:sz w:val="21"/>
                <w:szCs w:val="21"/>
                <w:lang w:val="en-US" w:eastAsia="zh-CN" w:bidi="ar-SA"/>
              </w:rPr>
              <w:t>3、</w:t>
            </w:r>
            <w:r>
              <w:rPr>
                <w:rFonts w:hint="eastAsia"/>
                <w:b/>
                <w:bCs/>
                <w:color w:val="auto"/>
              </w:rPr>
              <w:t>噪声排放标准</w:t>
            </w:r>
          </w:p>
          <w:p w14:paraId="669B5B1B">
            <w:pPr>
              <w:widowControl/>
              <w:spacing w:line="360" w:lineRule="auto"/>
              <w:ind w:firstLine="420" w:firstLineChars="200"/>
              <w:rPr>
                <w:color w:val="auto"/>
              </w:rPr>
            </w:pPr>
            <w:r>
              <w:rPr>
                <w:color w:val="auto"/>
              </w:rPr>
              <w:t>项目运行期间，厂界噪声执行《工业企业厂界环境噪声排放标准》（GB12348-2008）3类标准限值，具体标准限值见表3-</w:t>
            </w:r>
            <w:r>
              <w:rPr>
                <w:rFonts w:hint="eastAsia"/>
                <w:color w:val="auto"/>
              </w:rPr>
              <w:t>5</w:t>
            </w:r>
            <w:r>
              <w:rPr>
                <w:color w:val="auto"/>
              </w:rPr>
              <w:t>。</w:t>
            </w:r>
          </w:p>
          <w:p w14:paraId="710311F1">
            <w:pPr>
              <w:adjustRightInd w:val="0"/>
              <w:snapToGrid w:val="0"/>
              <w:spacing w:before="120" w:beforeLines="50"/>
              <w:jc w:val="center"/>
              <w:rPr>
                <w:b/>
                <w:bCs/>
                <w:color w:val="auto"/>
              </w:rPr>
            </w:pPr>
            <w:r>
              <w:rPr>
                <w:b/>
                <w:color w:val="auto"/>
              </w:rPr>
              <w:t>表3-</w:t>
            </w:r>
            <w:r>
              <w:rPr>
                <w:rFonts w:hint="eastAsia"/>
                <w:b/>
                <w:color w:val="auto"/>
              </w:rPr>
              <w:t xml:space="preserve">5 </w:t>
            </w:r>
            <w:r>
              <w:rPr>
                <w:b/>
                <w:color w:val="auto"/>
              </w:rPr>
              <w:t>《工业企业厂界环境噪声排放标准》（GB12348-2008）</w:t>
            </w:r>
            <w:r>
              <w:rPr>
                <w:rFonts w:hint="eastAsia"/>
                <w:b/>
                <w:color w:val="auto"/>
              </w:rPr>
              <w:t>（单位：</w:t>
            </w:r>
            <w:r>
              <w:rPr>
                <w:b/>
                <w:color w:val="auto"/>
              </w:rPr>
              <w:t>dB</w:t>
            </w:r>
            <w:r>
              <w:rPr>
                <w:rFonts w:hint="eastAsia"/>
                <w:b/>
                <w:color w:val="auto"/>
              </w:rPr>
              <w:t>(</w:t>
            </w:r>
            <w:r>
              <w:rPr>
                <w:b/>
                <w:color w:val="auto"/>
              </w:rPr>
              <w:t>A</w:t>
            </w:r>
            <w:r>
              <w:rPr>
                <w:rFonts w:hint="eastAsia"/>
                <w:b/>
                <w:color w:val="auto"/>
              </w:rPr>
              <w:t>)）</w:t>
            </w:r>
          </w:p>
          <w:tbl>
            <w:tblPr>
              <w:tblStyle w:val="30"/>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242"/>
              <w:gridCol w:w="1148"/>
              <w:gridCol w:w="809"/>
              <w:gridCol w:w="775"/>
              <w:gridCol w:w="3997"/>
            </w:tblGrid>
            <w:tr w14:paraId="2F12DB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2449" w:type="dxa"/>
                  <w:gridSpan w:val="2"/>
                  <w:vAlign w:val="center"/>
                </w:tcPr>
                <w:p w14:paraId="1DD4436A">
                  <w:pPr>
                    <w:adjustRightInd w:val="0"/>
                    <w:snapToGrid w:val="0"/>
                    <w:spacing w:line="0" w:lineRule="atLeast"/>
                    <w:jc w:val="center"/>
                    <w:rPr>
                      <w:color w:val="auto"/>
                    </w:rPr>
                  </w:pPr>
                  <w:r>
                    <w:rPr>
                      <w:color w:val="auto"/>
                    </w:rPr>
                    <w:t>厂界外声环境功能区类别</w:t>
                  </w:r>
                </w:p>
              </w:tc>
              <w:tc>
                <w:tcPr>
                  <w:tcW w:w="828" w:type="dxa"/>
                  <w:vAlign w:val="center"/>
                </w:tcPr>
                <w:p w14:paraId="732AEC88">
                  <w:pPr>
                    <w:adjustRightInd w:val="0"/>
                    <w:snapToGrid w:val="0"/>
                    <w:spacing w:line="0" w:lineRule="atLeast"/>
                    <w:jc w:val="center"/>
                    <w:rPr>
                      <w:color w:val="auto"/>
                    </w:rPr>
                  </w:pPr>
                  <w:r>
                    <w:rPr>
                      <w:color w:val="auto"/>
                    </w:rPr>
                    <w:t>昼间</w:t>
                  </w:r>
                </w:p>
              </w:tc>
              <w:tc>
                <w:tcPr>
                  <w:tcW w:w="794" w:type="dxa"/>
                  <w:vAlign w:val="center"/>
                </w:tcPr>
                <w:p w14:paraId="50C111FE">
                  <w:pPr>
                    <w:adjustRightInd w:val="0"/>
                    <w:snapToGrid w:val="0"/>
                    <w:spacing w:line="0" w:lineRule="atLeast"/>
                    <w:jc w:val="center"/>
                    <w:rPr>
                      <w:color w:val="auto"/>
                    </w:rPr>
                  </w:pPr>
                  <w:r>
                    <w:rPr>
                      <w:rFonts w:hint="eastAsia"/>
                      <w:color w:val="auto"/>
                    </w:rPr>
                    <w:t>夜间</w:t>
                  </w:r>
                </w:p>
              </w:tc>
              <w:tc>
                <w:tcPr>
                  <w:tcW w:w="4101" w:type="dxa"/>
                  <w:vAlign w:val="center"/>
                </w:tcPr>
                <w:p w14:paraId="19DC2F64">
                  <w:pPr>
                    <w:adjustRightInd w:val="0"/>
                    <w:snapToGrid w:val="0"/>
                    <w:spacing w:line="0" w:lineRule="atLeast"/>
                    <w:jc w:val="center"/>
                    <w:rPr>
                      <w:color w:val="auto"/>
                    </w:rPr>
                  </w:pPr>
                  <w:r>
                    <w:rPr>
                      <w:rFonts w:hint="eastAsia"/>
                      <w:color w:val="auto"/>
                    </w:rPr>
                    <w:t>排放标准</w:t>
                  </w:r>
                </w:p>
              </w:tc>
            </w:tr>
            <w:tr w14:paraId="7F8C2A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273" w:type="dxa"/>
                  <w:vAlign w:val="center"/>
                </w:tcPr>
                <w:p w14:paraId="01742039">
                  <w:pPr>
                    <w:adjustRightInd w:val="0"/>
                    <w:snapToGrid w:val="0"/>
                    <w:spacing w:line="0" w:lineRule="atLeast"/>
                    <w:jc w:val="center"/>
                    <w:rPr>
                      <w:color w:val="auto"/>
                    </w:rPr>
                  </w:pPr>
                  <w:r>
                    <w:rPr>
                      <w:color w:val="auto"/>
                    </w:rPr>
                    <w:t>厂界</w:t>
                  </w:r>
                </w:p>
              </w:tc>
              <w:tc>
                <w:tcPr>
                  <w:tcW w:w="1176" w:type="dxa"/>
                  <w:vAlign w:val="center"/>
                </w:tcPr>
                <w:p w14:paraId="5F04D8DC">
                  <w:pPr>
                    <w:adjustRightInd w:val="0"/>
                    <w:snapToGrid w:val="0"/>
                    <w:spacing w:line="0" w:lineRule="atLeast"/>
                    <w:jc w:val="center"/>
                    <w:rPr>
                      <w:color w:val="auto"/>
                    </w:rPr>
                  </w:pPr>
                  <w:r>
                    <w:rPr>
                      <w:color w:val="auto"/>
                    </w:rPr>
                    <w:t>3类</w:t>
                  </w:r>
                </w:p>
              </w:tc>
              <w:tc>
                <w:tcPr>
                  <w:tcW w:w="828" w:type="dxa"/>
                  <w:vAlign w:val="center"/>
                </w:tcPr>
                <w:p w14:paraId="58006BEE">
                  <w:pPr>
                    <w:adjustRightInd w:val="0"/>
                    <w:snapToGrid w:val="0"/>
                    <w:spacing w:line="0" w:lineRule="atLeast"/>
                    <w:jc w:val="center"/>
                    <w:rPr>
                      <w:color w:val="auto"/>
                    </w:rPr>
                  </w:pPr>
                  <w:r>
                    <w:rPr>
                      <w:color w:val="auto"/>
                    </w:rPr>
                    <w:t>65</w:t>
                  </w:r>
                </w:p>
              </w:tc>
              <w:tc>
                <w:tcPr>
                  <w:tcW w:w="794" w:type="dxa"/>
                  <w:vAlign w:val="center"/>
                </w:tcPr>
                <w:p w14:paraId="23396001">
                  <w:pPr>
                    <w:adjustRightInd w:val="0"/>
                    <w:snapToGrid w:val="0"/>
                    <w:spacing w:line="0" w:lineRule="atLeast"/>
                    <w:jc w:val="center"/>
                    <w:rPr>
                      <w:color w:val="auto"/>
                    </w:rPr>
                  </w:pPr>
                  <w:r>
                    <w:rPr>
                      <w:rFonts w:hint="eastAsia"/>
                      <w:color w:val="auto"/>
                    </w:rPr>
                    <w:t>55</w:t>
                  </w:r>
                </w:p>
              </w:tc>
              <w:tc>
                <w:tcPr>
                  <w:tcW w:w="4101" w:type="dxa"/>
                  <w:vAlign w:val="center"/>
                </w:tcPr>
                <w:p w14:paraId="6B24D855">
                  <w:pPr>
                    <w:adjustRightInd w:val="0"/>
                    <w:snapToGrid w:val="0"/>
                    <w:spacing w:line="0" w:lineRule="atLeast"/>
                    <w:jc w:val="center"/>
                    <w:rPr>
                      <w:color w:val="auto"/>
                    </w:rPr>
                  </w:pPr>
                  <w:r>
                    <w:rPr>
                      <w:color w:val="auto"/>
                    </w:rPr>
                    <w:t>《工业企业厂界环境噪声排放标准》（GB</w:t>
                  </w:r>
                  <w:r>
                    <w:rPr>
                      <w:rFonts w:hint="eastAsia"/>
                      <w:color w:val="auto"/>
                    </w:rPr>
                    <w:t xml:space="preserve"> </w:t>
                  </w:r>
                  <w:r>
                    <w:rPr>
                      <w:color w:val="auto"/>
                    </w:rPr>
                    <w:t>12348-2008）</w:t>
                  </w:r>
                </w:p>
              </w:tc>
            </w:tr>
          </w:tbl>
          <w:p w14:paraId="3F398B42">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textAlignment w:val="auto"/>
              <w:rPr>
                <w:b/>
                <w:bCs/>
                <w:color w:val="auto"/>
              </w:rPr>
            </w:pPr>
            <w:r>
              <w:rPr>
                <w:rFonts w:hint="default" w:ascii="Times New Roman" w:hAnsi="Times New Roman" w:eastAsia="宋体" w:cs="Times New Roman"/>
                <w:b/>
                <w:bCs/>
                <w:color w:val="auto"/>
                <w:kern w:val="2"/>
                <w:sz w:val="21"/>
                <w:szCs w:val="21"/>
                <w:lang w:val="en-US" w:eastAsia="zh-CN" w:bidi="ar-SA"/>
              </w:rPr>
              <w:t>4、</w:t>
            </w:r>
            <w:r>
              <w:rPr>
                <w:rFonts w:hint="eastAsia"/>
                <w:b/>
                <w:bCs/>
                <w:color w:val="auto"/>
              </w:rPr>
              <w:t>固废排放标准</w:t>
            </w:r>
          </w:p>
          <w:p w14:paraId="1DA03746">
            <w:pPr>
              <w:adjustRightInd w:val="0"/>
              <w:snapToGrid w:val="0"/>
              <w:spacing w:line="360" w:lineRule="auto"/>
              <w:ind w:firstLine="420" w:firstLineChars="200"/>
              <w:rPr>
                <w:snapToGrid w:val="0"/>
                <w:color w:val="auto"/>
                <w:kern w:val="0"/>
                <w:szCs w:val="21"/>
              </w:rPr>
            </w:pPr>
            <w:r>
              <w:rPr>
                <w:snapToGrid w:val="0"/>
                <w:color w:val="auto"/>
                <w:kern w:val="0"/>
                <w:szCs w:val="21"/>
              </w:rPr>
              <w:t>固体废物依据《国家危险废物名录》（202</w:t>
            </w:r>
            <w:r>
              <w:rPr>
                <w:rFonts w:hint="eastAsia"/>
                <w:snapToGrid w:val="0"/>
                <w:color w:val="auto"/>
                <w:kern w:val="0"/>
                <w:szCs w:val="21"/>
              </w:rPr>
              <w:t>5</w:t>
            </w:r>
            <w:r>
              <w:rPr>
                <w:snapToGrid w:val="0"/>
                <w:color w:val="auto"/>
                <w:kern w:val="0"/>
                <w:szCs w:val="21"/>
              </w:rPr>
              <w:t>版）和《危险废物鉴别标准通则》（GB5085.7-2019）来鉴别一般工业废物和危险废物。</w:t>
            </w:r>
          </w:p>
          <w:p w14:paraId="2675392B">
            <w:pPr>
              <w:adjustRightInd w:val="0"/>
              <w:snapToGrid w:val="0"/>
              <w:spacing w:line="360" w:lineRule="auto"/>
              <w:ind w:firstLine="420" w:firstLineChars="200"/>
              <w:rPr>
                <w:color w:val="auto"/>
                <w:szCs w:val="21"/>
              </w:rPr>
            </w:pPr>
            <w:r>
              <w:rPr>
                <w:color w:val="auto"/>
                <w:szCs w:val="21"/>
              </w:rPr>
              <w:t>建设项目一般固体废物贮存和处置执行《一般工业固体废物贮存和填埋污染控制标准》（GB18599-2020）和《中华人民共和国固体废弃物污染环境防治法》（2020年修订）中的有关规定。</w:t>
            </w:r>
          </w:p>
          <w:p w14:paraId="7A1EFE0F">
            <w:pPr>
              <w:adjustRightInd w:val="0"/>
              <w:snapToGrid w:val="0"/>
              <w:spacing w:line="360" w:lineRule="auto"/>
              <w:ind w:firstLine="420" w:firstLineChars="200"/>
              <w:rPr>
                <w:color w:val="auto"/>
                <w:szCs w:val="21"/>
              </w:rPr>
            </w:pPr>
            <w:r>
              <w:rPr>
                <w:color w:val="auto"/>
                <w:szCs w:val="21"/>
              </w:rPr>
              <w:t>危险废物贮存和处置执行《危险废物贮存污染控制标准》（GB18597-2023）、《危险废物收集储存运输技术规范》（HJ 2025-2012）和《江苏省固体废物全过程环境监管工作意见》（苏环办〔2024〕16号）中相关规定要求。</w:t>
            </w:r>
          </w:p>
          <w:p w14:paraId="120584AE">
            <w:pPr>
              <w:adjustRightInd w:val="0"/>
              <w:spacing w:line="360" w:lineRule="auto"/>
              <w:ind w:firstLine="420" w:firstLineChars="200"/>
              <w:textAlignment w:val="baseline"/>
              <w:rPr>
                <w:color w:val="auto"/>
                <w:szCs w:val="21"/>
              </w:rPr>
            </w:pPr>
            <w:r>
              <w:rPr>
                <w:color w:val="auto"/>
                <w:szCs w:val="21"/>
              </w:rPr>
              <w:t>生活垃圾处置执行《中华人民共和国固体废物污染环境防治法》（2020年9月1日施行）第四章中相关规定</w:t>
            </w:r>
            <w:r>
              <w:rPr>
                <w:rFonts w:ascii="宋体" w:hAnsi="宋体" w:cs="宋体"/>
                <w:color w:val="auto"/>
                <w:szCs w:val="21"/>
              </w:rPr>
              <w:t>。</w:t>
            </w:r>
          </w:p>
        </w:tc>
      </w:tr>
      <w:tr w14:paraId="5EC833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5" w:hRule="atLeast"/>
          <w:jc w:val="center"/>
        </w:trPr>
        <w:tc>
          <w:tcPr>
            <w:tcW w:w="727" w:type="dxa"/>
            <w:vAlign w:val="center"/>
          </w:tcPr>
          <w:p w14:paraId="70E22728">
            <w:pPr>
              <w:adjustRightInd w:val="0"/>
              <w:snapToGrid w:val="0"/>
              <w:jc w:val="center"/>
              <w:rPr>
                <w:rFonts w:hint="eastAsia" w:ascii="宋体" w:hAnsi="宋体" w:cs="宋体"/>
                <w:color w:val="000000"/>
                <w:kern w:val="0"/>
                <w:szCs w:val="21"/>
              </w:rPr>
            </w:pPr>
            <w:r>
              <w:rPr>
                <w:rFonts w:hint="eastAsia" w:cs="宋体"/>
                <w:kern w:val="0"/>
                <w:szCs w:val="21"/>
              </w:rPr>
              <w:t>总量控制指标</w:t>
            </w:r>
          </w:p>
        </w:tc>
        <w:tc>
          <w:tcPr>
            <w:tcW w:w="8190" w:type="dxa"/>
            <w:vAlign w:val="top"/>
          </w:tcPr>
          <w:p w14:paraId="2F051129">
            <w:pPr>
              <w:pStyle w:val="10"/>
              <w:spacing w:before="0" w:after="0" w:line="360" w:lineRule="auto"/>
              <w:ind w:right="0" w:firstLine="420" w:firstLineChars="200"/>
              <w:rPr>
                <w:rFonts w:hint="default" w:eastAsia="宋体"/>
                <w:color w:val="auto"/>
                <w:sz w:val="21"/>
                <w:szCs w:val="22"/>
                <w:lang w:val="en-US" w:eastAsia="zh-CN"/>
              </w:rPr>
            </w:pPr>
            <w:r>
              <w:rPr>
                <w:rFonts w:hint="eastAsia"/>
                <w:color w:val="auto"/>
                <w:sz w:val="21"/>
                <w:szCs w:val="22"/>
                <w:lang w:val="en-US" w:eastAsia="zh-CN"/>
              </w:rPr>
              <w:t>项目总量控制指标情况见下表：</w:t>
            </w:r>
          </w:p>
          <w:p w14:paraId="70700D76">
            <w:pPr>
              <w:adjustRightInd w:val="0"/>
              <w:snapToGrid w:val="0"/>
              <w:spacing w:before="120" w:beforeLines="50"/>
              <w:jc w:val="center"/>
              <w:rPr>
                <w:rFonts w:hint="default" w:eastAsia="宋体"/>
                <w:color w:val="auto"/>
                <w:lang w:val="en-US" w:eastAsia="zh-CN"/>
              </w:rPr>
            </w:pPr>
            <w:r>
              <w:rPr>
                <w:b/>
                <w:bCs/>
                <w:color w:val="auto"/>
                <w:szCs w:val="21"/>
              </w:rPr>
              <w:t>表3-</w:t>
            </w:r>
            <w:r>
              <w:rPr>
                <w:rFonts w:hint="eastAsia"/>
                <w:b/>
                <w:bCs/>
                <w:color w:val="auto"/>
                <w:szCs w:val="21"/>
              </w:rPr>
              <w:t xml:space="preserve">6 </w:t>
            </w:r>
            <w:r>
              <w:rPr>
                <w:rFonts w:hint="eastAsia"/>
                <w:b/>
                <w:bCs/>
                <w:color w:val="auto"/>
                <w:szCs w:val="21"/>
                <w:lang w:val="en-US" w:eastAsia="zh-CN"/>
              </w:rPr>
              <w:t>项目总量控制指标情况表  单位：t/a</w:t>
            </w:r>
          </w:p>
          <w:tbl>
            <w:tblPr>
              <w:tblStyle w:val="30"/>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483"/>
              <w:gridCol w:w="832"/>
              <w:gridCol w:w="832"/>
              <w:gridCol w:w="832"/>
              <w:gridCol w:w="832"/>
              <w:gridCol w:w="832"/>
              <w:gridCol w:w="925"/>
              <w:gridCol w:w="840"/>
              <w:gridCol w:w="810"/>
              <w:gridCol w:w="753"/>
            </w:tblGrid>
            <w:tr w14:paraId="58FE0C7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650" w:hRule="atLeast"/>
                <w:jc w:val="center"/>
              </w:trPr>
              <w:tc>
                <w:tcPr>
                  <w:tcW w:w="483" w:type="dxa"/>
                  <w:tcBorders>
                    <w:top w:val="single" w:color="auto" w:sz="12" w:space="0"/>
                    <w:left w:val="nil"/>
                  </w:tcBorders>
                  <w:vAlign w:val="center"/>
                </w:tcPr>
                <w:p w14:paraId="15C15138">
                  <w:pPr>
                    <w:adjustRightInd w:val="0"/>
                    <w:snapToGrid w:val="0"/>
                    <w:jc w:val="center"/>
                    <w:rPr>
                      <w:color w:val="auto"/>
                      <w:szCs w:val="21"/>
                    </w:rPr>
                  </w:pPr>
                  <w:r>
                    <w:rPr>
                      <w:color w:val="auto"/>
                      <w:szCs w:val="21"/>
                    </w:rPr>
                    <w:t>种类</w:t>
                  </w:r>
                </w:p>
              </w:tc>
              <w:tc>
                <w:tcPr>
                  <w:tcW w:w="832" w:type="dxa"/>
                  <w:vAlign w:val="center"/>
                </w:tcPr>
                <w:p w14:paraId="345593CE">
                  <w:pPr>
                    <w:adjustRightInd w:val="0"/>
                    <w:snapToGrid w:val="0"/>
                    <w:jc w:val="center"/>
                    <w:rPr>
                      <w:color w:val="auto"/>
                      <w:szCs w:val="21"/>
                    </w:rPr>
                  </w:pPr>
                  <w:r>
                    <w:rPr>
                      <w:color w:val="auto"/>
                      <w:szCs w:val="21"/>
                    </w:rPr>
                    <w:t>污染物名称</w:t>
                  </w:r>
                </w:p>
              </w:tc>
              <w:tc>
                <w:tcPr>
                  <w:tcW w:w="832" w:type="dxa"/>
                  <w:vAlign w:val="center"/>
                </w:tcPr>
                <w:p w14:paraId="5281874D">
                  <w:pPr>
                    <w:adjustRightInd w:val="0"/>
                    <w:snapToGrid w:val="0"/>
                    <w:jc w:val="center"/>
                    <w:rPr>
                      <w:rFonts w:hint="default" w:eastAsia="宋体"/>
                      <w:color w:val="auto"/>
                      <w:szCs w:val="21"/>
                      <w:lang w:val="en-US" w:eastAsia="zh-CN"/>
                    </w:rPr>
                  </w:pPr>
                  <w:r>
                    <w:rPr>
                      <w:rFonts w:hint="eastAsia"/>
                      <w:color w:val="auto"/>
                      <w:szCs w:val="21"/>
                      <w:lang w:val="en-US" w:eastAsia="zh-CN"/>
                    </w:rPr>
                    <w:t>现有项目排放量</w:t>
                  </w:r>
                </w:p>
              </w:tc>
              <w:tc>
                <w:tcPr>
                  <w:tcW w:w="832" w:type="dxa"/>
                  <w:vAlign w:val="center"/>
                </w:tcPr>
                <w:p w14:paraId="5D51CFCF">
                  <w:pPr>
                    <w:adjustRightInd w:val="0"/>
                    <w:snapToGrid w:val="0"/>
                    <w:jc w:val="center"/>
                    <w:rPr>
                      <w:rFonts w:hint="default" w:eastAsia="宋体"/>
                      <w:color w:val="auto"/>
                      <w:szCs w:val="21"/>
                      <w:lang w:val="en-US" w:eastAsia="zh-CN"/>
                    </w:rPr>
                  </w:pPr>
                  <w:r>
                    <w:rPr>
                      <w:rFonts w:hint="eastAsia"/>
                      <w:color w:val="auto"/>
                      <w:szCs w:val="21"/>
                      <w:lang w:val="en-US" w:eastAsia="zh-CN"/>
                    </w:rPr>
                    <w:t>现有项目批复量</w:t>
                  </w:r>
                </w:p>
              </w:tc>
              <w:tc>
                <w:tcPr>
                  <w:tcW w:w="832" w:type="dxa"/>
                  <w:vAlign w:val="center"/>
                </w:tcPr>
                <w:p w14:paraId="7FEFA685">
                  <w:pPr>
                    <w:adjustRightInd w:val="0"/>
                    <w:snapToGrid w:val="0"/>
                    <w:jc w:val="center"/>
                    <w:rPr>
                      <w:rFonts w:hint="default" w:eastAsia="宋体"/>
                      <w:color w:val="auto"/>
                      <w:szCs w:val="21"/>
                      <w:lang w:val="en-US" w:eastAsia="zh-CN"/>
                    </w:rPr>
                  </w:pPr>
                  <w:r>
                    <w:rPr>
                      <w:rFonts w:hint="eastAsia"/>
                      <w:color w:val="auto"/>
                      <w:szCs w:val="21"/>
                      <w:lang w:val="en-US" w:eastAsia="zh-CN"/>
                    </w:rPr>
                    <w:t>本项目排放量</w:t>
                  </w:r>
                </w:p>
              </w:tc>
              <w:tc>
                <w:tcPr>
                  <w:tcW w:w="832" w:type="dxa"/>
                  <w:vAlign w:val="center"/>
                </w:tcPr>
                <w:p w14:paraId="52142418">
                  <w:pPr>
                    <w:adjustRightInd w:val="0"/>
                    <w:snapToGrid w:val="0"/>
                    <w:jc w:val="center"/>
                    <w:rPr>
                      <w:rFonts w:hint="default" w:eastAsia="宋体"/>
                      <w:color w:val="auto"/>
                      <w:szCs w:val="21"/>
                      <w:lang w:val="en-US" w:eastAsia="zh-CN"/>
                    </w:rPr>
                  </w:pPr>
                  <w:r>
                    <w:rPr>
                      <w:rFonts w:hint="eastAsia"/>
                      <w:color w:val="auto"/>
                      <w:szCs w:val="21"/>
                      <w:lang w:val="en-US" w:eastAsia="zh-CN"/>
                    </w:rPr>
                    <w:t>以新带老削减量</w:t>
                  </w:r>
                </w:p>
              </w:tc>
              <w:tc>
                <w:tcPr>
                  <w:tcW w:w="925" w:type="dxa"/>
                  <w:vAlign w:val="center"/>
                </w:tcPr>
                <w:p w14:paraId="69B999E3">
                  <w:pPr>
                    <w:adjustRightInd w:val="0"/>
                    <w:snapToGrid w:val="0"/>
                    <w:jc w:val="center"/>
                    <w:rPr>
                      <w:rFonts w:hint="default" w:eastAsia="宋体"/>
                      <w:color w:val="auto"/>
                      <w:szCs w:val="21"/>
                      <w:lang w:val="en-US" w:eastAsia="zh-CN"/>
                    </w:rPr>
                  </w:pPr>
                  <w:r>
                    <w:rPr>
                      <w:rFonts w:hint="eastAsia"/>
                      <w:color w:val="auto"/>
                      <w:szCs w:val="21"/>
                      <w:lang w:val="en-US" w:eastAsia="zh-CN"/>
                    </w:rPr>
                    <w:t>排放增减量</w:t>
                  </w:r>
                </w:p>
              </w:tc>
              <w:tc>
                <w:tcPr>
                  <w:tcW w:w="840" w:type="dxa"/>
                  <w:vAlign w:val="center"/>
                </w:tcPr>
                <w:p w14:paraId="10518C42">
                  <w:pPr>
                    <w:adjustRightInd w:val="0"/>
                    <w:snapToGrid w:val="0"/>
                    <w:jc w:val="center"/>
                    <w:rPr>
                      <w:rFonts w:hint="default" w:eastAsia="宋体"/>
                      <w:color w:val="auto"/>
                      <w:szCs w:val="21"/>
                      <w:lang w:val="en-US" w:eastAsia="zh-CN"/>
                    </w:rPr>
                  </w:pPr>
                  <w:r>
                    <w:rPr>
                      <w:rFonts w:hint="eastAsia"/>
                      <w:color w:val="auto"/>
                      <w:szCs w:val="21"/>
                      <w:lang w:val="en-US" w:eastAsia="zh-CN"/>
                    </w:rPr>
                    <w:t>全厂排放（接管）量</w:t>
                  </w:r>
                </w:p>
              </w:tc>
              <w:tc>
                <w:tcPr>
                  <w:tcW w:w="810" w:type="dxa"/>
                  <w:vAlign w:val="center"/>
                </w:tcPr>
                <w:p w14:paraId="02CE8991">
                  <w:pPr>
                    <w:adjustRightInd w:val="0"/>
                    <w:snapToGrid w:val="0"/>
                    <w:jc w:val="center"/>
                    <w:rPr>
                      <w:rFonts w:hint="default" w:eastAsia="宋体"/>
                      <w:color w:val="auto"/>
                      <w:szCs w:val="21"/>
                      <w:lang w:val="en-US" w:eastAsia="zh-CN"/>
                    </w:rPr>
                  </w:pPr>
                  <w:r>
                    <w:rPr>
                      <w:rFonts w:hint="eastAsia"/>
                      <w:color w:val="auto"/>
                      <w:szCs w:val="21"/>
                      <w:lang w:val="en-US" w:eastAsia="zh-CN"/>
                    </w:rPr>
                    <w:t>全厂控制总量</w:t>
                  </w:r>
                </w:p>
              </w:tc>
              <w:tc>
                <w:tcPr>
                  <w:tcW w:w="753" w:type="dxa"/>
                  <w:shd w:val="clear"/>
                  <w:vAlign w:val="center"/>
                </w:tcPr>
                <w:p w14:paraId="631BCA1D">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全厂外排量</w:t>
                  </w:r>
                </w:p>
              </w:tc>
            </w:tr>
            <w:tr w14:paraId="7C727A7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83" w:type="dxa"/>
                  <w:vMerge w:val="restart"/>
                  <w:vAlign w:val="center"/>
                </w:tcPr>
                <w:p w14:paraId="7357C592">
                  <w:pPr>
                    <w:jc w:val="center"/>
                    <w:rPr>
                      <w:rFonts w:hint="eastAsia" w:eastAsia="宋体"/>
                      <w:color w:val="auto"/>
                      <w:szCs w:val="21"/>
                      <w:lang w:val="en-US" w:eastAsia="zh-CN"/>
                    </w:rPr>
                  </w:pPr>
                  <w:r>
                    <w:rPr>
                      <w:rFonts w:hint="eastAsia"/>
                      <w:color w:val="auto"/>
                      <w:szCs w:val="21"/>
                      <w:lang w:val="en-US" w:eastAsia="zh-CN"/>
                    </w:rPr>
                    <w:t>废气</w:t>
                  </w:r>
                </w:p>
              </w:tc>
              <w:tc>
                <w:tcPr>
                  <w:tcW w:w="832" w:type="dxa"/>
                  <w:shd w:val="clear" w:color="auto" w:fill="auto"/>
                  <w:vAlign w:val="center"/>
                </w:tcPr>
                <w:p w14:paraId="3478B25A">
                  <w:pPr>
                    <w:autoSpaceDE w:val="0"/>
                    <w:autoSpaceDN w:val="0"/>
                    <w:jc w:val="center"/>
                    <w:rPr>
                      <w:rFonts w:hint="eastAsia" w:ascii="Times New Roman" w:hAnsi="Times New Roman" w:eastAsia="宋体" w:cs="Times New Roman"/>
                      <w:color w:val="000000"/>
                      <w:kern w:val="2"/>
                      <w:sz w:val="21"/>
                      <w:szCs w:val="21"/>
                      <w:vertAlign w:val="superscript"/>
                      <w:lang w:val="en-US" w:eastAsia="zh-CN" w:bidi="ar-SA"/>
                    </w:rPr>
                  </w:pPr>
                  <w:r>
                    <w:rPr>
                      <w:rFonts w:hint="eastAsia"/>
                      <w:bCs/>
                      <w:szCs w:val="21"/>
                    </w:rPr>
                    <w:t>颗粒物</w:t>
                  </w:r>
                </w:p>
              </w:tc>
              <w:tc>
                <w:tcPr>
                  <w:tcW w:w="832" w:type="dxa"/>
                  <w:shd w:val="clear" w:color="auto" w:fill="auto"/>
                  <w:vAlign w:val="center"/>
                </w:tcPr>
                <w:p w14:paraId="75786F9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1.273</w:t>
                  </w:r>
                </w:p>
              </w:tc>
              <w:tc>
                <w:tcPr>
                  <w:tcW w:w="832" w:type="dxa"/>
                  <w:shd w:val="clear" w:color="auto" w:fill="auto"/>
                  <w:vAlign w:val="center"/>
                </w:tcPr>
                <w:p w14:paraId="250132A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3.59</w:t>
                  </w:r>
                </w:p>
              </w:tc>
              <w:tc>
                <w:tcPr>
                  <w:tcW w:w="832" w:type="dxa"/>
                  <w:vAlign w:val="center"/>
                </w:tcPr>
                <w:p w14:paraId="2AF96A88">
                  <w:pPr>
                    <w:pStyle w:val="107"/>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0</w:t>
                  </w:r>
                </w:p>
              </w:tc>
              <w:tc>
                <w:tcPr>
                  <w:tcW w:w="832" w:type="dxa"/>
                  <w:shd w:val="clear" w:color="auto" w:fill="auto"/>
                  <w:vAlign w:val="center"/>
                </w:tcPr>
                <w:p w14:paraId="12545285">
                  <w:pPr>
                    <w:widowControl/>
                    <w:adjustRightInd w:val="0"/>
                    <w:snapToGrid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w:t>
                  </w:r>
                </w:p>
              </w:tc>
              <w:tc>
                <w:tcPr>
                  <w:tcW w:w="925" w:type="dxa"/>
                  <w:shd w:val="clear" w:color="auto" w:fill="auto"/>
                  <w:vAlign w:val="center"/>
                </w:tcPr>
                <w:p w14:paraId="3B097D03">
                  <w:pPr>
                    <w:widowControl/>
                    <w:adjustRightInd w:val="0"/>
                    <w:snapToGrid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w:t>
                  </w:r>
                </w:p>
              </w:tc>
              <w:tc>
                <w:tcPr>
                  <w:tcW w:w="840" w:type="dxa"/>
                  <w:shd w:val="clear" w:color="auto" w:fill="auto"/>
                  <w:vAlign w:val="center"/>
                </w:tcPr>
                <w:p w14:paraId="55DFA13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1.273</w:t>
                  </w:r>
                </w:p>
              </w:tc>
              <w:tc>
                <w:tcPr>
                  <w:tcW w:w="810" w:type="dxa"/>
                  <w:shd w:val="clear" w:color="auto" w:fill="auto"/>
                  <w:vAlign w:val="center"/>
                </w:tcPr>
                <w:p w14:paraId="45E5BF8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3.59</w:t>
                  </w:r>
                </w:p>
              </w:tc>
              <w:tc>
                <w:tcPr>
                  <w:tcW w:w="753" w:type="dxa"/>
                  <w:shd w:val="clear" w:color="auto" w:fill="auto"/>
                  <w:vAlign w:val="center"/>
                </w:tcPr>
                <w:p w14:paraId="541A311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1.273</w:t>
                  </w:r>
                </w:p>
              </w:tc>
            </w:tr>
            <w:tr w14:paraId="293B62E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83" w:type="dxa"/>
                  <w:vMerge w:val="continue"/>
                  <w:vAlign w:val="center"/>
                </w:tcPr>
                <w:p w14:paraId="03F378AD">
                  <w:pPr>
                    <w:jc w:val="center"/>
                    <w:rPr>
                      <w:color w:val="auto"/>
                      <w:szCs w:val="21"/>
                    </w:rPr>
                  </w:pPr>
                </w:p>
              </w:tc>
              <w:tc>
                <w:tcPr>
                  <w:tcW w:w="832" w:type="dxa"/>
                  <w:shd w:val="clear" w:color="auto" w:fill="auto"/>
                  <w:vAlign w:val="center"/>
                </w:tcPr>
                <w:p w14:paraId="2ECA4927">
                  <w:pPr>
                    <w:autoSpaceDE w:val="0"/>
                    <w:autoSpaceDN w:val="0"/>
                    <w:jc w:val="center"/>
                    <w:rPr>
                      <w:rFonts w:hint="eastAsia" w:ascii="Times New Roman" w:hAnsi="Times New Roman" w:eastAsia="宋体" w:cs="Times New Roman"/>
                      <w:color w:val="000000"/>
                      <w:kern w:val="2"/>
                      <w:sz w:val="21"/>
                      <w:szCs w:val="21"/>
                      <w:lang w:val="en-US" w:eastAsia="zh-CN" w:bidi="ar-SA"/>
                    </w:rPr>
                  </w:pPr>
                  <w:r>
                    <w:rPr>
                      <w:rFonts w:hint="eastAsia"/>
                      <w:bCs/>
                      <w:szCs w:val="21"/>
                    </w:rPr>
                    <w:t>二氧化硫</w:t>
                  </w:r>
                </w:p>
              </w:tc>
              <w:tc>
                <w:tcPr>
                  <w:tcW w:w="832" w:type="dxa"/>
                  <w:shd w:val="clear" w:color="auto" w:fill="auto"/>
                  <w:vAlign w:val="center"/>
                </w:tcPr>
                <w:p w14:paraId="5B5D0F2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0.379</w:t>
                  </w:r>
                </w:p>
              </w:tc>
              <w:tc>
                <w:tcPr>
                  <w:tcW w:w="832" w:type="dxa"/>
                  <w:shd w:val="clear" w:color="auto" w:fill="auto"/>
                  <w:vAlign w:val="center"/>
                </w:tcPr>
                <w:p w14:paraId="180705A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1.85</w:t>
                  </w:r>
                </w:p>
              </w:tc>
              <w:tc>
                <w:tcPr>
                  <w:tcW w:w="832" w:type="dxa"/>
                  <w:vAlign w:val="center"/>
                </w:tcPr>
                <w:p w14:paraId="04E71D2A">
                  <w:pPr>
                    <w:pStyle w:val="107"/>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0</w:t>
                  </w:r>
                </w:p>
              </w:tc>
              <w:tc>
                <w:tcPr>
                  <w:tcW w:w="832" w:type="dxa"/>
                  <w:shd w:val="clear" w:color="auto" w:fill="auto"/>
                  <w:vAlign w:val="center"/>
                </w:tcPr>
                <w:p w14:paraId="1CCB456A">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w:t>
                  </w:r>
                </w:p>
              </w:tc>
              <w:tc>
                <w:tcPr>
                  <w:tcW w:w="925" w:type="dxa"/>
                  <w:shd w:val="clear" w:color="auto" w:fill="auto"/>
                  <w:vAlign w:val="center"/>
                </w:tcPr>
                <w:p w14:paraId="68A08AD9">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w:t>
                  </w:r>
                </w:p>
              </w:tc>
              <w:tc>
                <w:tcPr>
                  <w:tcW w:w="840" w:type="dxa"/>
                  <w:shd w:val="clear" w:color="auto" w:fill="auto"/>
                  <w:vAlign w:val="center"/>
                </w:tcPr>
                <w:p w14:paraId="58CAAA7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0.379</w:t>
                  </w:r>
                </w:p>
              </w:tc>
              <w:tc>
                <w:tcPr>
                  <w:tcW w:w="810" w:type="dxa"/>
                  <w:shd w:val="clear" w:color="auto" w:fill="auto"/>
                  <w:vAlign w:val="center"/>
                </w:tcPr>
                <w:p w14:paraId="47F9E72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1.85</w:t>
                  </w:r>
                </w:p>
              </w:tc>
              <w:tc>
                <w:tcPr>
                  <w:tcW w:w="753" w:type="dxa"/>
                  <w:shd w:val="clear" w:color="auto" w:fill="auto"/>
                  <w:vAlign w:val="center"/>
                </w:tcPr>
                <w:p w14:paraId="1463C03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0.379</w:t>
                  </w:r>
                </w:p>
              </w:tc>
            </w:tr>
            <w:tr w14:paraId="62DA5BF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83" w:type="dxa"/>
                  <w:vMerge w:val="continue"/>
                  <w:vAlign w:val="center"/>
                </w:tcPr>
                <w:p w14:paraId="57415FC0">
                  <w:pPr>
                    <w:jc w:val="center"/>
                    <w:rPr>
                      <w:color w:val="auto"/>
                      <w:szCs w:val="21"/>
                    </w:rPr>
                  </w:pPr>
                </w:p>
              </w:tc>
              <w:tc>
                <w:tcPr>
                  <w:tcW w:w="832" w:type="dxa"/>
                  <w:shd w:val="clear" w:color="auto" w:fill="auto"/>
                  <w:vAlign w:val="center"/>
                </w:tcPr>
                <w:p w14:paraId="6D2D1CDC">
                  <w:pPr>
                    <w:autoSpaceDE w:val="0"/>
                    <w:autoSpaceDN w:val="0"/>
                    <w:jc w:val="center"/>
                    <w:rPr>
                      <w:rFonts w:hint="eastAsia" w:ascii="Times New Roman" w:hAnsi="Times New Roman" w:eastAsia="宋体" w:cs="Times New Roman"/>
                      <w:color w:val="000000"/>
                      <w:kern w:val="2"/>
                      <w:sz w:val="21"/>
                      <w:szCs w:val="21"/>
                      <w:lang w:val="en-US" w:eastAsia="zh-CN" w:bidi="ar-SA"/>
                    </w:rPr>
                  </w:pPr>
                  <w:r>
                    <w:rPr>
                      <w:rFonts w:hint="eastAsia"/>
                      <w:bCs/>
                      <w:szCs w:val="21"/>
                    </w:rPr>
                    <w:t>氮氧化物</w:t>
                  </w:r>
                </w:p>
              </w:tc>
              <w:tc>
                <w:tcPr>
                  <w:tcW w:w="832" w:type="dxa"/>
                  <w:shd w:val="clear" w:color="auto" w:fill="auto"/>
                  <w:vAlign w:val="center"/>
                </w:tcPr>
                <w:p w14:paraId="044CBF5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2.57</w:t>
                  </w:r>
                </w:p>
              </w:tc>
              <w:tc>
                <w:tcPr>
                  <w:tcW w:w="832" w:type="dxa"/>
                  <w:shd w:val="clear" w:color="auto" w:fill="auto"/>
                  <w:vAlign w:val="center"/>
                </w:tcPr>
                <w:p w14:paraId="2D606EC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16.3</w:t>
                  </w:r>
                </w:p>
              </w:tc>
              <w:tc>
                <w:tcPr>
                  <w:tcW w:w="832" w:type="dxa"/>
                  <w:vAlign w:val="center"/>
                </w:tcPr>
                <w:p w14:paraId="5B1108CB">
                  <w:pPr>
                    <w:pStyle w:val="107"/>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0</w:t>
                  </w:r>
                </w:p>
              </w:tc>
              <w:tc>
                <w:tcPr>
                  <w:tcW w:w="832" w:type="dxa"/>
                  <w:shd w:val="clear" w:color="auto" w:fill="auto"/>
                  <w:vAlign w:val="center"/>
                </w:tcPr>
                <w:p w14:paraId="13458F3C">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w:t>
                  </w:r>
                </w:p>
              </w:tc>
              <w:tc>
                <w:tcPr>
                  <w:tcW w:w="925" w:type="dxa"/>
                  <w:shd w:val="clear" w:color="auto" w:fill="auto"/>
                  <w:vAlign w:val="center"/>
                </w:tcPr>
                <w:p w14:paraId="3E39107A">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w:t>
                  </w:r>
                </w:p>
              </w:tc>
              <w:tc>
                <w:tcPr>
                  <w:tcW w:w="840" w:type="dxa"/>
                  <w:shd w:val="clear" w:color="auto" w:fill="auto"/>
                  <w:vAlign w:val="center"/>
                </w:tcPr>
                <w:p w14:paraId="58ADDCA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2.57</w:t>
                  </w:r>
                </w:p>
              </w:tc>
              <w:tc>
                <w:tcPr>
                  <w:tcW w:w="810" w:type="dxa"/>
                  <w:shd w:val="clear" w:color="auto" w:fill="auto"/>
                  <w:vAlign w:val="center"/>
                </w:tcPr>
                <w:p w14:paraId="02DBB17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16.3</w:t>
                  </w:r>
                </w:p>
              </w:tc>
              <w:tc>
                <w:tcPr>
                  <w:tcW w:w="753" w:type="dxa"/>
                  <w:shd w:val="clear" w:color="auto" w:fill="auto"/>
                  <w:vAlign w:val="center"/>
                </w:tcPr>
                <w:p w14:paraId="533ED89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2.57</w:t>
                  </w:r>
                </w:p>
              </w:tc>
            </w:tr>
            <w:tr w14:paraId="4992391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83" w:type="dxa"/>
                  <w:vMerge w:val="continue"/>
                  <w:vAlign w:val="center"/>
                </w:tcPr>
                <w:p w14:paraId="1DBFC4F4">
                  <w:pPr>
                    <w:jc w:val="center"/>
                    <w:rPr>
                      <w:color w:val="auto"/>
                      <w:szCs w:val="21"/>
                    </w:rPr>
                  </w:pPr>
                </w:p>
              </w:tc>
              <w:tc>
                <w:tcPr>
                  <w:tcW w:w="832" w:type="dxa"/>
                  <w:shd w:val="clear" w:color="auto" w:fill="auto"/>
                  <w:vAlign w:val="center"/>
                </w:tcPr>
                <w:p w14:paraId="47F172E2">
                  <w:pPr>
                    <w:autoSpaceDE w:val="0"/>
                    <w:autoSpaceDN w:val="0"/>
                    <w:jc w:val="center"/>
                    <w:rPr>
                      <w:rFonts w:hint="default" w:ascii="Times New Roman" w:hAnsi="Times New Roman" w:eastAsia="宋体" w:cs="Times New Roman"/>
                      <w:color w:val="000000"/>
                      <w:kern w:val="2"/>
                      <w:sz w:val="21"/>
                      <w:szCs w:val="21"/>
                      <w:lang w:val="en-US" w:eastAsia="zh-CN" w:bidi="ar-SA"/>
                    </w:rPr>
                  </w:pPr>
                  <w:r>
                    <w:rPr>
                      <w:rFonts w:hint="eastAsia"/>
                      <w:bCs/>
                      <w:szCs w:val="21"/>
                      <w:lang w:val="en-US" w:eastAsia="zh-CN"/>
                    </w:rPr>
                    <w:t>VOCs</w:t>
                  </w:r>
                </w:p>
              </w:tc>
              <w:tc>
                <w:tcPr>
                  <w:tcW w:w="832" w:type="dxa"/>
                  <w:shd w:val="clear" w:color="auto" w:fill="auto"/>
                  <w:vAlign w:val="center"/>
                </w:tcPr>
                <w:p w14:paraId="3B0C0C9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0.905</w:t>
                  </w:r>
                </w:p>
              </w:tc>
              <w:tc>
                <w:tcPr>
                  <w:tcW w:w="832" w:type="dxa"/>
                  <w:shd w:val="clear" w:color="auto" w:fill="auto"/>
                  <w:vAlign w:val="center"/>
                </w:tcPr>
                <w:p w14:paraId="220F2F3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3.838</w:t>
                  </w:r>
                </w:p>
              </w:tc>
              <w:tc>
                <w:tcPr>
                  <w:tcW w:w="832" w:type="dxa"/>
                  <w:vAlign w:val="center"/>
                </w:tcPr>
                <w:p w14:paraId="76566E20">
                  <w:pPr>
                    <w:pStyle w:val="107"/>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0.0109</w:t>
                  </w:r>
                </w:p>
              </w:tc>
              <w:tc>
                <w:tcPr>
                  <w:tcW w:w="832" w:type="dxa"/>
                  <w:shd w:val="clear" w:color="auto" w:fill="auto"/>
                  <w:vAlign w:val="center"/>
                </w:tcPr>
                <w:p w14:paraId="7A18D08F">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w:t>
                  </w:r>
                </w:p>
              </w:tc>
              <w:tc>
                <w:tcPr>
                  <w:tcW w:w="925" w:type="dxa"/>
                  <w:shd w:val="clear" w:color="auto" w:fill="auto"/>
                  <w:vAlign w:val="center"/>
                </w:tcPr>
                <w:p w14:paraId="3CA81F79">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+0.0109</w:t>
                  </w:r>
                </w:p>
              </w:tc>
              <w:tc>
                <w:tcPr>
                  <w:tcW w:w="840" w:type="dxa"/>
                  <w:shd w:val="clear" w:color="auto" w:fill="auto"/>
                  <w:vAlign w:val="center"/>
                </w:tcPr>
                <w:p w14:paraId="0F01B3C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0.9159</w:t>
                  </w:r>
                </w:p>
              </w:tc>
              <w:tc>
                <w:tcPr>
                  <w:tcW w:w="810" w:type="dxa"/>
                  <w:shd w:val="clear" w:color="auto" w:fill="auto"/>
                  <w:vAlign w:val="center"/>
                </w:tcPr>
                <w:p w14:paraId="6EB9F63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3.838</w:t>
                  </w:r>
                </w:p>
              </w:tc>
              <w:tc>
                <w:tcPr>
                  <w:tcW w:w="753" w:type="dxa"/>
                  <w:shd w:val="clear" w:color="auto" w:fill="auto"/>
                  <w:vAlign w:val="center"/>
                </w:tcPr>
                <w:p w14:paraId="36035ED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0.9159</w:t>
                  </w:r>
                </w:p>
              </w:tc>
            </w:tr>
            <w:tr w14:paraId="13EA9E1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83" w:type="dxa"/>
                  <w:vMerge w:val="continue"/>
                  <w:vAlign w:val="center"/>
                </w:tcPr>
                <w:p w14:paraId="02688B00">
                  <w:pPr>
                    <w:jc w:val="center"/>
                    <w:rPr>
                      <w:color w:val="auto"/>
                      <w:szCs w:val="21"/>
                    </w:rPr>
                  </w:pPr>
                </w:p>
              </w:tc>
              <w:tc>
                <w:tcPr>
                  <w:tcW w:w="832" w:type="dxa"/>
                  <w:shd w:val="clear" w:color="auto" w:fill="auto"/>
                  <w:vAlign w:val="center"/>
                </w:tcPr>
                <w:p w14:paraId="45DDC47E">
                  <w:pPr>
                    <w:autoSpaceDE w:val="0"/>
                    <w:autoSpaceDN w:val="0"/>
                    <w:jc w:val="center"/>
                    <w:rPr>
                      <w:rFonts w:hint="eastAsia" w:ascii="Times New Roman" w:hAnsi="Times New Roman" w:eastAsia="宋体" w:cs="Times New Roman"/>
                      <w:color w:val="000000"/>
                      <w:kern w:val="2"/>
                      <w:sz w:val="21"/>
                      <w:szCs w:val="21"/>
                      <w:lang w:val="en-US" w:eastAsia="zh-CN" w:bidi="ar-SA"/>
                    </w:rPr>
                  </w:pPr>
                  <w:r>
                    <w:rPr>
                      <w:rFonts w:hint="eastAsia"/>
                      <w:bCs/>
                      <w:szCs w:val="21"/>
                    </w:rPr>
                    <w:t>氯化氢</w:t>
                  </w:r>
                </w:p>
              </w:tc>
              <w:tc>
                <w:tcPr>
                  <w:tcW w:w="832" w:type="dxa"/>
                  <w:shd w:val="clear" w:color="auto" w:fill="auto"/>
                  <w:vAlign w:val="center"/>
                </w:tcPr>
                <w:p w14:paraId="328AF4B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0.711</w:t>
                  </w:r>
                </w:p>
              </w:tc>
              <w:tc>
                <w:tcPr>
                  <w:tcW w:w="0" w:type="auto"/>
                  <w:shd w:val="clear" w:color="auto" w:fill="auto"/>
                  <w:vAlign w:val="center"/>
                </w:tcPr>
                <w:p w14:paraId="363BF8C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0.00126</w:t>
                  </w:r>
                </w:p>
              </w:tc>
              <w:tc>
                <w:tcPr>
                  <w:tcW w:w="0" w:type="auto"/>
                  <w:vAlign w:val="center"/>
                </w:tcPr>
                <w:p w14:paraId="335AB480">
                  <w:pPr>
                    <w:pStyle w:val="107"/>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0</w:t>
                  </w:r>
                </w:p>
              </w:tc>
              <w:tc>
                <w:tcPr>
                  <w:tcW w:w="0" w:type="auto"/>
                  <w:vAlign w:val="center"/>
                </w:tcPr>
                <w:p w14:paraId="360AA92C">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w:t>
                  </w:r>
                </w:p>
              </w:tc>
              <w:tc>
                <w:tcPr>
                  <w:tcW w:w="925" w:type="dxa"/>
                  <w:vAlign w:val="center"/>
                </w:tcPr>
                <w:p w14:paraId="00B8F925">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+0.70974</w:t>
                  </w:r>
                </w:p>
              </w:tc>
              <w:tc>
                <w:tcPr>
                  <w:tcW w:w="840" w:type="dxa"/>
                  <w:shd w:val="clear" w:color="auto" w:fill="auto"/>
                  <w:vAlign w:val="center"/>
                </w:tcPr>
                <w:p w14:paraId="006B48A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0.711</w:t>
                  </w:r>
                </w:p>
              </w:tc>
              <w:tc>
                <w:tcPr>
                  <w:tcW w:w="810" w:type="dxa"/>
                  <w:shd w:val="clear" w:color="auto" w:fill="auto"/>
                  <w:vAlign w:val="center"/>
                </w:tcPr>
                <w:p w14:paraId="5E850B7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0.711</w:t>
                  </w:r>
                </w:p>
              </w:tc>
              <w:tc>
                <w:tcPr>
                  <w:tcW w:w="753" w:type="dxa"/>
                  <w:shd w:val="clear" w:color="auto" w:fill="auto"/>
                  <w:vAlign w:val="center"/>
                </w:tcPr>
                <w:p w14:paraId="47AD730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0.711</w:t>
                  </w:r>
                </w:p>
              </w:tc>
            </w:tr>
            <w:tr w14:paraId="357263B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83" w:type="dxa"/>
                  <w:vMerge w:val="continue"/>
                  <w:vAlign w:val="center"/>
                </w:tcPr>
                <w:p w14:paraId="5939004D">
                  <w:pPr>
                    <w:jc w:val="center"/>
                    <w:rPr>
                      <w:color w:val="auto"/>
                      <w:szCs w:val="21"/>
                    </w:rPr>
                  </w:pPr>
                </w:p>
              </w:tc>
              <w:tc>
                <w:tcPr>
                  <w:tcW w:w="832" w:type="dxa"/>
                  <w:shd w:val="clear" w:color="auto" w:fill="auto"/>
                  <w:vAlign w:val="center"/>
                </w:tcPr>
                <w:p w14:paraId="25E12A1F">
                  <w:pPr>
                    <w:autoSpaceDE w:val="0"/>
                    <w:autoSpaceDN w:val="0"/>
                    <w:jc w:val="center"/>
                    <w:rPr>
                      <w:rFonts w:hint="eastAsia" w:ascii="Times New Roman" w:hAnsi="Times New Roman" w:eastAsia="宋体" w:cs="Times New Roman"/>
                      <w:color w:val="000000"/>
                      <w:kern w:val="2"/>
                      <w:sz w:val="21"/>
                      <w:szCs w:val="21"/>
                      <w:lang w:val="en-US" w:eastAsia="zh-CN" w:bidi="ar-SA"/>
                    </w:rPr>
                  </w:pPr>
                  <w:r>
                    <w:rPr>
                      <w:rFonts w:hint="eastAsia"/>
                      <w:bCs/>
                      <w:szCs w:val="21"/>
                    </w:rPr>
                    <w:t>硫酸雾</w:t>
                  </w:r>
                </w:p>
              </w:tc>
              <w:tc>
                <w:tcPr>
                  <w:tcW w:w="832" w:type="dxa"/>
                  <w:shd w:val="clear" w:color="auto" w:fill="auto"/>
                  <w:vAlign w:val="center"/>
                </w:tcPr>
                <w:p w14:paraId="412C1C2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0.14</w:t>
                  </w:r>
                </w:p>
              </w:tc>
              <w:tc>
                <w:tcPr>
                  <w:tcW w:w="0" w:type="auto"/>
                  <w:shd w:val="clear" w:color="auto" w:fill="auto"/>
                  <w:vAlign w:val="center"/>
                </w:tcPr>
                <w:p w14:paraId="47B0A7F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0.01296</w:t>
                  </w:r>
                </w:p>
              </w:tc>
              <w:tc>
                <w:tcPr>
                  <w:tcW w:w="0" w:type="auto"/>
                  <w:vAlign w:val="center"/>
                </w:tcPr>
                <w:p w14:paraId="3683B1CC">
                  <w:pPr>
                    <w:pStyle w:val="107"/>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0</w:t>
                  </w:r>
                </w:p>
              </w:tc>
              <w:tc>
                <w:tcPr>
                  <w:tcW w:w="0" w:type="auto"/>
                  <w:vAlign w:val="center"/>
                </w:tcPr>
                <w:p w14:paraId="4BAA6A97">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w:t>
                  </w:r>
                </w:p>
              </w:tc>
              <w:tc>
                <w:tcPr>
                  <w:tcW w:w="925" w:type="dxa"/>
                  <w:vAlign w:val="center"/>
                </w:tcPr>
                <w:p w14:paraId="76F75B89">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+0.12704</w:t>
                  </w:r>
                </w:p>
              </w:tc>
              <w:tc>
                <w:tcPr>
                  <w:tcW w:w="840" w:type="dxa"/>
                  <w:shd w:val="clear" w:color="auto" w:fill="auto"/>
                  <w:vAlign w:val="center"/>
                </w:tcPr>
                <w:p w14:paraId="040E582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0.14</w:t>
                  </w:r>
                </w:p>
              </w:tc>
              <w:tc>
                <w:tcPr>
                  <w:tcW w:w="810" w:type="dxa"/>
                  <w:shd w:val="clear" w:color="auto" w:fill="auto"/>
                  <w:vAlign w:val="center"/>
                </w:tcPr>
                <w:p w14:paraId="7152F33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0.14</w:t>
                  </w:r>
                </w:p>
              </w:tc>
              <w:tc>
                <w:tcPr>
                  <w:tcW w:w="753" w:type="dxa"/>
                  <w:shd w:val="clear" w:color="auto" w:fill="auto"/>
                  <w:vAlign w:val="center"/>
                </w:tcPr>
                <w:p w14:paraId="2DD0C39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0.14</w:t>
                  </w:r>
                </w:p>
              </w:tc>
            </w:tr>
            <w:tr w14:paraId="13F7D2E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83" w:type="dxa"/>
                  <w:vMerge w:val="restart"/>
                  <w:vAlign w:val="center"/>
                </w:tcPr>
                <w:p w14:paraId="564CB125">
                  <w:pPr>
                    <w:jc w:val="center"/>
                    <w:rPr>
                      <w:rFonts w:hint="eastAsia" w:eastAsia="宋体"/>
                      <w:color w:val="auto"/>
                      <w:szCs w:val="21"/>
                      <w:lang w:val="en-US" w:eastAsia="zh-CN"/>
                    </w:rPr>
                  </w:pPr>
                  <w:r>
                    <w:rPr>
                      <w:rFonts w:hint="eastAsia"/>
                      <w:color w:val="auto"/>
                      <w:szCs w:val="21"/>
                      <w:lang w:val="en-US" w:eastAsia="zh-CN"/>
                    </w:rPr>
                    <w:t>废水</w:t>
                  </w:r>
                </w:p>
              </w:tc>
              <w:tc>
                <w:tcPr>
                  <w:tcW w:w="832" w:type="dxa"/>
                  <w:shd w:val="clear" w:color="auto" w:fill="auto"/>
                  <w:vAlign w:val="center"/>
                </w:tcPr>
                <w:p w14:paraId="6346C553">
                  <w:pPr>
                    <w:jc w:val="center"/>
                    <w:rPr>
                      <w:rFonts w:hint="eastAsia" w:ascii="Times New Roman" w:hAnsi="Times New Roman" w:eastAsia="宋体" w:cs="Times New Roman"/>
                      <w:kern w:val="2"/>
                      <w:sz w:val="21"/>
                      <w:szCs w:val="21"/>
                      <w:lang w:val="en-US" w:eastAsia="zh-CN" w:bidi="ar-SA"/>
                    </w:rPr>
                  </w:pPr>
                  <w:r>
                    <w:rPr>
                      <w:szCs w:val="21"/>
                    </w:rPr>
                    <w:t>废水量</w:t>
                  </w:r>
                </w:p>
              </w:tc>
              <w:tc>
                <w:tcPr>
                  <w:tcW w:w="832" w:type="dxa"/>
                  <w:shd w:val="clear" w:color="auto" w:fill="auto"/>
                  <w:vAlign w:val="center"/>
                </w:tcPr>
                <w:p w14:paraId="57CB5E32">
                  <w:pPr>
                    <w:widowControl/>
                    <w:jc w:val="center"/>
                    <w:textAlignment w:val="center"/>
                    <w:rPr>
                      <w:rFonts w:hint="eastAsia" w:ascii="Times New Roman" w:hAnsi="Times New Roman" w:eastAsia="宋体" w:cs="Times New Roman"/>
                      <w:color w:val="FF0000"/>
                      <w:kern w:val="0"/>
                      <w:sz w:val="21"/>
                      <w:szCs w:val="21"/>
                      <w:lang w:val="en-US" w:eastAsia="zh-CN" w:bidi="ar"/>
                    </w:rPr>
                  </w:pPr>
                  <w:r>
                    <w:rPr>
                      <w:rFonts w:hint="eastAsia"/>
                      <w:bCs/>
                      <w:szCs w:val="21"/>
                    </w:rPr>
                    <w:t>15787.2</w:t>
                  </w:r>
                </w:p>
              </w:tc>
              <w:tc>
                <w:tcPr>
                  <w:tcW w:w="0" w:type="auto"/>
                  <w:shd w:val="clear" w:color="auto" w:fill="auto"/>
                  <w:vAlign w:val="center"/>
                </w:tcPr>
                <w:p w14:paraId="759B1969">
                  <w:pPr>
                    <w:widowControl/>
                    <w:jc w:val="center"/>
                    <w:textAlignment w:val="center"/>
                    <w:rPr>
                      <w:rFonts w:hint="eastAsia" w:ascii="Times New Roman" w:hAnsi="Times New Roman" w:eastAsia="宋体" w:cs="Times New Roman"/>
                      <w:color w:val="FF0000"/>
                      <w:kern w:val="0"/>
                      <w:sz w:val="21"/>
                      <w:szCs w:val="21"/>
                      <w:lang w:val="en-US" w:eastAsia="zh-CN" w:bidi="ar"/>
                    </w:rPr>
                  </w:pPr>
                  <w:r>
                    <w:rPr>
                      <w:rFonts w:hint="eastAsia"/>
                      <w:bCs/>
                      <w:szCs w:val="21"/>
                    </w:rPr>
                    <w:t>15787.2</w:t>
                  </w:r>
                </w:p>
              </w:tc>
              <w:tc>
                <w:tcPr>
                  <w:tcW w:w="0" w:type="auto"/>
                  <w:shd w:val="clear" w:color="auto" w:fill="auto"/>
                  <w:vAlign w:val="center"/>
                </w:tcPr>
                <w:p w14:paraId="251E64B2">
                  <w:pPr>
                    <w:pStyle w:val="42"/>
                    <w:spacing w:beforeLines="0" w:afterLines="0" w:line="240" w:lineRule="auto"/>
                    <w:rPr>
                      <w:rFonts w:hint="eastAsia" w:ascii="宋体" w:hAnsi="Times New Roman" w:eastAsia="宋体" w:cs="Times New Roman"/>
                      <w:b/>
                      <w:color w:val="FF0000"/>
                      <w:kern w:val="2"/>
                      <w:sz w:val="21"/>
                      <w:szCs w:val="21"/>
                      <w:lang w:val="en-US" w:eastAsia="zh-CN" w:bidi="ar-SA"/>
                    </w:rPr>
                  </w:pPr>
                  <w:r>
                    <w:rPr>
                      <w:rFonts w:hint="eastAsia" w:ascii="Times New Roman"/>
                      <w:b w:val="0"/>
                      <w:bCs/>
                      <w:snapToGrid w:val="0"/>
                      <w:kern w:val="21"/>
                      <w:szCs w:val="21"/>
                      <w:lang w:val="en-US" w:eastAsia="zh-CN"/>
                    </w:rPr>
                    <w:t>2376</w:t>
                  </w:r>
                </w:p>
              </w:tc>
              <w:tc>
                <w:tcPr>
                  <w:tcW w:w="0" w:type="auto"/>
                  <w:vAlign w:val="center"/>
                </w:tcPr>
                <w:p w14:paraId="205120E7">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w:t>
                  </w:r>
                </w:p>
              </w:tc>
              <w:tc>
                <w:tcPr>
                  <w:tcW w:w="925" w:type="dxa"/>
                  <w:shd w:val="clear" w:color="auto" w:fill="auto"/>
                  <w:vAlign w:val="center"/>
                </w:tcPr>
                <w:p w14:paraId="58964077">
                  <w:pPr>
                    <w:pStyle w:val="42"/>
                    <w:spacing w:beforeLines="0" w:afterLines="0" w:line="240" w:lineRule="auto"/>
                    <w:rPr>
                      <w:rFonts w:hint="eastAsia" w:ascii="宋体" w:hAnsi="Times New Roman" w:eastAsia="宋体" w:cs="Times New Roman"/>
                      <w:b/>
                      <w:color w:val="FF0000"/>
                      <w:kern w:val="2"/>
                      <w:sz w:val="21"/>
                      <w:szCs w:val="21"/>
                      <w:lang w:val="en-US" w:eastAsia="zh-CN" w:bidi="ar-SA"/>
                    </w:rPr>
                  </w:pPr>
                  <w:r>
                    <w:rPr>
                      <w:rFonts w:hint="eastAsia" w:ascii="Times New Roman"/>
                      <w:b w:val="0"/>
                      <w:bCs/>
                      <w:snapToGrid w:val="0"/>
                      <w:kern w:val="21"/>
                      <w:szCs w:val="21"/>
                      <w:lang w:val="en-US" w:eastAsia="zh-CN"/>
                    </w:rPr>
                    <w:t>+2376</w:t>
                  </w:r>
                </w:p>
              </w:tc>
              <w:tc>
                <w:tcPr>
                  <w:tcW w:w="840" w:type="dxa"/>
                  <w:shd w:val="clear" w:color="auto" w:fill="auto"/>
                  <w:vAlign w:val="center"/>
                </w:tcPr>
                <w:p w14:paraId="673F8DA8">
                  <w:pPr>
                    <w:widowControl/>
                    <w:jc w:val="center"/>
                    <w:textAlignment w:val="center"/>
                    <w:rPr>
                      <w:rFonts w:hint="eastAsia" w:ascii="Times New Roman" w:hAnsi="Times New Roman" w:eastAsia="宋体" w:cs="Times New Roman"/>
                      <w:color w:val="FF0000"/>
                      <w:kern w:val="0"/>
                      <w:sz w:val="21"/>
                      <w:szCs w:val="21"/>
                      <w:lang w:val="en-US" w:eastAsia="zh-CN" w:bidi="ar"/>
                    </w:rPr>
                  </w:pPr>
                  <w:r>
                    <w:rPr>
                      <w:rFonts w:hint="eastAsia"/>
                      <w:bCs/>
                      <w:szCs w:val="21"/>
                      <w:lang w:val="en-US" w:eastAsia="zh-CN"/>
                    </w:rPr>
                    <w:t>18163.2</w:t>
                  </w:r>
                </w:p>
              </w:tc>
              <w:tc>
                <w:tcPr>
                  <w:tcW w:w="810" w:type="dxa"/>
                  <w:shd w:val="clear" w:color="auto" w:fill="auto"/>
                  <w:vAlign w:val="center"/>
                </w:tcPr>
                <w:p w14:paraId="4B0AB749">
                  <w:pPr>
                    <w:widowControl/>
                    <w:jc w:val="center"/>
                    <w:textAlignment w:val="center"/>
                    <w:rPr>
                      <w:rFonts w:hint="eastAsia" w:ascii="Times New Roman" w:hAnsi="Times New Roman" w:eastAsia="宋体" w:cs="Times New Roman"/>
                      <w:color w:val="FF0000"/>
                      <w:kern w:val="0"/>
                      <w:sz w:val="21"/>
                      <w:szCs w:val="21"/>
                      <w:lang w:val="en-US" w:eastAsia="zh-CN" w:bidi="ar"/>
                    </w:rPr>
                  </w:pPr>
                  <w:r>
                    <w:rPr>
                      <w:rFonts w:hint="eastAsia"/>
                      <w:bCs/>
                      <w:szCs w:val="21"/>
                      <w:lang w:val="en-US" w:eastAsia="zh-CN"/>
                    </w:rPr>
                    <w:t>18163.2</w:t>
                  </w:r>
                </w:p>
              </w:tc>
              <w:tc>
                <w:tcPr>
                  <w:tcW w:w="753" w:type="dxa"/>
                  <w:shd w:val="clear" w:color="auto" w:fill="auto"/>
                  <w:vAlign w:val="center"/>
                </w:tcPr>
                <w:p w14:paraId="5D0DFE85">
                  <w:pPr>
                    <w:widowControl/>
                    <w:jc w:val="center"/>
                    <w:textAlignment w:val="center"/>
                    <w:rPr>
                      <w:rFonts w:hint="eastAsia" w:ascii="Times New Roman" w:hAnsi="Times New Roman" w:eastAsia="宋体" w:cs="Times New Roman"/>
                      <w:color w:val="FF0000"/>
                      <w:kern w:val="0"/>
                      <w:sz w:val="21"/>
                      <w:szCs w:val="21"/>
                      <w:lang w:val="en-US" w:eastAsia="zh-CN" w:bidi="ar"/>
                    </w:rPr>
                  </w:pPr>
                  <w:r>
                    <w:rPr>
                      <w:rFonts w:hint="eastAsia"/>
                      <w:bCs/>
                      <w:szCs w:val="21"/>
                      <w:lang w:val="en-US" w:eastAsia="zh-CN"/>
                    </w:rPr>
                    <w:t>18163.2</w:t>
                  </w:r>
                </w:p>
              </w:tc>
            </w:tr>
            <w:tr w14:paraId="2BC486D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83" w:type="dxa"/>
                  <w:vMerge w:val="continue"/>
                  <w:vAlign w:val="center"/>
                </w:tcPr>
                <w:p w14:paraId="7696A5FA">
                  <w:pPr>
                    <w:jc w:val="center"/>
                    <w:rPr>
                      <w:color w:val="auto"/>
                      <w:szCs w:val="21"/>
                    </w:rPr>
                  </w:pPr>
                </w:p>
              </w:tc>
              <w:tc>
                <w:tcPr>
                  <w:tcW w:w="832" w:type="dxa"/>
                  <w:shd w:val="clear" w:color="auto" w:fill="auto"/>
                  <w:vAlign w:val="center"/>
                </w:tcPr>
                <w:p w14:paraId="72BEC924">
                  <w:pPr>
                    <w:jc w:val="center"/>
                    <w:rPr>
                      <w:rFonts w:hint="eastAsia" w:ascii="Times New Roman" w:hAnsi="Times New Roman" w:eastAsia="宋体" w:cs="Times New Roman"/>
                      <w:kern w:val="2"/>
                      <w:sz w:val="21"/>
                      <w:szCs w:val="21"/>
                      <w:lang w:val="en-US" w:eastAsia="zh-CN" w:bidi="ar-SA"/>
                    </w:rPr>
                  </w:pPr>
                  <w:r>
                    <w:rPr>
                      <w:szCs w:val="21"/>
                    </w:rPr>
                    <w:t>COD</w:t>
                  </w:r>
                </w:p>
              </w:tc>
              <w:tc>
                <w:tcPr>
                  <w:tcW w:w="832" w:type="dxa"/>
                  <w:shd w:val="clear" w:color="auto" w:fill="auto"/>
                  <w:vAlign w:val="center"/>
                </w:tcPr>
                <w:p w14:paraId="20154789">
                  <w:pPr>
                    <w:widowControl/>
                    <w:jc w:val="center"/>
                    <w:textAlignment w:val="center"/>
                    <w:rPr>
                      <w:rFonts w:hint="eastAsia" w:ascii="Times New Roman" w:hAnsi="Times New Roman" w:eastAsia="宋体" w:cs="Times New Roman"/>
                      <w:color w:val="FF0000"/>
                      <w:kern w:val="2"/>
                      <w:sz w:val="21"/>
                      <w:szCs w:val="21"/>
                      <w:lang w:val="en-US" w:eastAsia="zh-CN" w:bidi="ar-SA"/>
                    </w:rPr>
                  </w:pPr>
                  <w:r>
                    <w:rPr>
                      <w:rFonts w:hint="eastAsia"/>
                      <w:bCs/>
                      <w:kern w:val="0"/>
                      <w:szCs w:val="21"/>
                      <w:lang w:val="en-US" w:eastAsia="zh-CN" w:bidi="ar"/>
                    </w:rPr>
                    <w:t>6.157</w:t>
                  </w:r>
                </w:p>
              </w:tc>
              <w:tc>
                <w:tcPr>
                  <w:tcW w:w="0" w:type="auto"/>
                  <w:shd w:val="clear" w:color="auto" w:fill="auto"/>
                  <w:vAlign w:val="center"/>
                </w:tcPr>
                <w:p w14:paraId="06E2C341">
                  <w:pPr>
                    <w:widowControl/>
                    <w:jc w:val="center"/>
                    <w:textAlignment w:val="center"/>
                    <w:rPr>
                      <w:rFonts w:hint="eastAsia" w:ascii="Times New Roman" w:hAnsi="Times New Roman" w:eastAsia="宋体" w:cs="Times New Roman"/>
                      <w:color w:val="FF0000"/>
                      <w:kern w:val="0"/>
                      <w:sz w:val="21"/>
                      <w:szCs w:val="21"/>
                      <w:lang w:val="en-US" w:eastAsia="zh-CN" w:bidi="ar"/>
                    </w:rPr>
                  </w:pPr>
                  <w:r>
                    <w:rPr>
                      <w:rFonts w:hint="eastAsia"/>
                      <w:bCs/>
                      <w:kern w:val="0"/>
                      <w:szCs w:val="21"/>
                      <w:lang w:val="en-US" w:eastAsia="zh-CN" w:bidi="ar"/>
                    </w:rPr>
                    <w:t>/</w:t>
                  </w:r>
                </w:p>
              </w:tc>
              <w:tc>
                <w:tcPr>
                  <w:tcW w:w="0" w:type="auto"/>
                  <w:shd w:val="clear" w:color="auto" w:fill="auto"/>
                  <w:vAlign w:val="center"/>
                </w:tcPr>
                <w:p w14:paraId="4AA44939">
                  <w:pPr>
                    <w:pStyle w:val="42"/>
                    <w:spacing w:beforeLines="0" w:afterLines="0" w:line="240" w:lineRule="auto"/>
                    <w:rPr>
                      <w:rFonts w:hint="eastAsia" w:ascii="Times New Roman" w:hAnsi="Times New Roman" w:eastAsia="宋体" w:cs="Times New Roman"/>
                      <w:b/>
                      <w:color w:val="FF0000"/>
                      <w:kern w:val="0"/>
                      <w:sz w:val="21"/>
                      <w:szCs w:val="21"/>
                      <w:highlight w:val="yellow"/>
                      <w:lang w:val="en-US" w:eastAsia="zh-CN" w:bidi="ar-SA"/>
                    </w:rPr>
                  </w:pPr>
                  <w:r>
                    <w:rPr>
                      <w:rFonts w:hint="eastAsia" w:ascii="Times New Roman" w:hAnsi="Times New Roman" w:eastAsia="宋体" w:cs="Times New Roman"/>
                      <w:b w:val="0"/>
                      <w:bCs/>
                      <w:kern w:val="0"/>
                      <w:sz w:val="21"/>
                      <w:szCs w:val="21"/>
                      <w:highlight w:val="none"/>
                      <w:lang w:val="en-US" w:eastAsia="zh-CN" w:bidi="ar-SA"/>
                    </w:rPr>
                    <w:t>0.54</w:t>
                  </w:r>
                </w:p>
              </w:tc>
              <w:tc>
                <w:tcPr>
                  <w:tcW w:w="0" w:type="auto"/>
                  <w:vAlign w:val="center"/>
                </w:tcPr>
                <w:p w14:paraId="0E425288">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w:t>
                  </w:r>
                </w:p>
              </w:tc>
              <w:tc>
                <w:tcPr>
                  <w:tcW w:w="0" w:type="auto"/>
                  <w:shd w:val="clear" w:color="auto" w:fill="auto"/>
                  <w:vAlign w:val="center"/>
                </w:tcPr>
                <w:p w14:paraId="1CFC2AB1">
                  <w:pPr>
                    <w:pStyle w:val="42"/>
                    <w:spacing w:beforeLines="0" w:afterLines="0" w:line="240" w:lineRule="auto"/>
                    <w:rPr>
                      <w:rFonts w:hint="eastAsia" w:ascii="Times New Roman" w:hAnsi="Times New Roman" w:eastAsia="宋体" w:cs="Times New Roman"/>
                      <w:b/>
                      <w:color w:val="FF0000"/>
                      <w:kern w:val="0"/>
                      <w:sz w:val="21"/>
                      <w:szCs w:val="21"/>
                      <w:highlight w:val="yellow"/>
                      <w:lang w:val="en-US" w:eastAsia="zh-CN" w:bidi="ar-SA"/>
                    </w:rPr>
                  </w:pPr>
                  <w:r>
                    <w:rPr>
                      <w:rFonts w:hint="eastAsia" w:ascii="Times New Roman" w:cs="Times New Roman"/>
                      <w:b w:val="0"/>
                      <w:bCs/>
                      <w:kern w:val="0"/>
                      <w:sz w:val="21"/>
                      <w:szCs w:val="21"/>
                      <w:highlight w:val="none"/>
                      <w:lang w:val="en-US" w:eastAsia="zh-CN" w:bidi="ar-SA"/>
                    </w:rPr>
                    <w:t>+</w:t>
                  </w:r>
                  <w:r>
                    <w:rPr>
                      <w:rFonts w:hint="eastAsia" w:ascii="Times New Roman" w:hAnsi="Times New Roman" w:eastAsia="宋体" w:cs="Times New Roman"/>
                      <w:b w:val="0"/>
                      <w:bCs/>
                      <w:kern w:val="0"/>
                      <w:sz w:val="21"/>
                      <w:szCs w:val="21"/>
                      <w:highlight w:val="none"/>
                      <w:lang w:val="en-US" w:eastAsia="zh-CN" w:bidi="ar-SA"/>
                    </w:rPr>
                    <w:t>0.54</w:t>
                  </w:r>
                </w:p>
              </w:tc>
              <w:tc>
                <w:tcPr>
                  <w:tcW w:w="0" w:type="auto"/>
                  <w:shd w:val="clear" w:color="auto" w:fill="auto"/>
                  <w:vAlign w:val="center"/>
                </w:tcPr>
                <w:p w14:paraId="329AC0F2">
                  <w:pPr>
                    <w:widowControl/>
                    <w:jc w:val="center"/>
                    <w:textAlignment w:val="center"/>
                    <w:rPr>
                      <w:rFonts w:hint="eastAsia" w:ascii="Times New Roman" w:hAnsi="Times New Roman" w:eastAsia="宋体" w:cs="Times New Roman"/>
                      <w:color w:val="FF0000"/>
                      <w:kern w:val="2"/>
                      <w:sz w:val="21"/>
                      <w:szCs w:val="21"/>
                      <w:lang w:val="en-US" w:eastAsia="zh-CN" w:bidi="ar-SA"/>
                    </w:rPr>
                  </w:pPr>
                  <w:r>
                    <w:rPr>
                      <w:rFonts w:hint="eastAsia"/>
                      <w:bCs/>
                      <w:kern w:val="0"/>
                      <w:szCs w:val="21"/>
                      <w:lang w:val="en-US" w:eastAsia="zh-CN" w:bidi="ar"/>
                    </w:rPr>
                    <w:t>6.697</w:t>
                  </w:r>
                </w:p>
              </w:tc>
              <w:tc>
                <w:tcPr>
                  <w:tcW w:w="0" w:type="auto"/>
                  <w:shd w:val="clear" w:color="auto" w:fill="auto"/>
                  <w:vAlign w:val="center"/>
                </w:tcPr>
                <w:p w14:paraId="6229BB92">
                  <w:pPr>
                    <w:widowControl/>
                    <w:jc w:val="center"/>
                    <w:textAlignment w:val="center"/>
                    <w:rPr>
                      <w:rFonts w:hint="eastAsia" w:ascii="Times New Roman" w:hAnsi="Times New Roman" w:eastAsia="宋体" w:cs="Times New Roman"/>
                      <w:color w:val="FF0000"/>
                      <w:kern w:val="2"/>
                      <w:sz w:val="21"/>
                      <w:szCs w:val="21"/>
                      <w:lang w:val="en-US" w:eastAsia="zh-CN" w:bidi="ar-SA"/>
                    </w:rPr>
                  </w:pPr>
                  <w:r>
                    <w:rPr>
                      <w:rFonts w:hint="eastAsia"/>
                      <w:bCs/>
                      <w:kern w:val="0"/>
                      <w:szCs w:val="21"/>
                      <w:lang w:val="en-US" w:eastAsia="zh-CN" w:bidi="ar"/>
                    </w:rPr>
                    <w:t>6.697</w:t>
                  </w:r>
                </w:p>
              </w:tc>
              <w:tc>
                <w:tcPr>
                  <w:tcW w:w="0" w:type="auto"/>
                  <w:shd w:val="clear" w:color="auto" w:fill="auto"/>
                  <w:vAlign w:val="center"/>
                </w:tcPr>
                <w:p w14:paraId="5A7F88CD">
                  <w:pPr>
                    <w:widowControl/>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bCs/>
                      <w:kern w:val="0"/>
                      <w:szCs w:val="21"/>
                      <w:lang w:bidi="ar"/>
                    </w:rPr>
                    <w:t>0.</w:t>
                  </w:r>
                  <w:r>
                    <w:rPr>
                      <w:rFonts w:hint="eastAsia"/>
                      <w:bCs/>
                      <w:kern w:val="0"/>
                      <w:szCs w:val="21"/>
                      <w:lang w:val="en-US" w:eastAsia="zh-CN" w:bidi="ar"/>
                    </w:rPr>
                    <w:t>908</w:t>
                  </w:r>
                </w:p>
              </w:tc>
            </w:tr>
            <w:tr w14:paraId="503D50B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83" w:type="dxa"/>
                  <w:vMerge w:val="continue"/>
                  <w:vAlign w:val="center"/>
                </w:tcPr>
                <w:p w14:paraId="241FA696">
                  <w:pPr>
                    <w:jc w:val="center"/>
                    <w:rPr>
                      <w:color w:val="auto"/>
                      <w:szCs w:val="21"/>
                    </w:rPr>
                  </w:pPr>
                </w:p>
              </w:tc>
              <w:tc>
                <w:tcPr>
                  <w:tcW w:w="832" w:type="dxa"/>
                  <w:shd w:val="clear" w:color="auto" w:fill="auto"/>
                  <w:vAlign w:val="center"/>
                </w:tcPr>
                <w:p w14:paraId="175F0BCF">
                  <w:pPr>
                    <w:widowControl/>
                    <w:jc w:val="center"/>
                    <w:rPr>
                      <w:rFonts w:hint="eastAsia" w:ascii="Times New Roman" w:hAnsi="Times New Roman" w:eastAsia="宋体" w:cs="Times New Roman"/>
                      <w:kern w:val="2"/>
                      <w:sz w:val="21"/>
                      <w:szCs w:val="21"/>
                      <w:lang w:val="en-US" w:eastAsia="zh-CN" w:bidi="ar-SA"/>
                    </w:rPr>
                  </w:pPr>
                  <w:r>
                    <w:rPr>
                      <w:kern w:val="0"/>
                      <w:szCs w:val="21"/>
                    </w:rPr>
                    <w:t>SS</w:t>
                  </w:r>
                </w:p>
              </w:tc>
              <w:tc>
                <w:tcPr>
                  <w:tcW w:w="832" w:type="dxa"/>
                  <w:shd w:val="clear" w:color="auto" w:fill="auto"/>
                  <w:vAlign w:val="center"/>
                </w:tcPr>
                <w:p w14:paraId="33CEFFC5">
                  <w:pPr>
                    <w:widowControl/>
                    <w:jc w:val="center"/>
                    <w:textAlignment w:val="center"/>
                    <w:rPr>
                      <w:rFonts w:hint="eastAsia" w:ascii="Times New Roman" w:hAnsi="Times New Roman" w:eastAsia="宋体" w:cs="Times New Roman"/>
                      <w:color w:val="FF0000"/>
                      <w:kern w:val="2"/>
                      <w:sz w:val="21"/>
                      <w:szCs w:val="21"/>
                      <w:lang w:val="en-US" w:eastAsia="zh-CN" w:bidi="ar-SA"/>
                    </w:rPr>
                  </w:pPr>
                  <w:r>
                    <w:rPr>
                      <w:rFonts w:hint="eastAsia"/>
                      <w:bCs/>
                      <w:kern w:val="0"/>
                      <w:szCs w:val="21"/>
                      <w:lang w:val="en-US" w:eastAsia="zh-CN" w:bidi="ar"/>
                    </w:rPr>
                    <w:t>0.4736</w:t>
                  </w:r>
                </w:p>
              </w:tc>
              <w:tc>
                <w:tcPr>
                  <w:tcW w:w="0" w:type="auto"/>
                  <w:shd w:val="clear" w:color="auto" w:fill="auto"/>
                  <w:vAlign w:val="center"/>
                </w:tcPr>
                <w:p w14:paraId="1D578812">
                  <w:pPr>
                    <w:widowControl/>
                    <w:jc w:val="center"/>
                    <w:textAlignment w:val="center"/>
                    <w:rPr>
                      <w:rFonts w:hint="eastAsia" w:ascii="Times New Roman" w:hAnsi="Times New Roman" w:eastAsia="宋体" w:cs="Times New Roman"/>
                      <w:color w:val="FF0000"/>
                      <w:kern w:val="0"/>
                      <w:sz w:val="21"/>
                      <w:szCs w:val="21"/>
                      <w:lang w:val="en-US" w:eastAsia="zh-CN" w:bidi="ar"/>
                    </w:rPr>
                  </w:pPr>
                  <w:r>
                    <w:rPr>
                      <w:rFonts w:hint="eastAsia"/>
                      <w:bCs/>
                      <w:kern w:val="0"/>
                      <w:szCs w:val="21"/>
                      <w:lang w:val="en-US" w:eastAsia="zh-CN" w:bidi="ar"/>
                    </w:rPr>
                    <w:t>/</w:t>
                  </w:r>
                </w:p>
              </w:tc>
              <w:tc>
                <w:tcPr>
                  <w:tcW w:w="0" w:type="auto"/>
                  <w:shd w:val="clear" w:color="auto" w:fill="auto"/>
                  <w:vAlign w:val="center"/>
                </w:tcPr>
                <w:p w14:paraId="559757E3">
                  <w:pPr>
                    <w:pStyle w:val="42"/>
                    <w:spacing w:beforeLines="0" w:afterLines="0" w:line="240" w:lineRule="auto"/>
                    <w:rPr>
                      <w:rFonts w:hint="eastAsia" w:ascii="Times New Roman" w:hAnsi="Times New Roman" w:eastAsia="宋体" w:cs="Times New Roman"/>
                      <w:b/>
                      <w:color w:val="FF0000"/>
                      <w:kern w:val="0"/>
                      <w:sz w:val="21"/>
                      <w:szCs w:val="21"/>
                      <w:highlight w:val="yellow"/>
                      <w:lang w:val="en-US" w:eastAsia="zh-CN" w:bidi="ar-SA"/>
                    </w:rPr>
                  </w:pPr>
                  <w:r>
                    <w:rPr>
                      <w:rFonts w:hint="eastAsia" w:ascii="Times New Roman"/>
                      <w:b w:val="0"/>
                      <w:bCs/>
                      <w:snapToGrid w:val="0"/>
                      <w:kern w:val="21"/>
                      <w:szCs w:val="21"/>
                      <w:lang w:val="en-US" w:eastAsia="zh-CN"/>
                    </w:rPr>
                    <w:t>0.1973</w:t>
                  </w:r>
                </w:p>
              </w:tc>
              <w:tc>
                <w:tcPr>
                  <w:tcW w:w="0" w:type="auto"/>
                  <w:vAlign w:val="center"/>
                </w:tcPr>
                <w:p w14:paraId="6134A935">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w:t>
                  </w:r>
                </w:p>
              </w:tc>
              <w:tc>
                <w:tcPr>
                  <w:tcW w:w="0" w:type="auto"/>
                  <w:shd w:val="clear" w:color="auto" w:fill="auto"/>
                  <w:vAlign w:val="center"/>
                </w:tcPr>
                <w:p w14:paraId="60B8E0E7">
                  <w:pPr>
                    <w:pStyle w:val="42"/>
                    <w:spacing w:beforeLines="0" w:afterLines="0" w:line="240" w:lineRule="auto"/>
                    <w:rPr>
                      <w:rFonts w:hint="eastAsia" w:ascii="Times New Roman" w:hAnsi="Times New Roman" w:eastAsia="宋体" w:cs="Times New Roman"/>
                      <w:b/>
                      <w:color w:val="FF0000"/>
                      <w:kern w:val="0"/>
                      <w:sz w:val="21"/>
                      <w:szCs w:val="21"/>
                      <w:highlight w:val="yellow"/>
                      <w:lang w:val="en-US" w:eastAsia="zh-CN" w:bidi="ar-SA"/>
                    </w:rPr>
                  </w:pPr>
                  <w:r>
                    <w:rPr>
                      <w:rFonts w:hint="eastAsia" w:ascii="Times New Roman"/>
                      <w:b w:val="0"/>
                      <w:bCs/>
                      <w:snapToGrid w:val="0"/>
                      <w:kern w:val="21"/>
                      <w:szCs w:val="21"/>
                      <w:lang w:val="en-US" w:eastAsia="zh-CN"/>
                    </w:rPr>
                    <w:t>+0.1973</w:t>
                  </w:r>
                </w:p>
              </w:tc>
              <w:tc>
                <w:tcPr>
                  <w:tcW w:w="0" w:type="auto"/>
                  <w:shd w:val="clear" w:color="auto" w:fill="auto"/>
                  <w:vAlign w:val="center"/>
                </w:tcPr>
                <w:p w14:paraId="3E25ED57">
                  <w:pPr>
                    <w:widowControl/>
                    <w:jc w:val="center"/>
                    <w:textAlignment w:val="center"/>
                    <w:rPr>
                      <w:rFonts w:hint="eastAsia" w:ascii="Times New Roman" w:hAnsi="Times New Roman" w:eastAsia="宋体" w:cs="Times New Roman"/>
                      <w:color w:val="FF0000"/>
                      <w:kern w:val="2"/>
                      <w:sz w:val="21"/>
                      <w:szCs w:val="21"/>
                      <w:lang w:val="en-US" w:eastAsia="zh-CN" w:bidi="ar-SA"/>
                    </w:rPr>
                  </w:pPr>
                  <w:r>
                    <w:rPr>
                      <w:rFonts w:hint="eastAsia"/>
                      <w:bCs/>
                      <w:kern w:val="0"/>
                      <w:szCs w:val="21"/>
                      <w:lang w:val="en-US" w:eastAsia="zh-CN" w:bidi="ar"/>
                    </w:rPr>
                    <w:t>0.6709</w:t>
                  </w:r>
                </w:p>
              </w:tc>
              <w:tc>
                <w:tcPr>
                  <w:tcW w:w="0" w:type="auto"/>
                  <w:shd w:val="clear" w:color="auto" w:fill="auto"/>
                  <w:vAlign w:val="center"/>
                </w:tcPr>
                <w:p w14:paraId="733AF3FB">
                  <w:pPr>
                    <w:widowControl/>
                    <w:jc w:val="center"/>
                    <w:textAlignment w:val="center"/>
                    <w:rPr>
                      <w:rFonts w:hint="eastAsia" w:ascii="Times New Roman" w:hAnsi="Times New Roman" w:eastAsia="宋体" w:cs="Times New Roman"/>
                      <w:color w:val="FF0000"/>
                      <w:kern w:val="2"/>
                      <w:sz w:val="21"/>
                      <w:szCs w:val="21"/>
                      <w:lang w:val="en-US" w:eastAsia="zh-CN" w:bidi="ar-SA"/>
                    </w:rPr>
                  </w:pPr>
                  <w:r>
                    <w:rPr>
                      <w:rFonts w:hint="eastAsia"/>
                      <w:bCs/>
                      <w:kern w:val="0"/>
                      <w:szCs w:val="21"/>
                      <w:lang w:val="en-US" w:eastAsia="zh-CN" w:bidi="ar"/>
                    </w:rPr>
                    <w:t>0.6709</w:t>
                  </w:r>
                </w:p>
              </w:tc>
              <w:tc>
                <w:tcPr>
                  <w:tcW w:w="0" w:type="auto"/>
                  <w:shd w:val="clear" w:color="auto" w:fill="auto"/>
                  <w:vAlign w:val="center"/>
                </w:tcPr>
                <w:p w14:paraId="5E08FD35">
                  <w:pPr>
                    <w:widowControl/>
                    <w:jc w:val="center"/>
                    <w:textAlignment w:val="center"/>
                    <w:rPr>
                      <w:rFonts w:hint="eastAsia" w:ascii="Times New Roman" w:hAnsi="Times New Roman" w:eastAsia="宋体" w:cs="Times New Roman"/>
                      <w:color w:val="FF0000"/>
                      <w:kern w:val="2"/>
                      <w:sz w:val="21"/>
                      <w:szCs w:val="21"/>
                      <w:lang w:val="en-US" w:eastAsia="zh-CN" w:bidi="ar-SA"/>
                    </w:rPr>
                  </w:pPr>
                  <w:r>
                    <w:rPr>
                      <w:rFonts w:hint="eastAsia"/>
                      <w:bCs/>
                      <w:kern w:val="0"/>
                      <w:szCs w:val="21"/>
                      <w:lang w:bidi="ar"/>
                    </w:rPr>
                    <w:t>0.</w:t>
                  </w:r>
                  <w:r>
                    <w:rPr>
                      <w:rFonts w:hint="eastAsia"/>
                      <w:bCs/>
                      <w:kern w:val="0"/>
                      <w:szCs w:val="21"/>
                      <w:lang w:val="en-US" w:eastAsia="zh-CN" w:bidi="ar"/>
                    </w:rPr>
                    <w:t>181</w:t>
                  </w:r>
                </w:p>
              </w:tc>
            </w:tr>
            <w:tr w14:paraId="54FE822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83" w:type="dxa"/>
                  <w:vMerge w:val="continue"/>
                  <w:vAlign w:val="center"/>
                </w:tcPr>
                <w:p w14:paraId="235AFFA9">
                  <w:pPr>
                    <w:jc w:val="center"/>
                    <w:rPr>
                      <w:color w:val="auto"/>
                      <w:szCs w:val="21"/>
                    </w:rPr>
                  </w:pPr>
                </w:p>
              </w:tc>
              <w:tc>
                <w:tcPr>
                  <w:tcW w:w="832" w:type="dxa"/>
                  <w:shd w:val="clear" w:color="auto" w:fill="auto"/>
                  <w:vAlign w:val="center"/>
                </w:tcPr>
                <w:p w14:paraId="1E7B7DBA">
                  <w:pPr>
                    <w:widowControl/>
                    <w:jc w:val="center"/>
                    <w:rPr>
                      <w:rFonts w:hint="eastAsia" w:ascii="Times New Roman" w:hAnsi="Times New Roman" w:eastAsia="宋体" w:cs="Times New Roman"/>
                      <w:kern w:val="2"/>
                      <w:sz w:val="21"/>
                      <w:szCs w:val="21"/>
                      <w:lang w:val="en-US" w:eastAsia="zh-CN" w:bidi="ar-SA"/>
                    </w:rPr>
                  </w:pPr>
                  <w:r>
                    <w:rPr>
                      <w:szCs w:val="21"/>
                    </w:rPr>
                    <w:t>NH</w:t>
                  </w:r>
                  <w:r>
                    <w:rPr>
                      <w:szCs w:val="21"/>
                      <w:vertAlign w:val="subscript"/>
                    </w:rPr>
                    <w:t>3</w:t>
                  </w:r>
                  <w:r>
                    <w:rPr>
                      <w:szCs w:val="21"/>
                    </w:rPr>
                    <w:t>-N</w:t>
                  </w:r>
                </w:p>
              </w:tc>
              <w:tc>
                <w:tcPr>
                  <w:tcW w:w="832" w:type="dxa"/>
                  <w:shd w:val="clear" w:color="auto" w:fill="auto"/>
                  <w:vAlign w:val="center"/>
                </w:tcPr>
                <w:p w14:paraId="258AC0FE">
                  <w:pPr>
                    <w:widowControl/>
                    <w:jc w:val="center"/>
                    <w:textAlignment w:val="center"/>
                    <w:rPr>
                      <w:rFonts w:hint="eastAsia" w:ascii="Times New Roman" w:hAnsi="Times New Roman" w:eastAsia="宋体" w:cs="Times New Roman"/>
                      <w:color w:val="FF0000"/>
                      <w:kern w:val="2"/>
                      <w:sz w:val="21"/>
                      <w:szCs w:val="21"/>
                      <w:lang w:val="en-US" w:eastAsia="zh-CN" w:bidi="ar-SA"/>
                    </w:rPr>
                  </w:pPr>
                  <w:r>
                    <w:rPr>
                      <w:rFonts w:hint="eastAsia"/>
                      <w:bCs/>
                      <w:kern w:val="0"/>
                      <w:szCs w:val="21"/>
                      <w:lang w:val="en-US" w:eastAsia="zh-CN" w:bidi="ar"/>
                    </w:rPr>
                    <w:t>0.3947</w:t>
                  </w:r>
                </w:p>
              </w:tc>
              <w:tc>
                <w:tcPr>
                  <w:tcW w:w="0" w:type="auto"/>
                  <w:shd w:val="clear" w:color="auto" w:fill="auto"/>
                  <w:vAlign w:val="center"/>
                </w:tcPr>
                <w:p w14:paraId="1909A880">
                  <w:pPr>
                    <w:widowControl/>
                    <w:jc w:val="center"/>
                    <w:textAlignment w:val="center"/>
                    <w:rPr>
                      <w:rFonts w:hint="eastAsia" w:ascii="Times New Roman" w:hAnsi="Times New Roman" w:eastAsia="宋体" w:cs="Times New Roman"/>
                      <w:color w:val="FF0000"/>
                      <w:kern w:val="0"/>
                      <w:sz w:val="21"/>
                      <w:szCs w:val="21"/>
                      <w:lang w:val="en-US" w:eastAsia="zh-CN" w:bidi="ar"/>
                    </w:rPr>
                  </w:pPr>
                  <w:r>
                    <w:rPr>
                      <w:rFonts w:hint="eastAsia"/>
                      <w:bCs/>
                      <w:kern w:val="0"/>
                      <w:szCs w:val="21"/>
                      <w:lang w:val="en-US" w:eastAsia="zh-CN" w:bidi="ar"/>
                    </w:rPr>
                    <w:t>/</w:t>
                  </w:r>
                </w:p>
              </w:tc>
              <w:tc>
                <w:tcPr>
                  <w:tcW w:w="0" w:type="auto"/>
                  <w:shd w:val="clear" w:color="auto" w:fill="auto"/>
                  <w:vAlign w:val="center"/>
                </w:tcPr>
                <w:p w14:paraId="1B08F087">
                  <w:pPr>
                    <w:pStyle w:val="42"/>
                    <w:spacing w:beforeLines="0" w:afterLines="0" w:line="240" w:lineRule="auto"/>
                    <w:rPr>
                      <w:rFonts w:hint="eastAsia" w:ascii="Times New Roman" w:hAnsi="Times New Roman" w:eastAsia="宋体" w:cs="Times New Roman"/>
                      <w:b/>
                      <w:color w:val="FF0000"/>
                      <w:kern w:val="0"/>
                      <w:sz w:val="21"/>
                      <w:szCs w:val="21"/>
                      <w:highlight w:val="yellow"/>
                      <w:lang w:val="en-US" w:eastAsia="zh-CN" w:bidi="ar-SA"/>
                    </w:rPr>
                  </w:pPr>
                  <w:r>
                    <w:rPr>
                      <w:rFonts w:hint="eastAsia" w:ascii="Times New Roman"/>
                      <w:b w:val="0"/>
                      <w:bCs/>
                      <w:snapToGrid w:val="0"/>
                      <w:kern w:val="21"/>
                      <w:szCs w:val="21"/>
                    </w:rPr>
                    <w:t>0</w:t>
                  </w:r>
                  <w:r>
                    <w:rPr>
                      <w:rFonts w:hint="eastAsia" w:ascii="Times New Roman"/>
                      <w:b w:val="0"/>
                      <w:bCs/>
                      <w:snapToGrid w:val="0"/>
                      <w:kern w:val="21"/>
                      <w:szCs w:val="21"/>
                      <w:lang w:val="en-US" w:eastAsia="zh-CN"/>
                    </w:rPr>
                    <w:t>.0464</w:t>
                  </w:r>
                </w:p>
              </w:tc>
              <w:tc>
                <w:tcPr>
                  <w:tcW w:w="0" w:type="auto"/>
                  <w:vAlign w:val="center"/>
                </w:tcPr>
                <w:p w14:paraId="39D8BD2B">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w:t>
                  </w:r>
                </w:p>
              </w:tc>
              <w:tc>
                <w:tcPr>
                  <w:tcW w:w="0" w:type="auto"/>
                  <w:shd w:val="clear" w:color="auto" w:fill="auto"/>
                  <w:vAlign w:val="center"/>
                </w:tcPr>
                <w:p w14:paraId="791D3D18">
                  <w:pPr>
                    <w:pStyle w:val="42"/>
                    <w:spacing w:beforeLines="0" w:afterLines="0" w:line="240" w:lineRule="auto"/>
                    <w:rPr>
                      <w:rFonts w:hint="eastAsia" w:ascii="Times New Roman" w:hAnsi="Times New Roman" w:eastAsia="宋体" w:cs="Times New Roman"/>
                      <w:b/>
                      <w:color w:val="FF0000"/>
                      <w:kern w:val="0"/>
                      <w:sz w:val="21"/>
                      <w:szCs w:val="21"/>
                      <w:highlight w:val="yellow"/>
                      <w:lang w:val="en-US" w:eastAsia="zh-CN" w:bidi="ar-SA"/>
                    </w:rPr>
                  </w:pPr>
                  <w:r>
                    <w:rPr>
                      <w:rFonts w:hint="eastAsia" w:ascii="Times New Roman"/>
                      <w:b w:val="0"/>
                      <w:bCs/>
                      <w:snapToGrid w:val="0"/>
                      <w:kern w:val="21"/>
                      <w:szCs w:val="21"/>
                      <w:lang w:val="en-US" w:eastAsia="zh-CN"/>
                    </w:rPr>
                    <w:t>+</w:t>
                  </w:r>
                  <w:r>
                    <w:rPr>
                      <w:rFonts w:hint="eastAsia" w:ascii="Times New Roman"/>
                      <w:b w:val="0"/>
                      <w:bCs/>
                      <w:snapToGrid w:val="0"/>
                      <w:kern w:val="21"/>
                      <w:szCs w:val="21"/>
                    </w:rPr>
                    <w:t>0</w:t>
                  </w:r>
                  <w:r>
                    <w:rPr>
                      <w:rFonts w:hint="eastAsia" w:ascii="Times New Roman"/>
                      <w:b w:val="0"/>
                      <w:bCs/>
                      <w:snapToGrid w:val="0"/>
                      <w:kern w:val="21"/>
                      <w:szCs w:val="21"/>
                      <w:lang w:val="en-US" w:eastAsia="zh-CN"/>
                    </w:rPr>
                    <w:t>.0464</w:t>
                  </w:r>
                </w:p>
              </w:tc>
              <w:tc>
                <w:tcPr>
                  <w:tcW w:w="0" w:type="auto"/>
                  <w:shd w:val="clear" w:color="auto" w:fill="auto"/>
                  <w:vAlign w:val="center"/>
                </w:tcPr>
                <w:p w14:paraId="6987E2CE">
                  <w:pPr>
                    <w:widowControl/>
                    <w:jc w:val="center"/>
                    <w:textAlignment w:val="center"/>
                    <w:rPr>
                      <w:rFonts w:hint="eastAsia" w:ascii="Times New Roman" w:hAnsi="Times New Roman" w:eastAsia="宋体" w:cs="Times New Roman"/>
                      <w:color w:val="FF0000"/>
                      <w:kern w:val="2"/>
                      <w:sz w:val="21"/>
                      <w:szCs w:val="21"/>
                      <w:lang w:val="en-US" w:eastAsia="zh-CN" w:bidi="ar-SA"/>
                    </w:rPr>
                  </w:pPr>
                  <w:r>
                    <w:rPr>
                      <w:bCs/>
                      <w:kern w:val="0"/>
                      <w:szCs w:val="21"/>
                      <w:lang w:bidi="ar"/>
                    </w:rPr>
                    <w:t>0.</w:t>
                  </w:r>
                  <w:r>
                    <w:rPr>
                      <w:rFonts w:hint="eastAsia"/>
                      <w:bCs/>
                      <w:kern w:val="0"/>
                      <w:szCs w:val="21"/>
                      <w:lang w:val="en-US" w:eastAsia="zh-CN" w:bidi="ar"/>
                    </w:rPr>
                    <w:t>4411</w:t>
                  </w:r>
                </w:p>
              </w:tc>
              <w:tc>
                <w:tcPr>
                  <w:tcW w:w="0" w:type="auto"/>
                  <w:shd w:val="clear" w:color="auto" w:fill="auto"/>
                  <w:vAlign w:val="center"/>
                </w:tcPr>
                <w:p w14:paraId="4EC41D81">
                  <w:pPr>
                    <w:widowControl/>
                    <w:jc w:val="center"/>
                    <w:textAlignment w:val="center"/>
                    <w:rPr>
                      <w:rFonts w:hint="eastAsia" w:ascii="Times New Roman" w:hAnsi="Times New Roman" w:eastAsia="宋体" w:cs="Times New Roman"/>
                      <w:color w:val="FF0000"/>
                      <w:kern w:val="2"/>
                      <w:sz w:val="21"/>
                      <w:szCs w:val="21"/>
                      <w:lang w:val="en-US" w:eastAsia="zh-CN" w:bidi="ar-SA"/>
                    </w:rPr>
                  </w:pPr>
                  <w:r>
                    <w:rPr>
                      <w:bCs/>
                      <w:kern w:val="0"/>
                      <w:szCs w:val="21"/>
                      <w:lang w:bidi="ar"/>
                    </w:rPr>
                    <w:t>0.</w:t>
                  </w:r>
                  <w:r>
                    <w:rPr>
                      <w:rFonts w:hint="eastAsia"/>
                      <w:bCs/>
                      <w:kern w:val="0"/>
                      <w:szCs w:val="21"/>
                      <w:lang w:val="en-US" w:eastAsia="zh-CN" w:bidi="ar"/>
                    </w:rPr>
                    <w:t>4411</w:t>
                  </w:r>
                </w:p>
              </w:tc>
              <w:tc>
                <w:tcPr>
                  <w:tcW w:w="0" w:type="auto"/>
                  <w:shd w:val="clear" w:color="auto" w:fill="auto"/>
                  <w:vAlign w:val="center"/>
                </w:tcPr>
                <w:p w14:paraId="277855DE">
                  <w:pPr>
                    <w:widowControl/>
                    <w:jc w:val="center"/>
                    <w:textAlignment w:val="center"/>
                    <w:rPr>
                      <w:rFonts w:hint="eastAsia" w:ascii="Times New Roman" w:hAnsi="Times New Roman" w:eastAsia="宋体" w:cs="Times New Roman"/>
                      <w:color w:val="FF0000"/>
                      <w:kern w:val="2"/>
                      <w:sz w:val="21"/>
                      <w:szCs w:val="21"/>
                      <w:lang w:val="en-US" w:eastAsia="zh-CN" w:bidi="ar-SA"/>
                    </w:rPr>
                  </w:pPr>
                  <w:r>
                    <w:rPr>
                      <w:bCs/>
                      <w:kern w:val="0"/>
                      <w:szCs w:val="21"/>
                      <w:lang w:bidi="ar"/>
                    </w:rPr>
                    <w:t>0.</w:t>
                  </w:r>
                  <w:r>
                    <w:rPr>
                      <w:rFonts w:hint="eastAsia"/>
                      <w:bCs/>
                      <w:kern w:val="0"/>
                      <w:szCs w:val="21"/>
                      <w:lang w:bidi="ar"/>
                    </w:rPr>
                    <w:t>0</w:t>
                  </w:r>
                  <w:r>
                    <w:rPr>
                      <w:rFonts w:hint="eastAsia"/>
                      <w:bCs/>
                      <w:kern w:val="0"/>
                      <w:szCs w:val="21"/>
                      <w:lang w:val="en-US" w:eastAsia="zh-CN" w:bidi="ar"/>
                    </w:rPr>
                    <w:t>9</w:t>
                  </w:r>
                </w:p>
              </w:tc>
            </w:tr>
            <w:tr w14:paraId="420F493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83" w:type="dxa"/>
                  <w:vMerge w:val="continue"/>
                  <w:vAlign w:val="center"/>
                </w:tcPr>
                <w:p w14:paraId="6DF70A9F">
                  <w:pPr>
                    <w:jc w:val="center"/>
                    <w:rPr>
                      <w:color w:val="auto"/>
                      <w:szCs w:val="21"/>
                    </w:rPr>
                  </w:pPr>
                </w:p>
              </w:tc>
              <w:tc>
                <w:tcPr>
                  <w:tcW w:w="832" w:type="dxa"/>
                  <w:shd w:val="clear" w:color="auto" w:fill="auto"/>
                  <w:vAlign w:val="center"/>
                </w:tcPr>
                <w:p w14:paraId="5817A60F">
                  <w:pPr>
                    <w:pStyle w:val="10"/>
                    <w:spacing w:before="0" w:after="0" w:line="240" w:lineRule="auto"/>
                    <w:ind w:right="0" w:rightChars="0"/>
                    <w:jc w:val="center"/>
                    <w:rPr>
                      <w:rFonts w:hint="eastAsia" w:ascii="Times New Roman" w:hAnsi="Times New Roman" w:eastAsia="宋体" w:cs="Times New Roman"/>
                      <w:kern w:val="0"/>
                      <w:sz w:val="21"/>
                      <w:szCs w:val="21"/>
                      <w:lang w:val="en-US" w:eastAsia="zh-CN" w:bidi="ar-SA"/>
                    </w:rPr>
                  </w:pPr>
                  <w:r>
                    <w:rPr>
                      <w:sz w:val="21"/>
                      <w:szCs w:val="21"/>
                    </w:rPr>
                    <w:t>TP</w:t>
                  </w:r>
                </w:p>
              </w:tc>
              <w:tc>
                <w:tcPr>
                  <w:tcW w:w="832" w:type="dxa"/>
                  <w:shd w:val="clear" w:color="auto" w:fill="auto"/>
                  <w:vAlign w:val="center"/>
                </w:tcPr>
                <w:p w14:paraId="41E03286">
                  <w:pPr>
                    <w:widowControl/>
                    <w:jc w:val="center"/>
                    <w:textAlignment w:val="center"/>
                    <w:rPr>
                      <w:rFonts w:hint="eastAsia" w:ascii="Times New Roman" w:hAnsi="Times New Roman" w:eastAsia="宋体" w:cs="Times New Roman"/>
                      <w:color w:val="FF0000"/>
                      <w:kern w:val="0"/>
                      <w:sz w:val="21"/>
                      <w:szCs w:val="21"/>
                      <w:lang w:val="en-US" w:eastAsia="zh-CN" w:bidi="ar"/>
                    </w:rPr>
                  </w:pPr>
                  <w:r>
                    <w:rPr>
                      <w:bCs/>
                      <w:kern w:val="0"/>
                      <w:szCs w:val="21"/>
                      <w:lang w:bidi="ar"/>
                    </w:rPr>
                    <w:t>0.</w:t>
                  </w:r>
                  <w:r>
                    <w:rPr>
                      <w:rFonts w:hint="eastAsia"/>
                      <w:bCs/>
                      <w:kern w:val="0"/>
                      <w:szCs w:val="21"/>
                      <w:lang w:val="en-US" w:eastAsia="zh-CN" w:bidi="ar"/>
                    </w:rPr>
                    <w:t>04736</w:t>
                  </w:r>
                </w:p>
              </w:tc>
              <w:tc>
                <w:tcPr>
                  <w:tcW w:w="0" w:type="auto"/>
                  <w:shd w:val="clear" w:color="auto" w:fill="auto"/>
                  <w:vAlign w:val="center"/>
                </w:tcPr>
                <w:p w14:paraId="64AAA17F">
                  <w:pPr>
                    <w:widowControl/>
                    <w:jc w:val="center"/>
                    <w:textAlignment w:val="center"/>
                    <w:rPr>
                      <w:rFonts w:hint="eastAsia" w:ascii="Times New Roman" w:hAnsi="Times New Roman" w:eastAsia="宋体" w:cs="Times New Roman"/>
                      <w:color w:val="FF0000"/>
                      <w:kern w:val="2"/>
                      <w:sz w:val="21"/>
                      <w:szCs w:val="21"/>
                      <w:lang w:val="en-US" w:eastAsia="zh-CN" w:bidi="ar-SA"/>
                    </w:rPr>
                  </w:pPr>
                  <w:r>
                    <w:rPr>
                      <w:rFonts w:hint="eastAsia"/>
                      <w:bCs/>
                      <w:kern w:val="0"/>
                      <w:szCs w:val="21"/>
                      <w:lang w:val="en-US" w:eastAsia="zh-CN" w:bidi="ar"/>
                    </w:rPr>
                    <w:t>/</w:t>
                  </w:r>
                </w:p>
              </w:tc>
              <w:tc>
                <w:tcPr>
                  <w:tcW w:w="0" w:type="auto"/>
                  <w:shd w:val="clear" w:color="auto" w:fill="auto"/>
                  <w:vAlign w:val="center"/>
                </w:tcPr>
                <w:p w14:paraId="034B4280">
                  <w:pPr>
                    <w:pStyle w:val="42"/>
                    <w:spacing w:beforeLines="0" w:afterLines="0" w:line="240" w:lineRule="auto"/>
                    <w:rPr>
                      <w:rFonts w:hint="eastAsia" w:ascii="Times New Roman" w:hAnsi="Times New Roman" w:eastAsia="宋体" w:cs="Times New Roman"/>
                      <w:b/>
                      <w:color w:val="FF0000"/>
                      <w:kern w:val="0"/>
                      <w:sz w:val="21"/>
                      <w:szCs w:val="21"/>
                      <w:highlight w:val="yellow"/>
                      <w:lang w:val="en-US" w:eastAsia="zh-CN" w:bidi="ar"/>
                    </w:rPr>
                  </w:pPr>
                  <w:r>
                    <w:rPr>
                      <w:rFonts w:hint="eastAsia" w:ascii="Times New Roman"/>
                      <w:b w:val="0"/>
                      <w:bCs/>
                      <w:snapToGrid w:val="0"/>
                      <w:kern w:val="21"/>
                      <w:szCs w:val="21"/>
                    </w:rPr>
                    <w:t>0</w:t>
                  </w:r>
                  <w:r>
                    <w:rPr>
                      <w:rFonts w:hint="eastAsia" w:ascii="Times New Roman"/>
                      <w:b w:val="0"/>
                      <w:bCs/>
                      <w:snapToGrid w:val="0"/>
                      <w:kern w:val="21"/>
                      <w:szCs w:val="21"/>
                      <w:lang w:val="en-US" w:eastAsia="zh-CN"/>
                    </w:rPr>
                    <w:t>.00393</w:t>
                  </w:r>
                </w:p>
              </w:tc>
              <w:tc>
                <w:tcPr>
                  <w:tcW w:w="0" w:type="auto"/>
                  <w:vAlign w:val="center"/>
                </w:tcPr>
                <w:p w14:paraId="7151E956">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w:t>
                  </w:r>
                </w:p>
              </w:tc>
              <w:tc>
                <w:tcPr>
                  <w:tcW w:w="0" w:type="auto"/>
                  <w:shd w:val="clear" w:color="auto" w:fill="auto"/>
                  <w:vAlign w:val="center"/>
                </w:tcPr>
                <w:p w14:paraId="3EB9D4A3">
                  <w:pPr>
                    <w:pStyle w:val="42"/>
                    <w:spacing w:beforeLines="0" w:afterLines="0" w:line="240" w:lineRule="auto"/>
                    <w:rPr>
                      <w:rFonts w:hint="eastAsia" w:ascii="Times New Roman" w:hAnsi="Times New Roman" w:eastAsia="宋体" w:cs="Times New Roman"/>
                      <w:b/>
                      <w:color w:val="FF0000"/>
                      <w:kern w:val="0"/>
                      <w:sz w:val="21"/>
                      <w:szCs w:val="21"/>
                      <w:highlight w:val="yellow"/>
                      <w:lang w:val="en-US" w:eastAsia="zh-CN" w:bidi="ar"/>
                    </w:rPr>
                  </w:pPr>
                  <w:r>
                    <w:rPr>
                      <w:rFonts w:hint="eastAsia" w:ascii="Times New Roman"/>
                      <w:b w:val="0"/>
                      <w:bCs/>
                      <w:snapToGrid w:val="0"/>
                      <w:kern w:val="21"/>
                      <w:szCs w:val="21"/>
                      <w:lang w:val="en-US" w:eastAsia="zh-CN"/>
                    </w:rPr>
                    <w:t>+</w:t>
                  </w:r>
                  <w:r>
                    <w:rPr>
                      <w:rFonts w:hint="eastAsia" w:ascii="Times New Roman"/>
                      <w:b w:val="0"/>
                      <w:bCs/>
                      <w:snapToGrid w:val="0"/>
                      <w:kern w:val="21"/>
                      <w:szCs w:val="21"/>
                    </w:rPr>
                    <w:t>0</w:t>
                  </w:r>
                  <w:r>
                    <w:rPr>
                      <w:rFonts w:hint="eastAsia" w:ascii="Times New Roman"/>
                      <w:b w:val="0"/>
                      <w:bCs/>
                      <w:snapToGrid w:val="0"/>
                      <w:kern w:val="21"/>
                      <w:szCs w:val="21"/>
                      <w:lang w:val="en-US" w:eastAsia="zh-CN"/>
                    </w:rPr>
                    <w:t>.00393</w:t>
                  </w:r>
                </w:p>
              </w:tc>
              <w:tc>
                <w:tcPr>
                  <w:tcW w:w="0" w:type="auto"/>
                  <w:shd w:val="clear" w:color="auto" w:fill="auto"/>
                  <w:vAlign w:val="center"/>
                </w:tcPr>
                <w:p w14:paraId="628C8CB0">
                  <w:pPr>
                    <w:widowControl/>
                    <w:jc w:val="center"/>
                    <w:textAlignment w:val="center"/>
                    <w:rPr>
                      <w:rFonts w:hint="eastAsia" w:ascii="Times New Roman" w:hAnsi="Times New Roman" w:eastAsia="宋体" w:cs="Times New Roman"/>
                      <w:color w:val="FF0000"/>
                      <w:kern w:val="0"/>
                      <w:sz w:val="21"/>
                      <w:szCs w:val="21"/>
                      <w:lang w:val="en-US" w:eastAsia="zh-CN" w:bidi="ar"/>
                    </w:rPr>
                  </w:pPr>
                  <w:r>
                    <w:rPr>
                      <w:bCs/>
                      <w:kern w:val="0"/>
                      <w:szCs w:val="21"/>
                      <w:lang w:bidi="ar"/>
                    </w:rPr>
                    <w:t>0.</w:t>
                  </w:r>
                  <w:r>
                    <w:rPr>
                      <w:rFonts w:hint="eastAsia"/>
                      <w:bCs/>
                      <w:kern w:val="0"/>
                      <w:szCs w:val="21"/>
                      <w:lang w:bidi="ar"/>
                    </w:rPr>
                    <w:t>0</w:t>
                  </w:r>
                  <w:r>
                    <w:rPr>
                      <w:rFonts w:hint="eastAsia"/>
                      <w:bCs/>
                      <w:kern w:val="0"/>
                      <w:szCs w:val="21"/>
                      <w:lang w:val="en-US" w:eastAsia="zh-CN" w:bidi="ar"/>
                    </w:rPr>
                    <w:t>5129</w:t>
                  </w:r>
                </w:p>
              </w:tc>
              <w:tc>
                <w:tcPr>
                  <w:tcW w:w="0" w:type="auto"/>
                  <w:shd w:val="clear" w:color="auto" w:fill="auto"/>
                  <w:vAlign w:val="center"/>
                </w:tcPr>
                <w:p w14:paraId="7D961A94">
                  <w:pPr>
                    <w:widowControl/>
                    <w:jc w:val="center"/>
                    <w:textAlignment w:val="center"/>
                    <w:rPr>
                      <w:rFonts w:hint="eastAsia" w:ascii="Times New Roman" w:hAnsi="Times New Roman" w:eastAsia="宋体" w:cs="Times New Roman"/>
                      <w:color w:val="FF0000"/>
                      <w:kern w:val="0"/>
                      <w:sz w:val="21"/>
                      <w:szCs w:val="21"/>
                      <w:lang w:val="en-US" w:eastAsia="zh-CN" w:bidi="ar"/>
                    </w:rPr>
                  </w:pPr>
                  <w:r>
                    <w:rPr>
                      <w:bCs/>
                      <w:kern w:val="0"/>
                      <w:szCs w:val="21"/>
                      <w:lang w:bidi="ar"/>
                    </w:rPr>
                    <w:t>0.</w:t>
                  </w:r>
                  <w:r>
                    <w:rPr>
                      <w:rFonts w:hint="eastAsia"/>
                      <w:bCs/>
                      <w:kern w:val="0"/>
                      <w:szCs w:val="21"/>
                      <w:lang w:bidi="ar"/>
                    </w:rPr>
                    <w:t>0</w:t>
                  </w:r>
                  <w:r>
                    <w:rPr>
                      <w:rFonts w:hint="eastAsia"/>
                      <w:bCs/>
                      <w:kern w:val="0"/>
                      <w:szCs w:val="21"/>
                      <w:lang w:val="en-US" w:eastAsia="zh-CN" w:bidi="ar"/>
                    </w:rPr>
                    <w:t>5129</w:t>
                  </w:r>
                </w:p>
              </w:tc>
              <w:tc>
                <w:tcPr>
                  <w:tcW w:w="0" w:type="auto"/>
                  <w:shd w:val="clear" w:color="auto" w:fill="auto"/>
                  <w:vAlign w:val="center"/>
                </w:tcPr>
                <w:p w14:paraId="2570640B">
                  <w:pPr>
                    <w:widowControl/>
                    <w:jc w:val="center"/>
                    <w:textAlignment w:val="center"/>
                    <w:rPr>
                      <w:rFonts w:hint="eastAsia" w:ascii="Times New Roman" w:hAnsi="Times New Roman" w:eastAsia="宋体" w:cs="Times New Roman"/>
                      <w:color w:val="FF0000"/>
                      <w:kern w:val="0"/>
                      <w:sz w:val="21"/>
                      <w:szCs w:val="21"/>
                      <w:lang w:val="en-US" w:eastAsia="zh-CN" w:bidi="ar"/>
                    </w:rPr>
                  </w:pPr>
                  <w:r>
                    <w:rPr>
                      <w:bCs/>
                      <w:kern w:val="0"/>
                      <w:szCs w:val="21"/>
                      <w:lang w:bidi="ar"/>
                    </w:rPr>
                    <w:t>0.</w:t>
                  </w:r>
                  <w:r>
                    <w:rPr>
                      <w:rFonts w:hint="eastAsia"/>
                      <w:bCs/>
                      <w:kern w:val="0"/>
                      <w:szCs w:val="21"/>
                      <w:lang w:bidi="ar"/>
                    </w:rPr>
                    <w:t>00</w:t>
                  </w:r>
                  <w:r>
                    <w:rPr>
                      <w:rFonts w:hint="eastAsia"/>
                      <w:bCs/>
                      <w:kern w:val="0"/>
                      <w:szCs w:val="21"/>
                      <w:lang w:val="en-US" w:eastAsia="zh-CN" w:bidi="ar"/>
                    </w:rPr>
                    <w:t>9</w:t>
                  </w:r>
                </w:p>
              </w:tc>
            </w:tr>
            <w:tr w14:paraId="6499D7C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83" w:type="dxa"/>
                  <w:vMerge w:val="continue"/>
                  <w:vAlign w:val="center"/>
                </w:tcPr>
                <w:p w14:paraId="27F10818">
                  <w:pPr>
                    <w:jc w:val="center"/>
                    <w:rPr>
                      <w:color w:val="auto"/>
                      <w:szCs w:val="21"/>
                    </w:rPr>
                  </w:pPr>
                </w:p>
              </w:tc>
              <w:tc>
                <w:tcPr>
                  <w:tcW w:w="832" w:type="dxa"/>
                  <w:shd w:val="clear" w:color="auto" w:fill="auto"/>
                  <w:vAlign w:val="center"/>
                </w:tcPr>
                <w:p w14:paraId="5ADD4C9D">
                  <w:pPr>
                    <w:pStyle w:val="10"/>
                    <w:spacing w:before="0" w:after="0" w:line="240" w:lineRule="auto"/>
                    <w:ind w:right="0" w:rightChars="0"/>
                    <w:jc w:val="center"/>
                    <w:rPr>
                      <w:rFonts w:hint="eastAsia" w:ascii="Times New Roman" w:hAnsi="Times New Roman" w:eastAsia="宋体" w:cs="Times New Roman"/>
                      <w:kern w:val="0"/>
                      <w:sz w:val="21"/>
                      <w:szCs w:val="21"/>
                      <w:lang w:val="en-US" w:eastAsia="zh-CN" w:bidi="ar-SA"/>
                    </w:rPr>
                  </w:pPr>
                  <w:r>
                    <w:rPr>
                      <w:rFonts w:hint="eastAsia"/>
                      <w:sz w:val="21"/>
                      <w:szCs w:val="21"/>
                      <w:lang w:val="en-US" w:eastAsia="zh-CN"/>
                    </w:rPr>
                    <w:t>BOD</w:t>
                  </w:r>
                  <w:r>
                    <w:rPr>
                      <w:rFonts w:hint="eastAsia"/>
                      <w:sz w:val="21"/>
                      <w:szCs w:val="21"/>
                      <w:vertAlign w:val="subscript"/>
                      <w:lang w:val="en-US" w:eastAsia="zh-CN"/>
                    </w:rPr>
                    <w:t>5</w:t>
                  </w:r>
                </w:p>
              </w:tc>
              <w:tc>
                <w:tcPr>
                  <w:tcW w:w="832" w:type="dxa"/>
                  <w:shd w:val="clear" w:color="auto" w:fill="auto"/>
                  <w:vAlign w:val="center"/>
                </w:tcPr>
                <w:p w14:paraId="7349C8C3">
                  <w:pPr>
                    <w:widowControl/>
                    <w:jc w:val="center"/>
                    <w:textAlignment w:val="center"/>
                    <w:rPr>
                      <w:rFonts w:hint="eastAsia" w:ascii="Times New Roman" w:hAnsi="Times New Roman" w:eastAsia="宋体" w:cs="Times New Roman"/>
                      <w:bCs/>
                      <w:kern w:val="0"/>
                      <w:sz w:val="21"/>
                      <w:szCs w:val="21"/>
                      <w:lang w:val="en-US" w:eastAsia="zh-CN" w:bidi="ar"/>
                    </w:rPr>
                  </w:pPr>
                  <w:r>
                    <w:rPr>
                      <w:rFonts w:hint="eastAsia"/>
                      <w:bCs/>
                      <w:kern w:val="0"/>
                      <w:szCs w:val="21"/>
                      <w:lang w:val="en-US" w:eastAsia="zh-CN" w:bidi="ar"/>
                    </w:rPr>
                    <w:t>1.579</w:t>
                  </w:r>
                </w:p>
              </w:tc>
              <w:tc>
                <w:tcPr>
                  <w:tcW w:w="0" w:type="auto"/>
                  <w:shd w:val="clear" w:color="auto" w:fill="auto"/>
                  <w:vAlign w:val="center"/>
                </w:tcPr>
                <w:p w14:paraId="7DFF2396">
                  <w:pPr>
                    <w:widowControl/>
                    <w:jc w:val="center"/>
                    <w:textAlignment w:val="center"/>
                    <w:rPr>
                      <w:rFonts w:hint="eastAsia" w:ascii="Times New Roman" w:hAnsi="Times New Roman" w:eastAsia="宋体" w:cs="Times New Roman"/>
                      <w:bCs/>
                      <w:kern w:val="0"/>
                      <w:sz w:val="21"/>
                      <w:szCs w:val="21"/>
                      <w:lang w:val="en-US" w:eastAsia="zh-CN" w:bidi="ar"/>
                    </w:rPr>
                  </w:pPr>
                  <w:r>
                    <w:rPr>
                      <w:rFonts w:hint="eastAsia"/>
                      <w:bCs/>
                      <w:kern w:val="0"/>
                      <w:szCs w:val="21"/>
                      <w:lang w:val="en-US" w:eastAsia="zh-CN" w:bidi="ar"/>
                    </w:rPr>
                    <w:t>/</w:t>
                  </w:r>
                </w:p>
              </w:tc>
              <w:tc>
                <w:tcPr>
                  <w:tcW w:w="0" w:type="auto"/>
                  <w:shd w:val="clear" w:color="auto" w:fill="auto"/>
                  <w:vAlign w:val="center"/>
                </w:tcPr>
                <w:p w14:paraId="23410B9F">
                  <w:pPr>
                    <w:pStyle w:val="42"/>
                    <w:spacing w:beforeLines="0" w:afterLines="0" w:line="240" w:lineRule="auto"/>
                    <w:rPr>
                      <w:rFonts w:hint="eastAsia" w:ascii="Times New Roman" w:hAnsi="Times New Roman" w:eastAsia="宋体" w:cs="Times New Roman"/>
                      <w:b w:val="0"/>
                      <w:bCs/>
                      <w:snapToGrid w:val="0"/>
                      <w:kern w:val="21"/>
                      <w:sz w:val="21"/>
                      <w:szCs w:val="21"/>
                      <w:lang w:val="en-US" w:eastAsia="zh-CN" w:bidi="ar-SA"/>
                    </w:rPr>
                  </w:pPr>
                  <w:r>
                    <w:rPr>
                      <w:rFonts w:hint="eastAsia" w:ascii="Times New Roman"/>
                      <w:b w:val="0"/>
                      <w:bCs/>
                      <w:snapToGrid w:val="0"/>
                      <w:kern w:val="21"/>
                      <w:szCs w:val="21"/>
                      <w:lang w:val="en-US" w:eastAsia="zh-CN"/>
                    </w:rPr>
                    <w:t>0.231</w:t>
                  </w:r>
                </w:p>
              </w:tc>
              <w:tc>
                <w:tcPr>
                  <w:tcW w:w="0" w:type="auto"/>
                  <w:vAlign w:val="center"/>
                </w:tcPr>
                <w:p w14:paraId="3A9E7F33">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w:t>
                  </w:r>
                </w:p>
              </w:tc>
              <w:tc>
                <w:tcPr>
                  <w:tcW w:w="0" w:type="auto"/>
                  <w:shd w:val="clear" w:color="auto" w:fill="auto"/>
                  <w:vAlign w:val="center"/>
                </w:tcPr>
                <w:p w14:paraId="3899271F">
                  <w:pPr>
                    <w:pStyle w:val="42"/>
                    <w:spacing w:beforeLines="0" w:afterLines="0" w:line="240" w:lineRule="auto"/>
                    <w:rPr>
                      <w:rFonts w:hint="eastAsia" w:ascii="Times New Roman" w:hAnsi="Times New Roman" w:eastAsia="宋体" w:cs="Times New Roman"/>
                      <w:b w:val="0"/>
                      <w:bCs/>
                      <w:snapToGrid w:val="0"/>
                      <w:kern w:val="21"/>
                      <w:sz w:val="21"/>
                      <w:szCs w:val="21"/>
                      <w:lang w:val="en-US" w:eastAsia="zh-CN" w:bidi="ar-SA"/>
                    </w:rPr>
                  </w:pPr>
                  <w:r>
                    <w:rPr>
                      <w:rFonts w:hint="eastAsia" w:ascii="Times New Roman"/>
                      <w:b w:val="0"/>
                      <w:bCs/>
                      <w:snapToGrid w:val="0"/>
                      <w:kern w:val="21"/>
                      <w:szCs w:val="21"/>
                      <w:lang w:val="en-US" w:eastAsia="zh-CN"/>
                    </w:rPr>
                    <w:t>+0.231</w:t>
                  </w:r>
                </w:p>
              </w:tc>
              <w:tc>
                <w:tcPr>
                  <w:tcW w:w="0" w:type="auto"/>
                  <w:shd w:val="clear" w:color="auto" w:fill="auto"/>
                  <w:vAlign w:val="center"/>
                </w:tcPr>
                <w:p w14:paraId="7CCBC6CF">
                  <w:pPr>
                    <w:widowControl/>
                    <w:jc w:val="center"/>
                    <w:textAlignment w:val="center"/>
                    <w:rPr>
                      <w:rFonts w:hint="eastAsia" w:ascii="Times New Roman" w:hAnsi="Times New Roman" w:eastAsia="宋体" w:cs="Times New Roman"/>
                      <w:bCs/>
                      <w:kern w:val="0"/>
                      <w:sz w:val="21"/>
                      <w:szCs w:val="21"/>
                      <w:lang w:val="en-US" w:eastAsia="zh-CN" w:bidi="ar"/>
                    </w:rPr>
                  </w:pPr>
                  <w:r>
                    <w:rPr>
                      <w:rFonts w:hint="eastAsia"/>
                      <w:bCs/>
                      <w:kern w:val="0"/>
                      <w:szCs w:val="21"/>
                      <w:lang w:val="en-US" w:eastAsia="zh-CN" w:bidi="ar"/>
                    </w:rPr>
                    <w:t>1.81</w:t>
                  </w:r>
                </w:p>
              </w:tc>
              <w:tc>
                <w:tcPr>
                  <w:tcW w:w="0" w:type="auto"/>
                  <w:shd w:val="clear" w:color="auto" w:fill="auto"/>
                  <w:vAlign w:val="center"/>
                </w:tcPr>
                <w:p w14:paraId="4A5F48D0">
                  <w:pPr>
                    <w:widowControl/>
                    <w:jc w:val="center"/>
                    <w:textAlignment w:val="center"/>
                    <w:rPr>
                      <w:rFonts w:hint="eastAsia" w:ascii="Times New Roman" w:hAnsi="Times New Roman" w:eastAsia="宋体" w:cs="Times New Roman"/>
                      <w:bCs/>
                      <w:kern w:val="0"/>
                      <w:sz w:val="21"/>
                      <w:szCs w:val="21"/>
                      <w:lang w:val="en-US" w:eastAsia="zh-CN" w:bidi="ar"/>
                    </w:rPr>
                  </w:pPr>
                  <w:r>
                    <w:rPr>
                      <w:rFonts w:hint="eastAsia"/>
                      <w:bCs/>
                      <w:kern w:val="0"/>
                      <w:szCs w:val="21"/>
                      <w:lang w:val="en-US" w:eastAsia="zh-CN" w:bidi="ar"/>
                    </w:rPr>
                    <w:t>1.81</w:t>
                  </w:r>
                </w:p>
              </w:tc>
              <w:tc>
                <w:tcPr>
                  <w:tcW w:w="0" w:type="auto"/>
                  <w:shd w:val="clear" w:color="auto" w:fill="auto"/>
                  <w:vAlign w:val="center"/>
                </w:tcPr>
                <w:p w14:paraId="07AF8758">
                  <w:pPr>
                    <w:widowControl/>
                    <w:jc w:val="center"/>
                    <w:textAlignment w:val="center"/>
                    <w:rPr>
                      <w:rFonts w:hint="eastAsia" w:ascii="Times New Roman" w:hAnsi="Times New Roman" w:eastAsia="宋体" w:cs="Times New Roman"/>
                      <w:bCs/>
                      <w:kern w:val="0"/>
                      <w:sz w:val="21"/>
                      <w:szCs w:val="21"/>
                      <w:lang w:val="en-US" w:eastAsia="zh-CN" w:bidi="ar"/>
                    </w:rPr>
                  </w:pPr>
                  <w:r>
                    <w:rPr>
                      <w:rFonts w:hint="eastAsia"/>
                      <w:bCs/>
                      <w:kern w:val="0"/>
                      <w:szCs w:val="21"/>
                      <w:lang w:val="en-US" w:eastAsia="zh-CN" w:bidi="ar"/>
                    </w:rPr>
                    <w:t>0.181</w:t>
                  </w:r>
                </w:p>
              </w:tc>
            </w:tr>
            <w:tr w14:paraId="21DF1D7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83" w:type="dxa"/>
                  <w:vMerge w:val="continue"/>
                  <w:vAlign w:val="center"/>
                </w:tcPr>
                <w:p w14:paraId="2CE6115E">
                  <w:pPr>
                    <w:jc w:val="center"/>
                    <w:rPr>
                      <w:color w:val="auto"/>
                      <w:szCs w:val="21"/>
                    </w:rPr>
                  </w:pPr>
                </w:p>
              </w:tc>
              <w:tc>
                <w:tcPr>
                  <w:tcW w:w="832" w:type="dxa"/>
                  <w:shd w:val="clear" w:color="auto" w:fill="auto"/>
                  <w:vAlign w:val="center"/>
                </w:tcPr>
                <w:p w14:paraId="4A711E8A">
                  <w:pPr>
                    <w:pStyle w:val="10"/>
                    <w:spacing w:before="0" w:after="0" w:line="240" w:lineRule="auto"/>
                    <w:ind w:right="0" w:right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TN</w:t>
                  </w:r>
                </w:p>
              </w:tc>
              <w:tc>
                <w:tcPr>
                  <w:tcW w:w="832" w:type="dxa"/>
                  <w:shd w:val="clear" w:color="auto" w:fill="auto"/>
                  <w:vAlign w:val="center"/>
                </w:tcPr>
                <w:p w14:paraId="7274F583">
                  <w:pPr>
                    <w:widowControl/>
                    <w:jc w:val="center"/>
                    <w:textAlignment w:val="center"/>
                    <w:rPr>
                      <w:rFonts w:hint="eastAsia" w:ascii="Times New Roman" w:hAnsi="Times New Roman" w:eastAsia="宋体" w:cs="Times New Roman"/>
                      <w:bCs/>
                      <w:color w:val="auto"/>
                      <w:kern w:val="0"/>
                      <w:sz w:val="21"/>
                      <w:szCs w:val="21"/>
                      <w:lang w:val="en-US" w:eastAsia="zh-CN" w:bidi="ar"/>
                    </w:rPr>
                  </w:pPr>
                  <w:r>
                    <w:rPr>
                      <w:rFonts w:hint="eastAsia"/>
                      <w:bCs/>
                      <w:color w:val="auto"/>
                      <w:kern w:val="0"/>
                      <w:szCs w:val="21"/>
                      <w:lang w:val="en-US" w:eastAsia="zh-CN" w:bidi="ar"/>
                    </w:rPr>
                    <w:t>0.4736</w:t>
                  </w:r>
                </w:p>
              </w:tc>
              <w:tc>
                <w:tcPr>
                  <w:tcW w:w="0" w:type="auto"/>
                  <w:shd w:val="clear" w:color="auto" w:fill="auto"/>
                  <w:vAlign w:val="center"/>
                </w:tcPr>
                <w:p w14:paraId="5FBE4718">
                  <w:pPr>
                    <w:widowControl/>
                    <w:jc w:val="center"/>
                    <w:textAlignment w:val="center"/>
                    <w:rPr>
                      <w:rFonts w:hint="eastAsia" w:ascii="Times New Roman" w:hAnsi="Times New Roman" w:eastAsia="宋体" w:cs="Times New Roman"/>
                      <w:bCs/>
                      <w:color w:val="auto"/>
                      <w:kern w:val="0"/>
                      <w:sz w:val="21"/>
                      <w:szCs w:val="21"/>
                      <w:lang w:val="en-US" w:eastAsia="zh-CN" w:bidi="ar"/>
                    </w:rPr>
                  </w:pPr>
                  <w:r>
                    <w:rPr>
                      <w:rFonts w:hint="eastAsia"/>
                      <w:bCs/>
                      <w:color w:val="auto"/>
                      <w:kern w:val="0"/>
                      <w:szCs w:val="21"/>
                      <w:lang w:val="en-US" w:eastAsia="zh-CN" w:bidi="ar"/>
                    </w:rPr>
                    <w:t>/</w:t>
                  </w:r>
                </w:p>
              </w:tc>
              <w:tc>
                <w:tcPr>
                  <w:tcW w:w="0" w:type="auto"/>
                  <w:shd w:val="clear" w:color="auto" w:fill="auto"/>
                  <w:vAlign w:val="center"/>
                </w:tcPr>
                <w:p w14:paraId="56078AFA">
                  <w:pPr>
                    <w:pStyle w:val="42"/>
                    <w:spacing w:beforeLines="0" w:afterLines="0" w:line="240" w:lineRule="auto"/>
                    <w:rPr>
                      <w:rFonts w:hint="eastAsia" w:ascii="Times New Roman" w:hAnsi="Times New Roman" w:eastAsia="宋体" w:cs="Times New Roman"/>
                      <w:b w:val="0"/>
                      <w:bCs/>
                      <w:snapToGrid w:val="0"/>
                      <w:kern w:val="21"/>
                      <w:sz w:val="21"/>
                      <w:szCs w:val="21"/>
                      <w:lang w:val="en-US" w:eastAsia="zh-CN" w:bidi="ar-SA"/>
                    </w:rPr>
                  </w:pPr>
                  <w:r>
                    <w:rPr>
                      <w:rFonts w:hint="eastAsia" w:ascii="Times New Roman"/>
                      <w:b w:val="0"/>
                      <w:bCs/>
                      <w:snapToGrid w:val="0"/>
                      <w:kern w:val="21"/>
                      <w:szCs w:val="21"/>
                      <w:lang w:val="en-US" w:eastAsia="zh-CN"/>
                    </w:rPr>
                    <w:t>0.0583</w:t>
                  </w:r>
                </w:p>
              </w:tc>
              <w:tc>
                <w:tcPr>
                  <w:tcW w:w="0" w:type="auto"/>
                  <w:vAlign w:val="center"/>
                </w:tcPr>
                <w:p w14:paraId="32523DA9">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w:t>
                  </w:r>
                </w:p>
              </w:tc>
              <w:tc>
                <w:tcPr>
                  <w:tcW w:w="0" w:type="auto"/>
                  <w:shd w:val="clear" w:color="auto" w:fill="auto"/>
                  <w:vAlign w:val="center"/>
                </w:tcPr>
                <w:p w14:paraId="7BA88809">
                  <w:pPr>
                    <w:pStyle w:val="42"/>
                    <w:spacing w:beforeLines="0" w:afterLines="0" w:line="240" w:lineRule="auto"/>
                    <w:rPr>
                      <w:rFonts w:hint="eastAsia" w:ascii="Times New Roman" w:hAnsi="Times New Roman" w:eastAsia="宋体" w:cs="Times New Roman"/>
                      <w:b w:val="0"/>
                      <w:bCs/>
                      <w:snapToGrid w:val="0"/>
                      <w:kern w:val="21"/>
                      <w:sz w:val="21"/>
                      <w:szCs w:val="21"/>
                      <w:lang w:val="en-US" w:eastAsia="zh-CN" w:bidi="ar-SA"/>
                    </w:rPr>
                  </w:pPr>
                  <w:r>
                    <w:rPr>
                      <w:rFonts w:hint="eastAsia" w:ascii="Times New Roman"/>
                      <w:b w:val="0"/>
                      <w:bCs/>
                      <w:snapToGrid w:val="0"/>
                      <w:kern w:val="21"/>
                      <w:szCs w:val="21"/>
                      <w:lang w:val="en-US" w:eastAsia="zh-CN"/>
                    </w:rPr>
                    <w:t>+0.0583</w:t>
                  </w:r>
                </w:p>
              </w:tc>
              <w:tc>
                <w:tcPr>
                  <w:tcW w:w="0" w:type="auto"/>
                  <w:shd w:val="clear" w:color="auto" w:fill="auto"/>
                  <w:vAlign w:val="center"/>
                </w:tcPr>
                <w:p w14:paraId="4C365761">
                  <w:pPr>
                    <w:widowControl/>
                    <w:jc w:val="center"/>
                    <w:textAlignment w:val="center"/>
                    <w:rPr>
                      <w:rFonts w:hint="eastAsia" w:ascii="Times New Roman" w:hAnsi="Times New Roman" w:eastAsia="宋体" w:cs="Times New Roman"/>
                      <w:bCs/>
                      <w:kern w:val="0"/>
                      <w:sz w:val="21"/>
                      <w:szCs w:val="21"/>
                      <w:lang w:val="en-US" w:eastAsia="zh-CN" w:bidi="ar"/>
                    </w:rPr>
                  </w:pPr>
                  <w:r>
                    <w:rPr>
                      <w:rFonts w:hint="eastAsia"/>
                      <w:bCs/>
                      <w:kern w:val="0"/>
                      <w:szCs w:val="21"/>
                      <w:lang w:val="en-US" w:eastAsia="zh-CN" w:bidi="ar"/>
                    </w:rPr>
                    <w:t>0.5319</w:t>
                  </w:r>
                </w:p>
              </w:tc>
              <w:tc>
                <w:tcPr>
                  <w:tcW w:w="0" w:type="auto"/>
                  <w:shd w:val="clear" w:color="auto" w:fill="auto"/>
                  <w:vAlign w:val="center"/>
                </w:tcPr>
                <w:p w14:paraId="6E56F1CB">
                  <w:pPr>
                    <w:widowControl/>
                    <w:jc w:val="center"/>
                    <w:textAlignment w:val="center"/>
                    <w:rPr>
                      <w:rFonts w:hint="eastAsia" w:ascii="Times New Roman" w:hAnsi="Times New Roman" w:eastAsia="宋体" w:cs="Times New Roman"/>
                      <w:bCs/>
                      <w:kern w:val="0"/>
                      <w:sz w:val="21"/>
                      <w:szCs w:val="21"/>
                      <w:lang w:val="en-US" w:eastAsia="zh-CN" w:bidi="ar"/>
                    </w:rPr>
                  </w:pPr>
                  <w:r>
                    <w:rPr>
                      <w:rFonts w:hint="eastAsia"/>
                      <w:bCs/>
                      <w:kern w:val="0"/>
                      <w:szCs w:val="21"/>
                      <w:lang w:val="en-US" w:eastAsia="zh-CN" w:bidi="ar"/>
                    </w:rPr>
                    <w:t>0.5319</w:t>
                  </w:r>
                </w:p>
              </w:tc>
              <w:tc>
                <w:tcPr>
                  <w:tcW w:w="0" w:type="auto"/>
                  <w:shd w:val="clear" w:color="auto" w:fill="auto"/>
                  <w:vAlign w:val="center"/>
                </w:tcPr>
                <w:p w14:paraId="39B06618">
                  <w:pPr>
                    <w:widowControl/>
                    <w:jc w:val="center"/>
                    <w:textAlignment w:val="center"/>
                    <w:rPr>
                      <w:rFonts w:hint="eastAsia" w:ascii="Times New Roman" w:hAnsi="Times New Roman" w:eastAsia="宋体" w:cs="Times New Roman"/>
                      <w:bCs/>
                      <w:color w:val="auto"/>
                      <w:kern w:val="0"/>
                      <w:sz w:val="21"/>
                      <w:szCs w:val="21"/>
                      <w:lang w:val="en-US" w:eastAsia="zh-CN" w:bidi="ar"/>
                    </w:rPr>
                  </w:pPr>
                  <w:r>
                    <w:rPr>
                      <w:rFonts w:hint="eastAsia"/>
                      <w:bCs/>
                      <w:color w:val="auto"/>
                      <w:kern w:val="0"/>
                      <w:szCs w:val="21"/>
                      <w:lang w:val="en-US" w:eastAsia="zh-CN" w:bidi="ar"/>
                    </w:rPr>
                    <w:t>0.273</w:t>
                  </w:r>
                </w:p>
              </w:tc>
            </w:tr>
            <w:tr w14:paraId="09827E2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83" w:type="dxa"/>
                  <w:vMerge w:val="continue"/>
                  <w:vAlign w:val="center"/>
                </w:tcPr>
                <w:p w14:paraId="4E0DA770">
                  <w:pPr>
                    <w:jc w:val="center"/>
                    <w:rPr>
                      <w:color w:val="auto"/>
                      <w:szCs w:val="21"/>
                    </w:rPr>
                  </w:pPr>
                </w:p>
              </w:tc>
              <w:tc>
                <w:tcPr>
                  <w:tcW w:w="832" w:type="dxa"/>
                  <w:shd w:val="clear" w:color="auto" w:fill="auto"/>
                  <w:vAlign w:val="center"/>
                </w:tcPr>
                <w:p w14:paraId="6365CE09">
                  <w:pPr>
                    <w:pStyle w:val="10"/>
                    <w:spacing w:before="0" w:after="0" w:line="240" w:lineRule="auto"/>
                    <w:ind w:right="0" w:right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氟化物</w:t>
                  </w:r>
                </w:p>
              </w:tc>
              <w:tc>
                <w:tcPr>
                  <w:tcW w:w="832" w:type="dxa"/>
                  <w:shd w:val="clear" w:color="auto" w:fill="auto"/>
                  <w:vAlign w:val="center"/>
                </w:tcPr>
                <w:p w14:paraId="59D97F19">
                  <w:pPr>
                    <w:widowControl/>
                    <w:jc w:val="center"/>
                    <w:textAlignment w:val="center"/>
                    <w:rPr>
                      <w:rFonts w:hint="eastAsia" w:ascii="Times New Roman" w:hAnsi="Times New Roman" w:eastAsia="宋体" w:cs="Times New Roman"/>
                      <w:bCs/>
                      <w:color w:val="auto"/>
                      <w:kern w:val="0"/>
                      <w:sz w:val="21"/>
                      <w:szCs w:val="21"/>
                      <w:lang w:val="en-US" w:eastAsia="zh-CN" w:bidi="ar"/>
                    </w:rPr>
                  </w:pPr>
                  <w:r>
                    <w:rPr>
                      <w:rFonts w:hint="eastAsia"/>
                      <w:bCs/>
                      <w:color w:val="auto"/>
                      <w:kern w:val="0"/>
                      <w:szCs w:val="21"/>
                      <w:lang w:val="en-US" w:eastAsia="zh-CN" w:bidi="ar"/>
                    </w:rPr>
                    <w:t>0</w:t>
                  </w:r>
                </w:p>
              </w:tc>
              <w:tc>
                <w:tcPr>
                  <w:tcW w:w="0" w:type="auto"/>
                  <w:shd w:val="clear" w:color="auto" w:fill="auto"/>
                  <w:vAlign w:val="center"/>
                </w:tcPr>
                <w:p w14:paraId="75C01B71">
                  <w:pPr>
                    <w:widowControl/>
                    <w:jc w:val="center"/>
                    <w:textAlignment w:val="center"/>
                    <w:rPr>
                      <w:rFonts w:hint="eastAsia" w:ascii="Times New Roman" w:hAnsi="Times New Roman" w:eastAsia="宋体" w:cs="Times New Roman"/>
                      <w:bCs/>
                      <w:color w:val="auto"/>
                      <w:kern w:val="0"/>
                      <w:sz w:val="21"/>
                      <w:szCs w:val="21"/>
                      <w:lang w:val="en-US" w:eastAsia="zh-CN" w:bidi="ar"/>
                    </w:rPr>
                  </w:pPr>
                  <w:r>
                    <w:rPr>
                      <w:rFonts w:hint="eastAsia"/>
                      <w:bCs/>
                      <w:color w:val="auto"/>
                      <w:kern w:val="0"/>
                      <w:szCs w:val="21"/>
                      <w:lang w:val="en-US" w:eastAsia="zh-CN" w:bidi="ar"/>
                    </w:rPr>
                    <w:t>/</w:t>
                  </w:r>
                </w:p>
              </w:tc>
              <w:tc>
                <w:tcPr>
                  <w:tcW w:w="0" w:type="auto"/>
                  <w:shd w:val="clear" w:color="auto" w:fill="auto"/>
                  <w:vAlign w:val="center"/>
                </w:tcPr>
                <w:p w14:paraId="461CBDC2">
                  <w:pPr>
                    <w:pStyle w:val="42"/>
                    <w:spacing w:beforeLines="0" w:afterLines="0" w:line="240" w:lineRule="auto"/>
                    <w:rPr>
                      <w:rFonts w:hint="eastAsia" w:ascii="Times New Roman" w:hAnsi="Times New Roman" w:eastAsia="宋体" w:cs="Times New Roman"/>
                      <w:b w:val="0"/>
                      <w:bCs/>
                      <w:snapToGrid w:val="0"/>
                      <w:color w:val="auto"/>
                      <w:kern w:val="21"/>
                      <w:sz w:val="21"/>
                      <w:szCs w:val="21"/>
                      <w:lang w:val="en-US" w:eastAsia="zh-CN" w:bidi="ar-SA"/>
                    </w:rPr>
                  </w:pPr>
                  <w:r>
                    <w:rPr>
                      <w:rFonts w:hint="eastAsia" w:ascii="Times New Roman"/>
                      <w:b w:val="0"/>
                      <w:bCs/>
                      <w:snapToGrid w:val="0"/>
                      <w:color w:val="auto"/>
                      <w:kern w:val="21"/>
                      <w:szCs w:val="21"/>
                      <w:lang w:val="en-US" w:eastAsia="zh-CN"/>
                    </w:rPr>
                    <w:t>0.016</w:t>
                  </w:r>
                </w:p>
              </w:tc>
              <w:tc>
                <w:tcPr>
                  <w:tcW w:w="0" w:type="auto"/>
                  <w:vAlign w:val="center"/>
                </w:tcPr>
                <w:p w14:paraId="35C62DCF">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w:t>
                  </w:r>
                </w:p>
              </w:tc>
              <w:tc>
                <w:tcPr>
                  <w:tcW w:w="0" w:type="auto"/>
                  <w:shd w:val="clear" w:color="auto" w:fill="auto"/>
                  <w:vAlign w:val="center"/>
                </w:tcPr>
                <w:p w14:paraId="0970CC2F">
                  <w:pPr>
                    <w:pStyle w:val="42"/>
                    <w:spacing w:beforeLines="0" w:afterLines="0" w:line="240" w:lineRule="auto"/>
                    <w:rPr>
                      <w:rFonts w:hint="eastAsia" w:ascii="Times New Roman" w:hAnsi="Times New Roman" w:eastAsia="宋体" w:cs="Times New Roman"/>
                      <w:b w:val="0"/>
                      <w:bCs/>
                      <w:snapToGrid w:val="0"/>
                      <w:color w:val="auto"/>
                      <w:kern w:val="21"/>
                      <w:sz w:val="21"/>
                      <w:szCs w:val="21"/>
                      <w:lang w:val="en-US" w:eastAsia="zh-CN" w:bidi="ar-SA"/>
                    </w:rPr>
                  </w:pPr>
                  <w:r>
                    <w:rPr>
                      <w:rFonts w:hint="eastAsia" w:ascii="Times New Roman"/>
                      <w:b w:val="0"/>
                      <w:bCs/>
                      <w:snapToGrid w:val="0"/>
                      <w:color w:val="auto"/>
                      <w:kern w:val="21"/>
                      <w:szCs w:val="21"/>
                      <w:lang w:val="en-US" w:eastAsia="zh-CN"/>
                    </w:rPr>
                    <w:t>+0.016</w:t>
                  </w:r>
                </w:p>
              </w:tc>
              <w:tc>
                <w:tcPr>
                  <w:tcW w:w="0" w:type="auto"/>
                  <w:shd w:val="clear" w:color="auto" w:fill="auto"/>
                  <w:vAlign w:val="center"/>
                </w:tcPr>
                <w:p w14:paraId="07DD5882">
                  <w:pPr>
                    <w:widowControl/>
                    <w:jc w:val="center"/>
                    <w:textAlignment w:val="center"/>
                    <w:rPr>
                      <w:rFonts w:hint="eastAsia" w:ascii="Times New Roman" w:hAnsi="Times New Roman" w:eastAsia="宋体" w:cs="Times New Roman"/>
                      <w:bCs/>
                      <w:color w:val="auto"/>
                      <w:kern w:val="0"/>
                      <w:sz w:val="21"/>
                      <w:szCs w:val="21"/>
                      <w:lang w:val="en-US" w:eastAsia="zh-CN" w:bidi="ar"/>
                    </w:rPr>
                  </w:pPr>
                  <w:r>
                    <w:rPr>
                      <w:rFonts w:hint="eastAsia"/>
                      <w:bCs/>
                      <w:color w:val="auto"/>
                      <w:kern w:val="0"/>
                      <w:szCs w:val="21"/>
                      <w:lang w:val="en-US" w:eastAsia="zh-CN" w:bidi="ar"/>
                    </w:rPr>
                    <w:t>0.016</w:t>
                  </w:r>
                </w:p>
              </w:tc>
              <w:tc>
                <w:tcPr>
                  <w:tcW w:w="0" w:type="auto"/>
                  <w:shd w:val="clear" w:color="auto" w:fill="auto"/>
                  <w:vAlign w:val="center"/>
                </w:tcPr>
                <w:p w14:paraId="30890504">
                  <w:pPr>
                    <w:widowControl/>
                    <w:jc w:val="center"/>
                    <w:textAlignment w:val="center"/>
                    <w:rPr>
                      <w:rFonts w:hint="eastAsia" w:ascii="Times New Roman" w:hAnsi="Times New Roman" w:eastAsia="宋体" w:cs="Times New Roman"/>
                      <w:bCs/>
                      <w:color w:val="auto"/>
                      <w:kern w:val="0"/>
                      <w:sz w:val="21"/>
                      <w:szCs w:val="21"/>
                      <w:lang w:val="en-US" w:eastAsia="zh-CN" w:bidi="ar"/>
                    </w:rPr>
                  </w:pPr>
                  <w:r>
                    <w:rPr>
                      <w:rFonts w:hint="eastAsia"/>
                      <w:bCs/>
                      <w:color w:val="auto"/>
                      <w:kern w:val="0"/>
                      <w:szCs w:val="21"/>
                      <w:lang w:val="en-US" w:eastAsia="zh-CN" w:bidi="ar"/>
                    </w:rPr>
                    <w:t>0.016</w:t>
                  </w:r>
                </w:p>
              </w:tc>
              <w:tc>
                <w:tcPr>
                  <w:tcW w:w="0" w:type="auto"/>
                  <w:shd w:val="clear" w:color="auto" w:fill="auto"/>
                  <w:vAlign w:val="center"/>
                </w:tcPr>
                <w:p w14:paraId="7E2D8D34">
                  <w:pPr>
                    <w:widowControl/>
                    <w:jc w:val="center"/>
                    <w:textAlignment w:val="center"/>
                    <w:rPr>
                      <w:rFonts w:hint="eastAsia" w:ascii="Times New Roman" w:hAnsi="Times New Roman" w:eastAsia="宋体" w:cs="Times New Roman"/>
                      <w:bCs/>
                      <w:color w:val="auto"/>
                      <w:kern w:val="0"/>
                      <w:sz w:val="21"/>
                      <w:szCs w:val="21"/>
                      <w:lang w:val="en-US" w:eastAsia="zh-CN" w:bidi="ar"/>
                    </w:rPr>
                  </w:pPr>
                  <w:r>
                    <w:rPr>
                      <w:rFonts w:hint="eastAsia" w:ascii="Times New Roman"/>
                      <w:b w:val="0"/>
                      <w:bCs/>
                      <w:snapToGrid w:val="0"/>
                      <w:color w:val="auto"/>
                      <w:kern w:val="21"/>
                      <w:szCs w:val="21"/>
                      <w:lang w:val="en-US" w:eastAsia="zh-CN"/>
                    </w:rPr>
                    <w:t>0.016</w:t>
                  </w:r>
                </w:p>
              </w:tc>
            </w:tr>
            <w:tr w14:paraId="1DF1178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7971" w:type="dxa"/>
                  <w:gridSpan w:val="10"/>
                  <w:vAlign w:val="center"/>
                </w:tcPr>
                <w:p w14:paraId="41AE836C">
                  <w:pPr>
                    <w:widowControl/>
                    <w:jc w:val="both"/>
                    <w:textAlignment w:val="center"/>
                    <w:rPr>
                      <w:rFonts w:hint="eastAsia"/>
                      <w:b w:val="0"/>
                      <w:bCs w:val="0"/>
                      <w:color w:val="auto"/>
                      <w:sz w:val="21"/>
                      <w:szCs w:val="21"/>
                      <w:lang w:val="en-US" w:eastAsia="zh-CN"/>
                    </w:rPr>
                  </w:pPr>
                  <w:r>
                    <w:rPr>
                      <w:rFonts w:hint="eastAsia"/>
                      <w:b w:val="0"/>
                      <w:bCs w:val="0"/>
                      <w:color w:val="auto"/>
                      <w:sz w:val="21"/>
                      <w:szCs w:val="21"/>
                      <w:lang w:val="en-US" w:eastAsia="zh-CN"/>
                    </w:rPr>
                    <w:t>注：本次环评补充核算现有项目BOD</w:t>
                  </w:r>
                  <w:r>
                    <w:rPr>
                      <w:rFonts w:hint="eastAsia"/>
                      <w:b w:val="0"/>
                      <w:bCs w:val="0"/>
                      <w:color w:val="auto"/>
                      <w:sz w:val="21"/>
                      <w:szCs w:val="21"/>
                      <w:vertAlign w:val="subscript"/>
                      <w:lang w:val="en-US" w:eastAsia="zh-CN"/>
                    </w:rPr>
                    <w:t>5</w:t>
                  </w:r>
                  <w:r>
                    <w:rPr>
                      <w:rFonts w:hint="eastAsia"/>
                      <w:b w:val="0"/>
                      <w:bCs w:val="0"/>
                      <w:color w:val="auto"/>
                      <w:sz w:val="21"/>
                      <w:szCs w:val="21"/>
                      <w:lang w:val="en-US" w:eastAsia="zh-CN"/>
                    </w:rPr>
                    <w:t>、TN排放情况；</w:t>
                  </w:r>
                </w:p>
                <w:p w14:paraId="151A2FF3">
                  <w:pPr>
                    <w:widowControl/>
                    <w:ind w:firstLine="420" w:firstLineChars="200"/>
                    <w:jc w:val="both"/>
                    <w:textAlignment w:val="center"/>
                    <w:rPr>
                      <w:rFonts w:hint="default"/>
                      <w:b w:val="0"/>
                      <w:bCs w:val="0"/>
                      <w:color w:val="auto"/>
                      <w:sz w:val="21"/>
                      <w:szCs w:val="21"/>
                      <w:lang w:val="en-US" w:eastAsia="zh-CN"/>
                    </w:rPr>
                  </w:pPr>
                  <w:r>
                    <w:rPr>
                      <w:rFonts w:hint="eastAsia"/>
                      <w:b w:val="0"/>
                      <w:bCs w:val="0"/>
                      <w:color w:val="auto"/>
                      <w:sz w:val="21"/>
                      <w:szCs w:val="21"/>
                      <w:lang w:val="en-US" w:eastAsia="zh-CN"/>
                    </w:rPr>
                    <w:t>本次环评补充核算现有项目废水接管量；</w:t>
                  </w:r>
                </w:p>
                <w:p w14:paraId="38C55B95">
                  <w:pPr>
                    <w:widowControl/>
                    <w:ind w:firstLine="420" w:firstLineChars="200"/>
                    <w:jc w:val="both"/>
                    <w:textAlignment w:val="center"/>
                    <w:rPr>
                      <w:rFonts w:hint="eastAsia" w:eastAsia="宋体"/>
                      <w:b w:val="0"/>
                      <w:bCs w:val="0"/>
                      <w:color w:val="auto"/>
                      <w:sz w:val="21"/>
                      <w:szCs w:val="21"/>
                      <w:lang w:val="en-US" w:eastAsia="zh-CN"/>
                    </w:rPr>
                  </w:pPr>
                  <w:r>
                    <w:rPr>
                      <w:rFonts w:hint="eastAsia"/>
                      <w:color w:val="auto"/>
                      <w:szCs w:val="21"/>
                    </w:rPr>
                    <w:t>本项目新增VOCs排放量在现有项目批复排放量内平衡，不新增申请量</w:t>
                  </w:r>
                  <w:r>
                    <w:rPr>
                      <w:rFonts w:hint="eastAsia"/>
                      <w:color w:val="auto"/>
                      <w:szCs w:val="21"/>
                      <w:lang w:eastAsia="zh-CN"/>
                    </w:rPr>
                    <w:t>。</w:t>
                  </w:r>
                </w:p>
              </w:tc>
            </w:tr>
          </w:tbl>
          <w:p w14:paraId="69D1D64F">
            <w:pPr>
              <w:keepNext w:val="0"/>
              <w:keepLines w:val="0"/>
              <w:pageBreakBefore w:val="0"/>
              <w:widowControl w:val="0"/>
              <w:kinsoku/>
              <w:wordWrap/>
              <w:overflowPunct/>
              <w:topLinePunct w:val="0"/>
              <w:autoSpaceDE/>
              <w:autoSpaceDN/>
              <w:bidi w:val="0"/>
              <w:adjustRightInd/>
              <w:snapToGrid/>
              <w:spacing w:before="157" w:beforeLines="50" w:line="360" w:lineRule="auto"/>
              <w:ind w:firstLine="420" w:firstLineChars="200"/>
              <w:textAlignment w:val="baseline"/>
              <w:rPr>
                <w:rFonts w:hint="default" w:eastAsia="宋体"/>
                <w:color w:val="auto"/>
                <w:szCs w:val="21"/>
                <w:lang w:val="en-US" w:eastAsia="zh-CN"/>
              </w:rPr>
            </w:pPr>
            <w:r>
              <w:rPr>
                <w:rFonts w:hint="eastAsia"/>
                <w:color w:val="auto"/>
                <w:szCs w:val="21"/>
                <w:lang w:val="en-US" w:eastAsia="zh-CN"/>
              </w:rPr>
              <w:t>1</w:t>
            </w:r>
            <w:r>
              <w:rPr>
                <w:rFonts w:hint="eastAsia"/>
                <w:color w:val="auto"/>
                <w:lang w:val="en-US" w:eastAsia="zh-CN"/>
              </w:rPr>
              <w:t>、本项目</w:t>
            </w:r>
            <w:r>
              <w:rPr>
                <w:rFonts w:hint="eastAsia"/>
                <w:color w:val="auto"/>
                <w:sz w:val="21"/>
                <w:szCs w:val="22"/>
                <w:lang w:val="en-US" w:eastAsia="zh-CN"/>
              </w:rPr>
              <w:t>总量控制指标为：</w:t>
            </w:r>
          </w:p>
          <w:p w14:paraId="6A824A11">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jc w:val="left"/>
              <w:textAlignment w:val="auto"/>
              <w:rPr>
                <w:rFonts w:hint="eastAsia"/>
                <w:kern w:val="0"/>
                <w:szCs w:val="21"/>
                <w:lang w:val="en-US" w:eastAsia="zh-CN"/>
              </w:rPr>
            </w:pPr>
            <w:r>
              <w:rPr>
                <w:rFonts w:hint="eastAsia"/>
                <w:kern w:val="0"/>
                <w:szCs w:val="21"/>
                <w:lang w:val="en-US" w:eastAsia="zh-CN"/>
              </w:rPr>
              <w:t>（1）废气：</w:t>
            </w:r>
          </w:p>
          <w:p w14:paraId="09987C0B">
            <w:pPr>
              <w:keepNext w:val="0"/>
              <w:keepLines w:val="0"/>
              <w:pageBreakBefore w:val="0"/>
              <w:numPr>
                <w:ilvl w:val="0"/>
                <w:numId w:val="0"/>
              </w:numPr>
              <w:kinsoku/>
              <w:wordWrap/>
              <w:overflowPunct/>
              <w:topLinePunct w:val="0"/>
              <w:autoSpaceDE/>
              <w:autoSpaceDN/>
              <w:bidi w:val="0"/>
              <w:adjustRightInd w:val="0"/>
              <w:snapToGrid w:val="0"/>
              <w:spacing w:line="360" w:lineRule="auto"/>
              <w:ind w:right="0" w:firstLine="420" w:firstLineChars="200"/>
              <w:jc w:val="left"/>
              <w:textAlignment w:val="auto"/>
              <w:rPr>
                <w:rFonts w:hint="eastAsia" w:ascii="Times New Roman" w:hAnsi="Times New Roman" w:eastAsia="宋体" w:cs="Times New Roman"/>
                <w:sz w:val="21"/>
                <w:szCs w:val="21"/>
                <w:highlight w:val="none"/>
                <w:lang w:eastAsia="zh-CN"/>
              </w:rPr>
            </w:pPr>
            <w:r>
              <w:rPr>
                <w:rFonts w:hint="eastAsia"/>
                <w:sz w:val="21"/>
                <w:szCs w:val="21"/>
                <w:highlight w:val="none"/>
                <w:lang w:val="en-US" w:eastAsia="zh-CN"/>
              </w:rPr>
              <w:t>①</w:t>
            </w:r>
            <w:r>
              <w:rPr>
                <w:sz w:val="21"/>
                <w:szCs w:val="21"/>
                <w:highlight w:val="none"/>
              </w:rPr>
              <w:t>有组织排放</w:t>
            </w:r>
            <w:r>
              <w:rPr>
                <w:rFonts w:ascii="Times New Roman" w:hAnsi="Times New Roman" w:eastAsia="宋体" w:cs="Times New Roman"/>
                <w:sz w:val="21"/>
                <w:szCs w:val="21"/>
                <w:highlight w:val="none"/>
              </w:rPr>
              <w:t>量</w:t>
            </w:r>
            <w:r>
              <w:rPr>
                <w:rFonts w:hint="eastAsia" w:ascii="Times New Roman" w:hAnsi="Times New Roman" w:eastAsia="宋体" w:cs="Times New Roman"/>
                <w:sz w:val="21"/>
                <w:szCs w:val="21"/>
                <w:highlight w:val="none"/>
                <w:lang w:eastAsia="zh-CN"/>
              </w:rPr>
              <w:t>：</w:t>
            </w:r>
            <w:r>
              <w:rPr>
                <w:rFonts w:hint="eastAsia" w:ascii="Times New Roman" w:hAnsi="Times New Roman" w:eastAsia="宋体" w:cs="Times New Roman"/>
                <w:b w:val="0"/>
                <w:bCs w:val="0"/>
                <w:kern w:val="2"/>
                <w:sz w:val="21"/>
                <w:szCs w:val="21"/>
                <w:vertAlign w:val="baseline"/>
                <w:lang w:val="en-US" w:eastAsia="zh-CN" w:bidi="ar-SA"/>
              </w:rPr>
              <w:t>VOCs</w:t>
            </w:r>
            <w:r>
              <w:rPr>
                <w:rFonts w:hint="default" w:ascii="Times New Roman" w:hAnsi="Times New Roman" w:cs="Times New Roman"/>
                <w:b w:val="0"/>
                <w:bCs w:val="0"/>
                <w:color w:val="auto"/>
                <w:sz w:val="21"/>
                <w:szCs w:val="21"/>
              </w:rPr>
              <w:t>≤</w:t>
            </w:r>
            <w:r>
              <w:rPr>
                <w:rFonts w:hint="eastAsia" w:ascii="Times New Roman" w:hAnsi="Times New Roman" w:eastAsia="宋体" w:cs="Times New Roman"/>
                <w:b w:val="0"/>
                <w:bCs w:val="0"/>
                <w:kern w:val="2"/>
                <w:sz w:val="21"/>
                <w:szCs w:val="21"/>
                <w:vertAlign w:val="baseline"/>
                <w:lang w:val="en-US" w:eastAsia="zh-CN" w:bidi="ar-SA"/>
              </w:rPr>
              <w:t>0.</w:t>
            </w:r>
            <w:r>
              <w:rPr>
                <w:rFonts w:hint="eastAsia" w:cs="Times New Roman"/>
                <w:b w:val="0"/>
                <w:bCs w:val="0"/>
                <w:kern w:val="2"/>
                <w:sz w:val="21"/>
                <w:szCs w:val="21"/>
                <w:vertAlign w:val="baseline"/>
                <w:lang w:val="en-US" w:eastAsia="zh-CN" w:bidi="ar-SA"/>
              </w:rPr>
              <w:t>0109</w:t>
            </w:r>
            <w:r>
              <w:rPr>
                <w:kern w:val="0"/>
                <w:szCs w:val="21"/>
              </w:rPr>
              <w:t>t/a</w:t>
            </w:r>
            <w:r>
              <w:rPr>
                <w:rFonts w:hint="eastAsia"/>
                <w:kern w:val="0"/>
                <w:szCs w:val="21"/>
                <w:lang w:eastAsia="zh-CN"/>
              </w:rPr>
              <w:t>；</w:t>
            </w:r>
          </w:p>
          <w:p w14:paraId="363C38D2">
            <w:pPr>
              <w:pStyle w:val="10"/>
              <w:keepNext w:val="0"/>
              <w:keepLines w:val="0"/>
              <w:pageBreakBefore w:val="0"/>
              <w:kinsoku/>
              <w:wordWrap/>
              <w:overflowPunct/>
              <w:topLinePunct w:val="0"/>
              <w:autoSpaceDE/>
              <w:autoSpaceDN/>
              <w:bidi w:val="0"/>
              <w:snapToGrid w:val="0"/>
              <w:spacing w:before="0" w:after="0" w:line="360" w:lineRule="auto"/>
              <w:ind w:right="0" w:firstLine="420" w:firstLineChars="200"/>
              <w:textAlignment w:val="auto"/>
              <w:rPr>
                <w:rFonts w:hint="eastAsia" w:eastAsia="宋体"/>
                <w:lang w:val="en-US" w:eastAsia="zh-CN"/>
              </w:rPr>
            </w:pPr>
            <w:r>
              <w:rPr>
                <w:rFonts w:hint="eastAsia"/>
                <w:sz w:val="21"/>
                <w:szCs w:val="21"/>
                <w:lang w:val="en-US" w:eastAsia="zh-CN"/>
              </w:rPr>
              <w:t>②无</w:t>
            </w:r>
            <w:r>
              <w:rPr>
                <w:sz w:val="21"/>
                <w:szCs w:val="21"/>
                <w:highlight w:val="none"/>
              </w:rPr>
              <w:t>组织排放</w:t>
            </w:r>
            <w:r>
              <w:rPr>
                <w:rFonts w:ascii="Times New Roman" w:hAnsi="Times New Roman" w:eastAsia="宋体" w:cs="Times New Roman"/>
                <w:sz w:val="21"/>
                <w:szCs w:val="21"/>
                <w:highlight w:val="none"/>
              </w:rPr>
              <w:t>量</w:t>
            </w:r>
            <w:r>
              <w:rPr>
                <w:rFonts w:hint="eastAsia" w:ascii="Times New Roman" w:hAnsi="Times New Roman" w:eastAsia="宋体" w:cs="Times New Roman"/>
                <w:sz w:val="21"/>
                <w:szCs w:val="21"/>
                <w:highlight w:val="none"/>
                <w:lang w:eastAsia="zh-CN"/>
              </w:rPr>
              <w:t>：</w:t>
            </w:r>
            <w:r>
              <w:rPr>
                <w:rFonts w:hint="eastAsia" w:ascii="Times New Roman" w:hAnsi="Times New Roman" w:eastAsia="宋体" w:cs="Times New Roman"/>
                <w:b w:val="0"/>
                <w:bCs w:val="0"/>
                <w:kern w:val="2"/>
                <w:sz w:val="21"/>
                <w:szCs w:val="21"/>
                <w:vertAlign w:val="baseline"/>
                <w:lang w:val="en-US" w:eastAsia="zh-CN" w:bidi="ar-SA"/>
              </w:rPr>
              <w:t>VOCs</w:t>
            </w:r>
            <w:r>
              <w:rPr>
                <w:rFonts w:hint="default" w:ascii="Times New Roman" w:hAnsi="Times New Roman" w:cs="Times New Roman"/>
                <w:b w:val="0"/>
                <w:bCs w:val="0"/>
                <w:color w:val="auto"/>
                <w:sz w:val="21"/>
                <w:szCs w:val="21"/>
              </w:rPr>
              <w:t>≤</w:t>
            </w:r>
            <w:r>
              <w:rPr>
                <w:rFonts w:hint="eastAsia"/>
                <w:sz w:val="21"/>
                <w:szCs w:val="21"/>
                <w:lang w:val="en-US" w:eastAsia="zh-CN"/>
              </w:rPr>
              <w:t>0.0117</w:t>
            </w:r>
            <w:r>
              <w:rPr>
                <w:kern w:val="0"/>
                <w:sz w:val="21"/>
                <w:szCs w:val="21"/>
              </w:rPr>
              <w:t>t/a</w:t>
            </w:r>
            <w:r>
              <w:rPr>
                <w:rFonts w:hint="eastAsia"/>
                <w:kern w:val="0"/>
                <w:sz w:val="21"/>
                <w:szCs w:val="21"/>
                <w:lang w:eastAsia="zh-CN"/>
              </w:rPr>
              <w:t>。</w:t>
            </w:r>
          </w:p>
          <w:p w14:paraId="064EBED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baseline"/>
              <w:rPr>
                <w:rFonts w:hint="eastAsia" w:ascii="Times New Roman" w:hAnsi="Times New Roman" w:eastAsia="宋体" w:cs="Times New Roman"/>
                <w:kern w:val="0"/>
                <w:sz w:val="21"/>
                <w:szCs w:val="21"/>
                <w:highlight w:val="none"/>
                <w:lang w:val="en-US" w:eastAsia="zh-CN" w:bidi="ar-SA"/>
              </w:rPr>
            </w:pPr>
            <w:r>
              <w:rPr>
                <w:rFonts w:hint="eastAsia" w:ascii="Times New Roman" w:hAnsi="Times New Roman" w:eastAsia="宋体" w:cs="Times New Roman"/>
                <w:kern w:val="0"/>
                <w:sz w:val="21"/>
                <w:szCs w:val="21"/>
                <w:highlight w:val="none"/>
                <w:lang w:val="en-US" w:eastAsia="zh-CN" w:bidi="ar-SA"/>
              </w:rPr>
              <w:t>（2）废水：</w:t>
            </w:r>
          </w:p>
          <w:p w14:paraId="60BD3B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kern w:val="0"/>
                <w:sz w:val="21"/>
                <w:szCs w:val="21"/>
                <w:highlight w:val="none"/>
                <w:lang w:val="en-US" w:eastAsia="zh-CN" w:bidi="ar-SA"/>
              </w:rPr>
            </w:pPr>
            <w:r>
              <w:rPr>
                <w:rFonts w:hint="eastAsia" w:ascii="Times New Roman" w:hAnsi="Times New Roman" w:eastAsia="宋体" w:cs="Times New Roman"/>
                <w:kern w:val="0"/>
                <w:sz w:val="21"/>
                <w:szCs w:val="21"/>
                <w:highlight w:val="none"/>
                <w:lang w:val="en-US" w:eastAsia="zh-CN" w:bidi="ar-SA"/>
              </w:rPr>
              <w:t>接管量：废水量</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2376m</w:t>
            </w:r>
            <w:r>
              <w:rPr>
                <w:rFonts w:hint="eastAsia" w:ascii="Times New Roman" w:hAnsi="Times New Roman" w:eastAsia="宋体" w:cs="Times New Roman"/>
                <w:kern w:val="0"/>
                <w:sz w:val="21"/>
                <w:szCs w:val="21"/>
                <w:highlight w:val="none"/>
                <w:vertAlign w:val="superscript"/>
                <w:lang w:val="en-US" w:eastAsia="zh-CN" w:bidi="ar-SA"/>
              </w:rPr>
              <w:t>3</w:t>
            </w:r>
            <w:r>
              <w:rPr>
                <w:rFonts w:hint="eastAsia" w:ascii="Times New Roman" w:hAnsi="Times New Roman" w:eastAsia="宋体" w:cs="Times New Roman"/>
                <w:kern w:val="0"/>
                <w:sz w:val="21"/>
                <w:szCs w:val="21"/>
                <w:highlight w:val="none"/>
                <w:lang w:val="en-US" w:eastAsia="zh-CN" w:bidi="ar-SA"/>
              </w:rPr>
              <w:t>/a，COD</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0.54t/a，BOD5</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0.231t/a，SS</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0.1973t/a，氨氮</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0.0464t/a，总氮</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0.0583t/a，总磷</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0.003</w:t>
            </w:r>
            <w:r>
              <w:rPr>
                <w:rFonts w:hint="eastAsia" w:cs="Times New Roman"/>
                <w:kern w:val="0"/>
                <w:sz w:val="21"/>
                <w:szCs w:val="21"/>
                <w:highlight w:val="none"/>
                <w:lang w:val="en-US" w:eastAsia="zh-CN" w:bidi="ar-SA"/>
              </w:rPr>
              <w:t>9</w:t>
            </w:r>
            <w:r>
              <w:rPr>
                <w:rFonts w:hint="eastAsia" w:ascii="Times New Roman" w:hAnsi="Times New Roman" w:eastAsia="宋体" w:cs="Times New Roman"/>
                <w:kern w:val="0"/>
                <w:sz w:val="21"/>
                <w:szCs w:val="21"/>
                <w:highlight w:val="none"/>
                <w:lang w:val="en-US" w:eastAsia="zh-CN" w:bidi="ar-SA"/>
              </w:rPr>
              <w:t>3t/a，氟化物</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0.016t/a；</w:t>
            </w:r>
          </w:p>
          <w:p w14:paraId="29D3C6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baseline"/>
              <w:rPr>
                <w:rFonts w:hint="default" w:ascii="Times New Roman" w:hAnsi="Times New Roman" w:eastAsia="宋体" w:cs="Times New Roman"/>
                <w:kern w:val="0"/>
                <w:sz w:val="21"/>
                <w:szCs w:val="21"/>
                <w:highlight w:val="none"/>
                <w:lang w:val="en-US" w:eastAsia="zh-CN" w:bidi="ar-SA"/>
              </w:rPr>
            </w:pPr>
            <w:r>
              <w:rPr>
                <w:rFonts w:hint="eastAsia" w:ascii="Times New Roman" w:hAnsi="Times New Roman" w:eastAsia="宋体" w:cs="Times New Roman"/>
                <w:kern w:val="0"/>
                <w:sz w:val="21"/>
                <w:szCs w:val="21"/>
                <w:highlight w:val="none"/>
                <w:lang w:val="en-US" w:eastAsia="zh-CN" w:bidi="ar-SA"/>
              </w:rPr>
              <w:t>排入外环境：废水量</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2376m</w:t>
            </w:r>
            <w:r>
              <w:rPr>
                <w:rFonts w:hint="eastAsia" w:ascii="Times New Roman" w:hAnsi="Times New Roman" w:eastAsia="宋体" w:cs="Times New Roman"/>
                <w:kern w:val="0"/>
                <w:sz w:val="21"/>
                <w:szCs w:val="21"/>
                <w:highlight w:val="none"/>
                <w:vertAlign w:val="superscript"/>
                <w:lang w:val="en-US" w:eastAsia="zh-CN" w:bidi="ar-SA"/>
              </w:rPr>
              <w:t>3</w:t>
            </w:r>
            <w:r>
              <w:rPr>
                <w:rFonts w:hint="eastAsia" w:ascii="Times New Roman" w:hAnsi="Times New Roman" w:eastAsia="宋体" w:cs="Times New Roman"/>
                <w:kern w:val="0"/>
                <w:sz w:val="21"/>
                <w:szCs w:val="21"/>
                <w:highlight w:val="none"/>
                <w:lang w:val="en-US" w:eastAsia="zh-CN" w:bidi="ar-SA"/>
              </w:rPr>
              <w:t>/a，COD</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0.119t/a，BOD5</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0.024t/a，SS</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0.024t/a，氨氮</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0.012t/a，总氮</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0.036t/a，总磷</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0.0012t/a，氟化物</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0.016t/a。</w:t>
            </w:r>
          </w:p>
          <w:p w14:paraId="1E37CA8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baseline"/>
              <w:rPr>
                <w:rFonts w:hint="default"/>
                <w:color w:val="auto"/>
                <w:szCs w:val="21"/>
                <w:lang w:val="en-US" w:eastAsia="zh-CN"/>
              </w:rPr>
            </w:pPr>
            <w:r>
              <w:rPr>
                <w:rFonts w:hint="eastAsia"/>
                <w:color w:val="auto"/>
                <w:szCs w:val="21"/>
                <w:lang w:eastAsia="zh-CN"/>
              </w:rPr>
              <w:t>（</w:t>
            </w:r>
            <w:r>
              <w:rPr>
                <w:rFonts w:hint="eastAsia"/>
                <w:color w:val="auto"/>
                <w:szCs w:val="21"/>
                <w:lang w:val="en-US" w:eastAsia="zh-CN"/>
              </w:rPr>
              <w:t>3）固体废物：综合利用或安全处置，“零”排放，无需申请总量。</w:t>
            </w:r>
          </w:p>
          <w:p w14:paraId="2842AA1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baseline"/>
              <w:rPr>
                <w:rFonts w:hint="default"/>
                <w:color w:val="auto"/>
                <w:szCs w:val="21"/>
                <w:lang w:val="en-US" w:eastAsia="zh-CN"/>
              </w:rPr>
            </w:pPr>
            <w:r>
              <w:rPr>
                <w:rFonts w:hint="eastAsia"/>
                <w:color w:val="auto"/>
                <w:szCs w:val="21"/>
                <w:lang w:val="en-US" w:eastAsia="zh-CN"/>
              </w:rPr>
              <w:t>2</w:t>
            </w:r>
            <w:r>
              <w:rPr>
                <w:rFonts w:hint="eastAsia"/>
                <w:color w:val="auto"/>
                <w:lang w:val="en-US" w:eastAsia="zh-CN"/>
              </w:rPr>
              <w:t>、本项目建成后全厂污染物排放总量：</w:t>
            </w:r>
          </w:p>
          <w:p w14:paraId="62E1A1B2">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jc w:val="left"/>
              <w:textAlignment w:val="auto"/>
              <w:rPr>
                <w:rFonts w:hint="eastAsia"/>
                <w:kern w:val="0"/>
                <w:szCs w:val="21"/>
                <w:lang w:val="en-US" w:eastAsia="zh-CN"/>
              </w:rPr>
            </w:pPr>
            <w:r>
              <w:rPr>
                <w:rFonts w:hint="eastAsia"/>
                <w:kern w:val="0"/>
                <w:szCs w:val="21"/>
                <w:lang w:val="en-US" w:eastAsia="zh-CN"/>
              </w:rPr>
              <w:t>（1）废气：</w:t>
            </w:r>
          </w:p>
          <w:p w14:paraId="0BB83622">
            <w:pPr>
              <w:keepNext w:val="0"/>
              <w:keepLines w:val="0"/>
              <w:pageBreakBefore w:val="0"/>
              <w:numPr>
                <w:ilvl w:val="0"/>
                <w:numId w:val="0"/>
              </w:numPr>
              <w:kinsoku/>
              <w:wordWrap/>
              <w:overflowPunct/>
              <w:topLinePunct w:val="0"/>
              <w:autoSpaceDE/>
              <w:autoSpaceDN/>
              <w:bidi w:val="0"/>
              <w:adjustRightInd w:val="0"/>
              <w:snapToGrid w:val="0"/>
              <w:spacing w:line="360" w:lineRule="auto"/>
              <w:ind w:right="0" w:firstLine="420" w:firstLineChars="200"/>
              <w:jc w:val="left"/>
              <w:textAlignment w:val="auto"/>
              <w:rPr>
                <w:rFonts w:hint="eastAsia" w:eastAsia="宋体"/>
                <w:lang w:val="en-US" w:eastAsia="zh-CN"/>
              </w:rPr>
            </w:pPr>
            <w:r>
              <w:rPr>
                <w:sz w:val="21"/>
                <w:szCs w:val="21"/>
                <w:highlight w:val="none"/>
              </w:rPr>
              <w:t>有组织排放</w:t>
            </w:r>
            <w:r>
              <w:rPr>
                <w:rFonts w:ascii="Times New Roman" w:hAnsi="Times New Roman" w:eastAsia="宋体" w:cs="Times New Roman"/>
                <w:sz w:val="21"/>
                <w:szCs w:val="21"/>
                <w:highlight w:val="none"/>
              </w:rPr>
              <w:t>量</w:t>
            </w:r>
            <w:r>
              <w:rPr>
                <w:rFonts w:hint="eastAsia" w:ascii="Times New Roman" w:hAnsi="Times New Roman" w:eastAsia="宋体" w:cs="Times New Roman"/>
                <w:sz w:val="21"/>
                <w:szCs w:val="21"/>
                <w:highlight w:val="none"/>
                <w:lang w:eastAsia="zh-CN"/>
              </w:rPr>
              <w:t>：</w:t>
            </w:r>
            <w:r>
              <w:rPr>
                <w:rFonts w:hint="eastAsia" w:ascii="Times New Roman" w:hAnsi="Times New Roman" w:eastAsia="宋体" w:cs="Times New Roman"/>
                <w:kern w:val="0"/>
                <w:sz w:val="21"/>
                <w:szCs w:val="21"/>
                <w:highlight w:val="none"/>
                <w:lang w:val="en-US" w:eastAsia="zh-CN" w:bidi="ar-SA"/>
              </w:rPr>
              <w:t>VOCs</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3.838t/a，颗粒物</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3.59t/a，SO2</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1.85t/a，NOx</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16.3t/a，氯化氢</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0.711t/a，硫酸雾</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0.14t/a。</w:t>
            </w:r>
          </w:p>
          <w:p w14:paraId="1FBBF8A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baseline"/>
              <w:rPr>
                <w:rFonts w:hint="eastAsia" w:ascii="Times New Roman" w:hAnsi="Times New Roman" w:eastAsia="宋体" w:cs="Times New Roman"/>
                <w:kern w:val="0"/>
                <w:sz w:val="21"/>
                <w:szCs w:val="21"/>
                <w:highlight w:val="none"/>
                <w:lang w:val="en-US" w:eastAsia="zh-CN" w:bidi="ar-SA"/>
              </w:rPr>
            </w:pPr>
            <w:r>
              <w:rPr>
                <w:rFonts w:hint="eastAsia" w:ascii="Times New Roman" w:hAnsi="Times New Roman" w:eastAsia="宋体" w:cs="Times New Roman"/>
                <w:kern w:val="0"/>
                <w:sz w:val="21"/>
                <w:szCs w:val="21"/>
                <w:highlight w:val="none"/>
                <w:lang w:val="en-US" w:eastAsia="zh-CN" w:bidi="ar-SA"/>
              </w:rPr>
              <w:t>（2）废水：</w:t>
            </w:r>
          </w:p>
          <w:p w14:paraId="4294B8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kern w:val="0"/>
                <w:sz w:val="21"/>
                <w:szCs w:val="21"/>
                <w:highlight w:val="none"/>
                <w:lang w:val="en-US" w:eastAsia="zh-CN" w:bidi="ar-SA"/>
              </w:rPr>
            </w:pPr>
            <w:r>
              <w:rPr>
                <w:rFonts w:hint="eastAsia" w:ascii="Times New Roman" w:hAnsi="Times New Roman" w:eastAsia="宋体" w:cs="Times New Roman"/>
                <w:kern w:val="0"/>
                <w:sz w:val="21"/>
                <w:szCs w:val="21"/>
                <w:highlight w:val="none"/>
                <w:lang w:val="en-US" w:eastAsia="zh-CN" w:bidi="ar-SA"/>
              </w:rPr>
              <w:t>接管量：废水量</w:t>
            </w:r>
            <w:r>
              <w:rPr>
                <w:rFonts w:hint="default" w:ascii="Times New Roman" w:hAnsi="Times New Roman" w:eastAsia="宋体" w:cs="Times New Roman"/>
                <w:kern w:val="0"/>
                <w:sz w:val="21"/>
                <w:szCs w:val="21"/>
                <w:highlight w:val="none"/>
                <w:lang w:val="en-US" w:eastAsia="zh-CN" w:bidi="ar-SA"/>
              </w:rPr>
              <w:t>≤</w:t>
            </w:r>
            <w:r>
              <w:rPr>
                <w:rFonts w:hint="eastAsia" w:eastAsia="宋体" w:cs="Times New Roman"/>
                <w:kern w:val="0"/>
                <w:sz w:val="21"/>
                <w:szCs w:val="21"/>
                <w:highlight w:val="none"/>
                <w:lang w:val="en-US" w:eastAsia="zh-CN" w:bidi="ar-SA"/>
              </w:rPr>
              <w:t>18163.2</w:t>
            </w:r>
            <w:r>
              <w:rPr>
                <w:rFonts w:hint="eastAsia" w:ascii="Times New Roman" w:hAnsi="Times New Roman" w:eastAsia="宋体" w:cs="Times New Roman"/>
                <w:kern w:val="0"/>
                <w:sz w:val="21"/>
                <w:szCs w:val="21"/>
                <w:highlight w:val="none"/>
                <w:lang w:val="en-US" w:eastAsia="zh-CN" w:bidi="ar-SA"/>
              </w:rPr>
              <w:t>m</w:t>
            </w:r>
            <w:r>
              <w:rPr>
                <w:rFonts w:hint="eastAsia" w:ascii="Times New Roman" w:hAnsi="Times New Roman" w:eastAsia="宋体" w:cs="Times New Roman"/>
                <w:kern w:val="0"/>
                <w:sz w:val="21"/>
                <w:szCs w:val="21"/>
                <w:highlight w:val="none"/>
                <w:vertAlign w:val="superscript"/>
                <w:lang w:val="en-US" w:eastAsia="zh-CN" w:bidi="ar-SA"/>
              </w:rPr>
              <w:t>3</w:t>
            </w:r>
            <w:r>
              <w:rPr>
                <w:rFonts w:hint="eastAsia" w:ascii="Times New Roman" w:hAnsi="Times New Roman" w:eastAsia="宋体" w:cs="Times New Roman"/>
                <w:kern w:val="0"/>
                <w:sz w:val="21"/>
                <w:szCs w:val="21"/>
                <w:highlight w:val="none"/>
                <w:lang w:val="en-US" w:eastAsia="zh-CN" w:bidi="ar-SA"/>
              </w:rPr>
              <w:t>/a，COD</w:t>
            </w:r>
            <w:r>
              <w:rPr>
                <w:rFonts w:hint="default" w:ascii="Times New Roman" w:hAnsi="Times New Roman" w:eastAsia="宋体" w:cs="Times New Roman"/>
                <w:kern w:val="0"/>
                <w:sz w:val="21"/>
                <w:szCs w:val="21"/>
                <w:highlight w:val="none"/>
                <w:lang w:val="en-US" w:eastAsia="zh-CN" w:bidi="ar-SA"/>
              </w:rPr>
              <w:t>≤</w:t>
            </w:r>
            <w:r>
              <w:rPr>
                <w:rFonts w:hint="eastAsia" w:eastAsia="宋体" w:cs="Times New Roman"/>
                <w:kern w:val="0"/>
                <w:sz w:val="21"/>
                <w:szCs w:val="21"/>
                <w:highlight w:val="none"/>
                <w:lang w:val="en-US" w:eastAsia="zh-CN" w:bidi="ar-SA"/>
              </w:rPr>
              <w:t>6.697</w:t>
            </w:r>
            <w:r>
              <w:rPr>
                <w:rFonts w:hint="eastAsia" w:ascii="Times New Roman" w:hAnsi="Times New Roman" w:eastAsia="宋体" w:cs="Times New Roman"/>
                <w:kern w:val="0"/>
                <w:sz w:val="21"/>
                <w:szCs w:val="21"/>
                <w:highlight w:val="none"/>
                <w:lang w:val="en-US" w:eastAsia="zh-CN" w:bidi="ar-SA"/>
              </w:rPr>
              <w:t>t/a，BOD5</w:t>
            </w:r>
            <w:r>
              <w:rPr>
                <w:rFonts w:hint="default" w:ascii="Times New Roman" w:hAnsi="Times New Roman" w:eastAsia="宋体" w:cs="Times New Roman"/>
                <w:kern w:val="0"/>
                <w:sz w:val="21"/>
                <w:szCs w:val="21"/>
                <w:highlight w:val="none"/>
                <w:lang w:val="en-US" w:eastAsia="zh-CN" w:bidi="ar-SA"/>
              </w:rPr>
              <w:t>≤</w:t>
            </w:r>
            <w:r>
              <w:rPr>
                <w:rFonts w:hint="eastAsia" w:eastAsia="宋体" w:cs="Times New Roman"/>
                <w:kern w:val="0"/>
                <w:sz w:val="21"/>
                <w:szCs w:val="21"/>
                <w:highlight w:val="none"/>
                <w:lang w:val="en-US" w:eastAsia="zh-CN" w:bidi="ar-SA"/>
              </w:rPr>
              <w:t>1.81</w:t>
            </w:r>
            <w:r>
              <w:rPr>
                <w:rFonts w:hint="eastAsia" w:ascii="Times New Roman" w:hAnsi="Times New Roman" w:eastAsia="宋体" w:cs="Times New Roman"/>
                <w:kern w:val="0"/>
                <w:sz w:val="21"/>
                <w:szCs w:val="21"/>
                <w:highlight w:val="none"/>
                <w:lang w:val="en-US" w:eastAsia="zh-CN" w:bidi="ar-SA"/>
              </w:rPr>
              <w:t>t/a，SS</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w:t>
            </w:r>
            <w:r>
              <w:rPr>
                <w:rFonts w:hint="eastAsia" w:eastAsia="宋体" w:cs="Times New Roman"/>
                <w:kern w:val="0"/>
                <w:sz w:val="21"/>
                <w:szCs w:val="21"/>
                <w:highlight w:val="none"/>
                <w:lang w:val="en-US" w:eastAsia="zh-CN" w:bidi="ar-SA"/>
              </w:rPr>
              <w:t>6709</w:t>
            </w:r>
            <w:r>
              <w:rPr>
                <w:rFonts w:hint="eastAsia" w:ascii="Times New Roman" w:hAnsi="Times New Roman" w:eastAsia="宋体" w:cs="Times New Roman"/>
                <w:kern w:val="0"/>
                <w:sz w:val="21"/>
                <w:szCs w:val="21"/>
                <w:highlight w:val="none"/>
                <w:lang w:val="en-US" w:eastAsia="zh-CN" w:bidi="ar-SA"/>
              </w:rPr>
              <w:t>t/a，氨氮</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w:t>
            </w:r>
            <w:r>
              <w:rPr>
                <w:rFonts w:hint="eastAsia" w:eastAsia="宋体" w:cs="Times New Roman"/>
                <w:kern w:val="0"/>
                <w:sz w:val="21"/>
                <w:szCs w:val="21"/>
                <w:highlight w:val="none"/>
                <w:lang w:val="en-US" w:eastAsia="zh-CN" w:bidi="ar-SA"/>
              </w:rPr>
              <w:t>4411</w:t>
            </w:r>
            <w:r>
              <w:rPr>
                <w:rFonts w:hint="eastAsia" w:ascii="Times New Roman" w:hAnsi="Times New Roman" w:eastAsia="宋体" w:cs="Times New Roman"/>
                <w:kern w:val="0"/>
                <w:sz w:val="21"/>
                <w:szCs w:val="21"/>
                <w:highlight w:val="none"/>
                <w:lang w:val="en-US" w:eastAsia="zh-CN" w:bidi="ar-SA"/>
              </w:rPr>
              <w:t>t/a，总氮</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w:t>
            </w:r>
            <w:r>
              <w:rPr>
                <w:rFonts w:hint="eastAsia" w:eastAsia="宋体" w:cs="Times New Roman"/>
                <w:kern w:val="0"/>
                <w:sz w:val="21"/>
                <w:szCs w:val="21"/>
                <w:highlight w:val="none"/>
                <w:lang w:val="en-US" w:eastAsia="zh-CN" w:bidi="ar-SA"/>
              </w:rPr>
              <w:t>5319</w:t>
            </w:r>
            <w:r>
              <w:rPr>
                <w:rFonts w:hint="eastAsia" w:ascii="Times New Roman" w:hAnsi="Times New Roman" w:eastAsia="宋体" w:cs="Times New Roman"/>
                <w:kern w:val="0"/>
                <w:sz w:val="21"/>
                <w:szCs w:val="21"/>
                <w:highlight w:val="none"/>
                <w:lang w:val="en-US" w:eastAsia="zh-CN" w:bidi="ar-SA"/>
              </w:rPr>
              <w:t>t/a，总磷</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0.0</w:t>
            </w:r>
            <w:r>
              <w:rPr>
                <w:rFonts w:hint="eastAsia" w:eastAsia="宋体" w:cs="Times New Roman"/>
                <w:kern w:val="0"/>
                <w:sz w:val="21"/>
                <w:szCs w:val="21"/>
                <w:highlight w:val="none"/>
                <w:lang w:val="en-US" w:eastAsia="zh-CN" w:bidi="ar-SA"/>
              </w:rPr>
              <w:t>5129</w:t>
            </w:r>
            <w:r>
              <w:rPr>
                <w:rFonts w:hint="eastAsia" w:ascii="Times New Roman" w:hAnsi="Times New Roman" w:eastAsia="宋体" w:cs="Times New Roman"/>
                <w:kern w:val="0"/>
                <w:sz w:val="21"/>
                <w:szCs w:val="21"/>
                <w:highlight w:val="none"/>
                <w:lang w:val="en-US" w:eastAsia="zh-CN" w:bidi="ar-SA"/>
              </w:rPr>
              <w:t>t/a，氟化物</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0.016t/a；</w:t>
            </w:r>
          </w:p>
          <w:p w14:paraId="7A2618A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kern w:val="0"/>
                <w:sz w:val="21"/>
                <w:szCs w:val="21"/>
                <w:highlight w:val="none"/>
                <w:lang w:val="en-US" w:eastAsia="zh-CN" w:bidi="ar-SA"/>
              </w:rPr>
            </w:pPr>
            <w:r>
              <w:rPr>
                <w:rFonts w:hint="eastAsia" w:ascii="Times New Roman" w:hAnsi="Times New Roman" w:eastAsia="宋体" w:cs="Times New Roman"/>
                <w:kern w:val="0"/>
                <w:sz w:val="21"/>
                <w:szCs w:val="21"/>
                <w:highlight w:val="none"/>
                <w:lang w:val="en-US" w:eastAsia="zh-CN" w:bidi="ar-SA"/>
              </w:rPr>
              <w:t>排入外环境：废水量</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18163.2m</w:t>
            </w:r>
            <w:r>
              <w:rPr>
                <w:rFonts w:hint="eastAsia" w:ascii="Times New Roman" w:hAnsi="Times New Roman" w:eastAsia="宋体" w:cs="Times New Roman"/>
                <w:kern w:val="0"/>
                <w:sz w:val="21"/>
                <w:szCs w:val="21"/>
                <w:highlight w:val="none"/>
                <w:vertAlign w:val="superscript"/>
                <w:lang w:val="en-US" w:eastAsia="zh-CN" w:bidi="ar-SA"/>
              </w:rPr>
              <w:t>3</w:t>
            </w:r>
            <w:r>
              <w:rPr>
                <w:rFonts w:hint="eastAsia" w:ascii="Times New Roman" w:hAnsi="Times New Roman" w:eastAsia="宋体" w:cs="Times New Roman"/>
                <w:kern w:val="0"/>
                <w:sz w:val="21"/>
                <w:szCs w:val="21"/>
                <w:highlight w:val="none"/>
                <w:lang w:val="en-US" w:eastAsia="zh-CN" w:bidi="ar-SA"/>
              </w:rPr>
              <w:t>/a，COD</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0.908t/a，BOD5</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0.181t/a，SS</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0.181t/a，氨氮</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0.09t/a，总氮</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0.273t/a，总磷</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0.009t/a，氟化物</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0.016t/a。</w:t>
            </w:r>
          </w:p>
          <w:p w14:paraId="0C01B27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baseline"/>
              <w:rPr>
                <w:rFonts w:hint="eastAsia"/>
                <w:color w:val="auto"/>
                <w:szCs w:val="21"/>
                <w:lang w:eastAsia="zh-CN"/>
              </w:rPr>
            </w:pPr>
            <w:r>
              <w:rPr>
                <w:rFonts w:hint="eastAsia"/>
                <w:color w:val="auto"/>
                <w:szCs w:val="21"/>
                <w:lang w:eastAsia="zh-CN"/>
              </w:rPr>
              <w:t>（</w:t>
            </w:r>
            <w:r>
              <w:rPr>
                <w:rFonts w:hint="eastAsia"/>
                <w:color w:val="auto"/>
                <w:szCs w:val="21"/>
                <w:lang w:val="en-US" w:eastAsia="zh-CN"/>
              </w:rPr>
              <w:t>3）固体废物：综合利用或安全处置，“零”排放，无需申请总量。</w:t>
            </w:r>
          </w:p>
          <w:p w14:paraId="537A048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baseline"/>
              <w:rPr>
                <w:rFonts w:hint="eastAsia"/>
                <w:color w:val="auto"/>
                <w:szCs w:val="21"/>
                <w:lang w:eastAsia="zh-CN"/>
              </w:rPr>
            </w:pPr>
          </w:p>
          <w:p w14:paraId="32A1DE7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baseline"/>
              <w:rPr>
                <w:color w:val="auto"/>
                <w:szCs w:val="21"/>
              </w:rPr>
            </w:pPr>
          </w:p>
        </w:tc>
      </w:tr>
    </w:tbl>
    <w:p w14:paraId="567637D4">
      <w:pPr>
        <w:pStyle w:val="27"/>
        <w:jc w:val="center"/>
        <w:rPr>
          <w:rFonts w:ascii="Times New Roman" w:hAnsi="Times New Roman" w:eastAsia="黑体"/>
          <w:snapToGrid w:val="0"/>
          <w:sz w:val="30"/>
          <w:szCs w:val="30"/>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14:paraId="44B5BD6E">
      <w:pPr>
        <w:pStyle w:val="27"/>
        <w:ind w:firstLine="420" w:firstLineChars="0"/>
        <w:jc w:val="center"/>
        <w:outlineLvl w:val="0"/>
        <w:rPr>
          <w:rFonts w:ascii="Times New Roman" w:hAnsi="Times New Roman" w:eastAsia="黑体"/>
          <w:snapToGrid w:val="0"/>
          <w:sz w:val="30"/>
          <w:szCs w:val="30"/>
        </w:rPr>
      </w:pPr>
      <w:bookmarkStart w:id="7" w:name="_Toc23988"/>
      <w:r>
        <w:rPr>
          <w:rFonts w:hint="eastAsia" w:ascii="Times New Roman" w:hAnsi="Times New Roman" w:eastAsia="黑体"/>
          <w:snapToGrid w:val="0"/>
          <w:sz w:val="30"/>
          <w:szCs w:val="30"/>
        </w:rPr>
        <w:t>四、主要环境影响和保护措施</w:t>
      </w:r>
      <w:bookmarkEnd w:id="7"/>
    </w:p>
    <w:tbl>
      <w:tblPr>
        <w:tblStyle w:val="30"/>
        <w:tblW w:w="940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82"/>
        <w:gridCol w:w="8718"/>
      </w:tblGrid>
      <w:tr w14:paraId="49500C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417" w:hRule="atLeast"/>
          <w:jc w:val="center"/>
        </w:trPr>
        <w:tc>
          <w:tcPr>
            <w:tcW w:w="682" w:type="dxa"/>
            <w:shd w:val="clear" w:color="auto" w:fill="auto"/>
            <w:tcMar>
              <w:left w:w="28" w:type="dxa"/>
              <w:right w:w="28" w:type="dxa"/>
            </w:tcMar>
            <w:vAlign w:val="center"/>
          </w:tcPr>
          <w:p w14:paraId="767B2640">
            <w:pPr>
              <w:pStyle w:val="27"/>
              <w:adjustRightInd w:val="0"/>
              <w:snapToGrid w:val="0"/>
              <w:spacing w:before="0" w:beforeAutospacing="0" w:after="0" w:afterAutospacing="0"/>
              <w:jc w:val="center"/>
              <w:rPr>
                <w:rFonts w:hint="eastAsia" w:ascii="Times New Roman" w:hAnsi="Times New Roman" w:eastAsia="宋体" w:cs="宋体"/>
                <w:bCs/>
                <w:kern w:val="2"/>
                <w:sz w:val="21"/>
                <w:szCs w:val="21"/>
                <w:lang w:val="en-US" w:eastAsia="zh-CN" w:bidi="ar-SA"/>
              </w:rPr>
            </w:pPr>
            <w:r>
              <w:rPr>
                <w:rFonts w:hint="eastAsia" w:ascii="Times New Roman" w:hAnsi="Times New Roman" w:cs="宋体"/>
                <w:kern w:val="2"/>
                <w:sz w:val="21"/>
                <w:szCs w:val="21"/>
              </w:rPr>
              <w:t>施工期环境保护措施</w:t>
            </w:r>
          </w:p>
        </w:tc>
        <w:tc>
          <w:tcPr>
            <w:tcW w:w="8718" w:type="dxa"/>
            <w:shd w:val="clear" w:color="auto" w:fill="auto"/>
            <w:vAlign w:val="center"/>
          </w:tcPr>
          <w:p w14:paraId="64515D17">
            <w:pPr>
              <w:adjustRightInd w:val="0"/>
              <w:snapToGrid w:val="0"/>
              <w:spacing w:line="360" w:lineRule="auto"/>
              <w:ind w:firstLine="420" w:firstLineChars="200"/>
              <w:rPr>
                <w:rFonts w:ascii="Times New Roman" w:hAnsi="Times New Roman" w:eastAsia="宋体" w:cs="宋体"/>
                <w:bCs/>
                <w:spacing w:val="-10"/>
                <w:kern w:val="2"/>
                <w:sz w:val="21"/>
                <w:szCs w:val="21"/>
                <w:lang w:val="en-US" w:eastAsia="zh-CN" w:bidi="ar-SA"/>
              </w:rPr>
            </w:pPr>
            <w:r>
              <w:rPr>
                <w:rFonts w:hint="eastAsia"/>
                <w:szCs w:val="21"/>
              </w:rPr>
              <w:t>本次扩建项目使用厂区现有标准厂房，仅需进行设备安装，故不对</w:t>
            </w:r>
            <w:r>
              <w:rPr>
                <w:kern w:val="0"/>
                <w:szCs w:val="21"/>
              </w:rPr>
              <w:t>施工期进行环境影响分析</w:t>
            </w:r>
            <w:r>
              <w:rPr>
                <w:rFonts w:hint="eastAsia"/>
                <w:kern w:val="0"/>
                <w:szCs w:val="21"/>
              </w:rPr>
              <w:t>。</w:t>
            </w:r>
          </w:p>
        </w:tc>
      </w:tr>
      <w:tr w14:paraId="0D1487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682" w:type="dxa"/>
            <w:shd w:val="clear" w:color="auto" w:fill="auto"/>
            <w:tcMar>
              <w:left w:w="28" w:type="dxa"/>
              <w:right w:w="28" w:type="dxa"/>
            </w:tcMar>
            <w:vAlign w:val="center"/>
          </w:tcPr>
          <w:p w14:paraId="5E4F5C5F">
            <w:pPr>
              <w:adjustRightInd w:val="0"/>
              <w:snapToGrid w:val="0"/>
              <w:jc w:val="center"/>
              <w:rPr>
                <w:rFonts w:hint="eastAsia" w:ascii="Times New Roman" w:hAnsi="Times New Roman" w:eastAsia="宋体" w:cs="宋体"/>
                <w:bCs/>
                <w:kern w:val="2"/>
                <w:sz w:val="21"/>
                <w:szCs w:val="21"/>
                <w:lang w:val="en-US" w:eastAsia="zh-CN" w:bidi="ar-SA"/>
              </w:rPr>
            </w:pPr>
            <w:r>
              <w:rPr>
                <w:rFonts w:hint="eastAsia" w:cs="宋体"/>
                <w:bCs/>
                <w:szCs w:val="21"/>
              </w:rPr>
              <w:t>运营期环境影响和保护措施</w:t>
            </w:r>
          </w:p>
        </w:tc>
        <w:tc>
          <w:tcPr>
            <w:tcW w:w="8718" w:type="dxa"/>
            <w:shd w:val="clear" w:color="auto" w:fill="auto"/>
            <w:vAlign w:val="top"/>
          </w:tcPr>
          <w:p w14:paraId="5BD2B9F2">
            <w:pPr>
              <w:keepNext w:val="0"/>
              <w:keepLines w:val="0"/>
              <w:pageBreakBefore w:val="0"/>
              <w:numPr>
                <w:ilvl w:val="0"/>
                <w:numId w:val="0"/>
              </w:numPr>
              <w:kinsoku/>
              <w:wordWrap/>
              <w:overflowPunct/>
              <w:topLinePunct w:val="0"/>
              <w:bidi w:val="0"/>
              <w:adjustRightInd w:val="0"/>
              <w:snapToGrid w:val="0"/>
              <w:spacing w:line="360" w:lineRule="auto"/>
              <w:rPr>
                <w:b/>
                <w:bCs/>
                <w:color w:val="auto"/>
                <w:szCs w:val="21"/>
              </w:rPr>
            </w:pPr>
            <w:r>
              <w:rPr>
                <w:rFonts w:hint="default" w:ascii="Times New Roman" w:hAnsi="Times New Roman" w:eastAsia="宋体" w:cs="Times New Roman"/>
                <w:b/>
                <w:bCs/>
                <w:color w:val="auto"/>
                <w:kern w:val="2"/>
                <w:sz w:val="21"/>
                <w:szCs w:val="21"/>
                <w:lang w:val="en-US" w:eastAsia="zh-CN" w:bidi="ar-SA"/>
              </w:rPr>
              <w:t>1、</w:t>
            </w:r>
            <w:r>
              <w:rPr>
                <w:rFonts w:hint="eastAsia"/>
                <w:b/>
                <w:bCs/>
                <w:color w:val="auto"/>
                <w:szCs w:val="21"/>
              </w:rPr>
              <w:t>废气</w:t>
            </w:r>
          </w:p>
          <w:p w14:paraId="5CDC26FC">
            <w:pPr>
              <w:keepNext w:val="0"/>
              <w:keepLines w:val="0"/>
              <w:pageBreakBefore w:val="0"/>
              <w:widowControl w:val="0"/>
              <w:numPr>
                <w:ilvl w:val="1"/>
                <w:numId w:val="0"/>
              </w:numPr>
              <w:kinsoku/>
              <w:wordWrap/>
              <w:overflowPunct/>
              <w:topLinePunct w:val="0"/>
              <w:autoSpaceDE/>
              <w:autoSpaceDN/>
              <w:bidi w:val="0"/>
              <w:adjustRightInd/>
              <w:snapToGrid w:val="0"/>
              <w:spacing w:line="360" w:lineRule="auto"/>
              <w:ind w:left="0" w:leftChars="0" w:firstLine="0" w:firstLineChars="0"/>
              <w:textAlignment w:val="auto"/>
              <w:rPr>
                <w:b/>
                <w:bCs/>
                <w:color w:val="auto"/>
                <w:szCs w:val="21"/>
              </w:rPr>
            </w:pPr>
            <w:r>
              <w:rPr>
                <w:rFonts w:hint="default" w:ascii="Times New Roman" w:hAnsi="Times New Roman" w:eastAsia="宋体" w:cs="Times New Roman"/>
                <w:b/>
                <w:bCs/>
                <w:color w:val="auto"/>
                <w:kern w:val="2"/>
                <w:sz w:val="21"/>
                <w:szCs w:val="21"/>
                <w:lang w:val="en-US" w:eastAsia="zh-CN" w:bidi="ar-SA"/>
              </w:rPr>
              <w:t>1.1</w:t>
            </w:r>
            <w:r>
              <w:rPr>
                <w:rFonts w:hint="eastAsia"/>
                <w:b/>
                <w:bCs/>
                <w:color w:val="auto"/>
                <w:szCs w:val="21"/>
              </w:rPr>
              <w:t>废气产生及排放情况</w:t>
            </w:r>
          </w:p>
          <w:p w14:paraId="01456BB1">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color w:val="auto"/>
                <w:szCs w:val="21"/>
              </w:rPr>
            </w:pPr>
            <w:r>
              <w:rPr>
                <w:rFonts w:hint="eastAsia"/>
                <w:color w:val="auto"/>
                <w:szCs w:val="21"/>
              </w:rPr>
              <w:t>本次扩建项目废气主要为</w:t>
            </w:r>
            <w:r>
              <w:rPr>
                <w:rFonts w:hint="eastAsia"/>
                <w:color w:val="auto"/>
                <w:szCs w:val="21"/>
                <w:lang w:val="en-US" w:eastAsia="zh-CN"/>
              </w:rPr>
              <w:t>切削液产生的有机废气和油墨印刷产生的</w:t>
            </w:r>
            <w:r>
              <w:rPr>
                <w:rFonts w:hint="eastAsia"/>
                <w:color w:val="auto"/>
                <w:szCs w:val="21"/>
              </w:rPr>
              <w:t>有机废气。</w:t>
            </w:r>
          </w:p>
          <w:p w14:paraId="06CA3243">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eastAsia="宋体"/>
                <w:color w:val="auto"/>
                <w:szCs w:val="21"/>
                <w:lang w:eastAsia="zh-CN"/>
              </w:rPr>
            </w:pPr>
            <w:r>
              <w:rPr>
                <w:rFonts w:hint="eastAsia"/>
                <w:color w:val="auto"/>
                <w:szCs w:val="21"/>
                <w:lang w:eastAsia="zh-CN"/>
              </w:rPr>
              <w:t>（</w:t>
            </w:r>
            <w:r>
              <w:rPr>
                <w:rFonts w:hint="eastAsia"/>
                <w:color w:val="auto"/>
                <w:szCs w:val="21"/>
                <w:lang w:val="en-US" w:eastAsia="zh-CN"/>
              </w:rPr>
              <w:t>1</w:t>
            </w:r>
            <w:r>
              <w:rPr>
                <w:rFonts w:hint="eastAsia"/>
                <w:color w:val="auto"/>
                <w:szCs w:val="21"/>
                <w:lang w:eastAsia="zh-CN"/>
              </w:rPr>
              <w:t>）</w:t>
            </w:r>
            <w:r>
              <w:rPr>
                <w:rFonts w:hint="eastAsia"/>
                <w:color w:val="auto"/>
                <w:sz w:val="21"/>
                <w:szCs w:val="21"/>
                <w:lang w:val="en-US" w:eastAsia="zh-CN"/>
              </w:rPr>
              <w:t>本项目激光内雕工序中使用切削液进行</w:t>
            </w:r>
            <w:r>
              <w:rPr>
                <w:rFonts w:hint="eastAsia" w:cs="Times New Roman"/>
                <w:color w:val="auto"/>
                <w:sz w:val="21"/>
                <w:szCs w:val="21"/>
                <w:lang w:val="en-US" w:eastAsia="zh-CN"/>
              </w:rPr>
              <w:t>润滑。参照</w:t>
            </w:r>
            <w:r>
              <w:rPr>
                <w:rFonts w:hint="eastAsia" w:ascii="Times New Roman" w:hAnsi="Times New Roman" w:eastAsia="宋体" w:cs="Times New Roman"/>
                <w:color w:val="auto"/>
                <w:kern w:val="2"/>
                <w:sz w:val="21"/>
                <w:szCs w:val="21"/>
                <w:lang w:val="en-US" w:eastAsia="zh-CN" w:bidi="ar-SA"/>
              </w:rPr>
              <w:t>《排放源统计调查产排污核算方法和系数手册》（公告2021年第24号）33-37，431-434机械行业系数手册中</w:t>
            </w:r>
            <w:r>
              <w:rPr>
                <w:rFonts w:hint="eastAsia" w:cs="Times New Roman"/>
                <w:color w:val="auto"/>
                <w:kern w:val="2"/>
                <w:sz w:val="21"/>
                <w:szCs w:val="21"/>
                <w:lang w:val="en-US" w:eastAsia="zh-CN" w:bidi="ar-SA"/>
              </w:rPr>
              <w:t>07机械加工-使用切削液的数控中心加工产生的挥发性有机废气产污系数为5.64kg/t-原料，项目切削液用量为1t/a，则有机废气产生量为0.006t/a，在车间内无组织排放。</w:t>
            </w:r>
          </w:p>
          <w:p w14:paraId="7AFCC62A">
            <w:pPr>
              <w:keepNext w:val="0"/>
              <w:keepLines w:val="0"/>
              <w:pageBreakBefore w:val="0"/>
              <w:widowControl w:val="0"/>
              <w:numPr>
                <w:ilvl w:val="1"/>
                <w:numId w:val="0"/>
              </w:numPr>
              <w:kinsoku/>
              <w:wordWrap/>
              <w:overflowPunct/>
              <w:topLinePunct w:val="0"/>
              <w:autoSpaceDE/>
              <w:autoSpaceDN/>
              <w:bidi w:val="0"/>
              <w:snapToGrid w:val="0"/>
              <w:spacing w:line="360" w:lineRule="auto"/>
              <w:ind w:left="0" w:leftChars="0" w:firstLine="420" w:firstLineChars="200"/>
              <w:textAlignment w:val="auto"/>
              <w:rPr>
                <w:rFonts w:hint="eastAsia"/>
                <w:color w:val="auto"/>
                <w:lang w:eastAsia="zh-CN"/>
              </w:rPr>
            </w:pPr>
            <w:r>
              <w:rPr>
                <w:rFonts w:hint="eastAsia"/>
                <w:color w:val="auto"/>
                <w:lang w:eastAsia="zh-CN"/>
              </w:rPr>
              <w:t>（</w:t>
            </w:r>
            <w:r>
              <w:rPr>
                <w:rFonts w:hint="eastAsia"/>
                <w:color w:val="auto"/>
                <w:lang w:val="en-US" w:eastAsia="zh-CN"/>
              </w:rPr>
              <w:t>2</w:t>
            </w:r>
            <w:r>
              <w:rPr>
                <w:rFonts w:hint="eastAsia"/>
                <w:color w:val="auto"/>
                <w:lang w:eastAsia="zh-CN"/>
              </w:rPr>
              <w:t>）</w:t>
            </w:r>
            <w:r>
              <w:rPr>
                <w:rFonts w:hint="eastAsia"/>
                <w:color w:val="auto"/>
              </w:rPr>
              <w:t>项目直印工序会产生有机废气，根据油墨厂家提供检测报告，油墨中VOCs含量为57%</w:t>
            </w:r>
            <w:r>
              <w:rPr>
                <w:rFonts w:hint="eastAsia"/>
                <w:color w:val="auto"/>
                <w:lang w:eastAsia="zh-CN"/>
              </w:rPr>
              <w:t>。</w:t>
            </w:r>
          </w:p>
          <w:p w14:paraId="18DE8711">
            <w:pPr>
              <w:keepNext w:val="0"/>
              <w:keepLines w:val="0"/>
              <w:pageBreakBefore w:val="0"/>
              <w:widowControl w:val="0"/>
              <w:numPr>
                <w:ilvl w:val="1"/>
                <w:numId w:val="0"/>
              </w:numPr>
              <w:kinsoku/>
              <w:wordWrap/>
              <w:overflowPunct/>
              <w:topLinePunct w:val="0"/>
              <w:autoSpaceDE/>
              <w:autoSpaceDN/>
              <w:bidi w:val="0"/>
              <w:snapToGrid w:val="0"/>
              <w:spacing w:line="360" w:lineRule="auto"/>
              <w:ind w:left="0" w:leftChars="0" w:firstLine="420" w:firstLineChars="200"/>
              <w:textAlignment w:val="auto"/>
              <w:rPr>
                <w:rFonts w:hint="eastAsia"/>
                <w:color w:val="auto"/>
                <w:lang w:val="en-US" w:eastAsia="zh-CN"/>
              </w:rPr>
            </w:pPr>
            <w:r>
              <w:rPr>
                <w:rFonts w:hint="eastAsia"/>
                <w:color w:val="auto"/>
              </w:rPr>
              <w:t>本项目</w:t>
            </w:r>
            <w:r>
              <w:rPr>
                <w:rFonts w:hint="eastAsia"/>
                <w:color w:val="auto"/>
                <w:lang w:val="en-US" w:eastAsia="zh-CN"/>
              </w:rPr>
              <w:t>3#厂房</w:t>
            </w:r>
            <w:r>
              <w:rPr>
                <w:rFonts w:hint="eastAsia"/>
                <w:color w:val="auto"/>
              </w:rPr>
              <w:t>油墨使用量为</w:t>
            </w:r>
            <w:r>
              <w:rPr>
                <w:rFonts w:hint="eastAsia"/>
                <w:color w:val="auto"/>
                <w:lang w:val="en-US" w:eastAsia="zh-CN"/>
              </w:rPr>
              <w:t>0.16</w:t>
            </w:r>
            <w:r>
              <w:rPr>
                <w:rFonts w:hint="eastAsia"/>
                <w:color w:val="auto"/>
              </w:rPr>
              <w:t>t/a，则有机废气（以非甲烷总烃计）产生量为0</w:t>
            </w:r>
            <w:r>
              <w:rPr>
                <w:rFonts w:hint="eastAsia"/>
                <w:color w:val="auto"/>
                <w:lang w:val="en-US" w:eastAsia="zh-CN"/>
              </w:rPr>
              <w:t>.0912</w:t>
            </w:r>
            <w:r>
              <w:rPr>
                <w:rFonts w:hint="eastAsia"/>
                <w:color w:val="auto"/>
              </w:rPr>
              <w:t>t/a，</w:t>
            </w:r>
            <w:r>
              <w:rPr>
                <w:rFonts w:hint="eastAsia"/>
                <w:color w:val="auto"/>
                <w:lang w:val="en-US" w:eastAsia="zh-CN"/>
              </w:rPr>
              <w:t>产生的废气密闭收集，收集效率95%。则有组织产生量为0.08664t/a，产生速率为0.012kg/h。收集后的废气通过“</w:t>
            </w:r>
            <w:r>
              <w:rPr>
                <w:rFonts w:hint="eastAsia"/>
                <w:color w:val="auto"/>
              </w:rPr>
              <w:t>水喷淋+二级干式过滤+</w:t>
            </w:r>
            <w:r>
              <w:rPr>
                <w:rFonts w:hint="eastAsia"/>
                <w:color w:val="auto"/>
                <w:szCs w:val="21"/>
              </w:rPr>
              <w:t>活性炭吸附脱附+催化燃烧装置</w:t>
            </w:r>
            <w:r>
              <w:rPr>
                <w:rFonts w:hint="eastAsia"/>
                <w:color w:val="auto"/>
                <w:lang w:val="en-US" w:eastAsia="zh-CN"/>
              </w:rPr>
              <w:t>”处理后通过15m高排气筒DA002排放，有机废气去除效率90%，则非甲烷总烃有组织排放量为0.0087t/a，排放速率为0.0012kg/h</w:t>
            </w:r>
            <w:r>
              <w:rPr>
                <w:rFonts w:hint="eastAsia"/>
                <w:color w:val="auto"/>
              </w:rPr>
              <w:t>。</w:t>
            </w:r>
            <w:r>
              <w:rPr>
                <w:rFonts w:hint="eastAsia"/>
                <w:color w:val="auto"/>
                <w:lang w:val="en-US" w:eastAsia="zh-CN"/>
              </w:rPr>
              <w:t>无组织非甲烷总烃排放量为0.00456t/a。</w:t>
            </w:r>
          </w:p>
          <w:p w14:paraId="49B4ED7C">
            <w:pPr>
              <w:keepNext w:val="0"/>
              <w:keepLines w:val="0"/>
              <w:pageBreakBefore w:val="0"/>
              <w:widowControl w:val="0"/>
              <w:numPr>
                <w:ilvl w:val="1"/>
                <w:numId w:val="0"/>
              </w:numPr>
              <w:kinsoku/>
              <w:wordWrap/>
              <w:overflowPunct/>
              <w:topLinePunct w:val="0"/>
              <w:autoSpaceDE/>
              <w:autoSpaceDN/>
              <w:bidi w:val="0"/>
              <w:snapToGrid w:val="0"/>
              <w:spacing w:line="360" w:lineRule="auto"/>
              <w:ind w:left="0" w:leftChars="0" w:firstLine="420" w:firstLineChars="200"/>
              <w:textAlignment w:val="auto"/>
              <w:rPr>
                <w:rFonts w:hint="default"/>
                <w:color w:val="auto"/>
                <w:lang w:val="en-US" w:eastAsia="zh-CN"/>
              </w:rPr>
            </w:pPr>
            <w:r>
              <w:rPr>
                <w:rFonts w:hint="eastAsia"/>
                <w:color w:val="auto"/>
                <w:lang w:val="en-US" w:eastAsia="zh-CN"/>
              </w:rPr>
              <w:t>本项目4#厂房油墨使用量为0.04t/a，则有机废气</w:t>
            </w:r>
            <w:r>
              <w:rPr>
                <w:rFonts w:hint="eastAsia"/>
                <w:color w:val="auto"/>
              </w:rPr>
              <w:t>（以非甲烷总烃计）产生量为0</w:t>
            </w:r>
            <w:r>
              <w:rPr>
                <w:rFonts w:hint="eastAsia"/>
                <w:color w:val="auto"/>
                <w:lang w:val="en-US" w:eastAsia="zh-CN"/>
              </w:rPr>
              <w:t>.0228</w:t>
            </w:r>
            <w:r>
              <w:rPr>
                <w:rFonts w:hint="eastAsia"/>
                <w:color w:val="auto"/>
              </w:rPr>
              <w:t>t/a，</w:t>
            </w:r>
            <w:r>
              <w:rPr>
                <w:rFonts w:hint="eastAsia"/>
                <w:color w:val="auto"/>
                <w:lang w:val="en-US" w:eastAsia="zh-CN"/>
              </w:rPr>
              <w:t>产生的废气密闭收集，收集效率95%。则有组织产生量为0.02166t/a，产生速率为0.003kg/h。收集后的废气通过“二级</w:t>
            </w:r>
            <w:r>
              <w:rPr>
                <w:rFonts w:hint="eastAsia"/>
                <w:color w:val="auto"/>
                <w:szCs w:val="21"/>
              </w:rPr>
              <w:t>活性炭吸附装置</w:t>
            </w:r>
            <w:r>
              <w:rPr>
                <w:rFonts w:hint="eastAsia"/>
                <w:color w:val="auto"/>
                <w:lang w:val="en-US" w:eastAsia="zh-CN"/>
              </w:rPr>
              <w:t>”处理后通过15m高排气筒DA005排放，有机废气去除效率90%，则非甲烷总烃有组织排放量为0.0022t/a，排放速率为0.0003kg/h</w:t>
            </w:r>
            <w:r>
              <w:rPr>
                <w:rFonts w:hint="eastAsia"/>
                <w:color w:val="auto"/>
              </w:rPr>
              <w:t>。</w:t>
            </w:r>
            <w:r>
              <w:rPr>
                <w:rFonts w:hint="eastAsia"/>
                <w:color w:val="auto"/>
                <w:lang w:val="en-US" w:eastAsia="zh-CN"/>
              </w:rPr>
              <w:t>无组织非甲烷总烃排放量为0.00114t/a。</w:t>
            </w:r>
          </w:p>
          <w:p w14:paraId="0937F64E">
            <w:pPr>
              <w:keepNext w:val="0"/>
              <w:keepLines w:val="0"/>
              <w:pageBreakBefore w:val="0"/>
              <w:widowControl w:val="0"/>
              <w:numPr>
                <w:ilvl w:val="1"/>
                <w:numId w:val="0"/>
              </w:numPr>
              <w:kinsoku/>
              <w:wordWrap/>
              <w:overflowPunct/>
              <w:topLinePunct w:val="0"/>
              <w:autoSpaceDE/>
              <w:autoSpaceDN/>
              <w:bidi w:val="0"/>
              <w:snapToGrid w:val="0"/>
              <w:spacing w:line="360" w:lineRule="auto"/>
              <w:ind w:left="0" w:leftChars="0" w:firstLine="420" w:firstLineChars="200"/>
              <w:textAlignment w:val="auto"/>
              <w:rPr>
                <w:rFonts w:hint="default" w:eastAsia="宋体"/>
                <w:color w:val="auto"/>
                <w:lang w:val="en-US" w:eastAsia="zh-CN"/>
              </w:rPr>
            </w:pPr>
            <w:r>
              <w:rPr>
                <w:rFonts w:hint="eastAsia"/>
                <w:color w:val="auto"/>
                <w:lang w:eastAsia="zh-CN"/>
              </w:rPr>
              <w:t>（</w:t>
            </w:r>
            <w:r>
              <w:rPr>
                <w:rFonts w:hint="eastAsia"/>
                <w:color w:val="auto"/>
                <w:lang w:val="en-US" w:eastAsia="zh-CN"/>
              </w:rPr>
              <w:t>3</w:t>
            </w:r>
            <w:r>
              <w:rPr>
                <w:rFonts w:hint="eastAsia"/>
                <w:color w:val="auto"/>
                <w:lang w:eastAsia="zh-CN"/>
              </w:rPr>
              <w:t>）</w:t>
            </w:r>
            <w:r>
              <w:rPr>
                <w:rFonts w:hint="eastAsia"/>
                <w:color w:val="auto"/>
                <w:lang w:val="en-US" w:eastAsia="zh-CN"/>
              </w:rPr>
              <w:t>项目热转印工艺是将</w:t>
            </w:r>
            <w:r>
              <w:rPr>
                <w:rFonts w:hint="eastAsia"/>
                <w:lang w:val="en-US" w:eastAsia="zh-CN"/>
              </w:rPr>
              <w:t>彩色图案薄膜通过热转印机加热、加压从而转印到玻璃酒瓶表面。生产中使用的热转印膜均由企业外购，在贴标过程中会产生极少量挥发性有机废气，因此本项目仅做定性分析。</w:t>
            </w:r>
          </w:p>
          <w:p w14:paraId="65C09F3D">
            <w:pPr>
              <w:keepNext w:val="0"/>
              <w:keepLines w:val="0"/>
              <w:pageBreakBefore w:val="0"/>
              <w:widowControl w:val="0"/>
              <w:numPr>
                <w:ilvl w:val="1"/>
                <w:numId w:val="0"/>
              </w:numPr>
              <w:kinsoku/>
              <w:wordWrap/>
              <w:overflowPunct/>
              <w:topLinePunct w:val="0"/>
              <w:autoSpaceDE/>
              <w:autoSpaceDN/>
              <w:bidi w:val="0"/>
              <w:snapToGrid w:val="0"/>
              <w:spacing w:line="360" w:lineRule="auto"/>
              <w:ind w:left="0" w:leftChars="0" w:firstLine="420" w:firstLineChars="200"/>
              <w:textAlignment w:val="auto"/>
              <w:rPr>
                <w:rFonts w:hint="eastAsia"/>
                <w:color w:val="auto"/>
                <w:lang w:val="en-US" w:eastAsia="zh-CN"/>
              </w:rPr>
            </w:pPr>
            <w:r>
              <w:rPr>
                <w:rFonts w:hint="eastAsia"/>
                <w:color w:val="auto"/>
                <w:lang w:val="en-US" w:eastAsia="zh-CN"/>
              </w:rPr>
              <w:t>本项目废气产生、排放情况见表4-1、4-2。</w:t>
            </w:r>
          </w:p>
          <w:p w14:paraId="74710761">
            <w:pPr>
              <w:keepNext w:val="0"/>
              <w:keepLines w:val="0"/>
              <w:pageBreakBefore w:val="0"/>
              <w:widowControl w:val="0"/>
              <w:numPr>
                <w:ilvl w:val="1"/>
                <w:numId w:val="0"/>
              </w:numPr>
              <w:kinsoku/>
              <w:wordWrap/>
              <w:overflowPunct/>
              <w:topLinePunct w:val="0"/>
              <w:autoSpaceDE/>
              <w:autoSpaceDN/>
              <w:bidi w:val="0"/>
              <w:adjustRightInd/>
              <w:snapToGrid w:val="0"/>
              <w:spacing w:before="148" w:beforeLines="50" w:line="240" w:lineRule="auto"/>
              <w:jc w:val="center"/>
              <w:textAlignment w:val="auto"/>
              <w:rPr>
                <w:rFonts w:hint="eastAsia"/>
                <w:b/>
                <w:bCs/>
                <w:color w:val="000000"/>
                <w:szCs w:val="21"/>
              </w:rPr>
            </w:pPr>
          </w:p>
          <w:p w14:paraId="5FAEF099">
            <w:pPr>
              <w:keepNext w:val="0"/>
              <w:keepLines w:val="0"/>
              <w:pageBreakBefore w:val="0"/>
              <w:widowControl w:val="0"/>
              <w:numPr>
                <w:ilvl w:val="1"/>
                <w:numId w:val="0"/>
              </w:numPr>
              <w:kinsoku/>
              <w:wordWrap/>
              <w:overflowPunct/>
              <w:topLinePunct w:val="0"/>
              <w:autoSpaceDE/>
              <w:autoSpaceDN/>
              <w:bidi w:val="0"/>
              <w:adjustRightInd/>
              <w:snapToGrid w:val="0"/>
              <w:spacing w:before="148" w:beforeLines="50" w:line="240" w:lineRule="auto"/>
              <w:jc w:val="center"/>
              <w:textAlignment w:val="auto"/>
              <w:rPr>
                <w:rFonts w:hint="eastAsia"/>
                <w:b/>
                <w:bCs/>
                <w:color w:val="000000"/>
                <w:szCs w:val="21"/>
              </w:rPr>
            </w:pPr>
          </w:p>
          <w:p w14:paraId="4FDDBA79">
            <w:pPr>
              <w:keepNext w:val="0"/>
              <w:keepLines w:val="0"/>
              <w:pageBreakBefore w:val="0"/>
              <w:widowControl w:val="0"/>
              <w:numPr>
                <w:ilvl w:val="1"/>
                <w:numId w:val="0"/>
              </w:numPr>
              <w:kinsoku/>
              <w:wordWrap/>
              <w:overflowPunct/>
              <w:topLinePunct w:val="0"/>
              <w:autoSpaceDE/>
              <w:autoSpaceDN/>
              <w:bidi w:val="0"/>
              <w:adjustRightInd/>
              <w:snapToGrid w:val="0"/>
              <w:spacing w:before="148" w:beforeLines="50" w:line="240" w:lineRule="auto"/>
              <w:jc w:val="center"/>
              <w:textAlignment w:val="auto"/>
              <w:rPr>
                <w:rFonts w:hint="eastAsia"/>
                <w:b/>
                <w:bCs/>
                <w:color w:val="000000"/>
                <w:szCs w:val="21"/>
              </w:rPr>
            </w:pPr>
          </w:p>
          <w:p w14:paraId="1931E568">
            <w:pPr>
              <w:keepNext w:val="0"/>
              <w:keepLines w:val="0"/>
              <w:pageBreakBefore w:val="0"/>
              <w:widowControl w:val="0"/>
              <w:numPr>
                <w:ilvl w:val="1"/>
                <w:numId w:val="0"/>
              </w:numPr>
              <w:kinsoku/>
              <w:wordWrap/>
              <w:overflowPunct/>
              <w:topLinePunct w:val="0"/>
              <w:autoSpaceDE/>
              <w:autoSpaceDN/>
              <w:bidi w:val="0"/>
              <w:adjustRightInd/>
              <w:snapToGrid w:val="0"/>
              <w:spacing w:before="148" w:beforeLines="50" w:line="240" w:lineRule="auto"/>
              <w:jc w:val="center"/>
              <w:textAlignment w:val="auto"/>
              <w:rPr>
                <w:rFonts w:hint="default"/>
                <w:color w:val="auto"/>
                <w:lang w:val="en-US" w:eastAsia="zh-CN"/>
              </w:rPr>
            </w:pPr>
            <w:r>
              <w:rPr>
                <w:rFonts w:hint="eastAsia"/>
                <w:b/>
                <w:bCs/>
                <w:color w:val="000000"/>
                <w:szCs w:val="21"/>
              </w:rPr>
              <w:t>表4-</w:t>
            </w:r>
            <w:r>
              <w:rPr>
                <w:rFonts w:hint="eastAsia"/>
                <w:b/>
                <w:bCs/>
                <w:color w:val="000000"/>
                <w:szCs w:val="21"/>
                <w:lang w:val="en-US" w:eastAsia="zh-CN"/>
              </w:rPr>
              <w:t>1</w:t>
            </w:r>
            <w:r>
              <w:rPr>
                <w:rFonts w:hint="eastAsia"/>
                <w:b/>
                <w:bCs/>
                <w:color w:val="000000"/>
                <w:szCs w:val="21"/>
              </w:rPr>
              <w:t xml:space="preserve"> 项目废气产污环节、污染物种类、排放形式及污染防治设施一览表</w:t>
            </w:r>
          </w:p>
          <w:tbl>
            <w:tblPr>
              <w:tblStyle w:val="3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32"/>
              <w:gridCol w:w="1296"/>
              <w:gridCol w:w="1074"/>
              <w:gridCol w:w="825"/>
              <w:gridCol w:w="2280"/>
              <w:gridCol w:w="680"/>
              <w:gridCol w:w="1215"/>
            </w:tblGrid>
            <w:tr w14:paraId="5E953D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2" w:type="dxa"/>
                  <w:tcBorders>
                    <w:tl2br w:val="nil"/>
                    <w:tr2bl w:val="nil"/>
                  </w:tcBorders>
                  <w:shd w:val="clear" w:color="auto" w:fill="auto"/>
                  <w:vAlign w:val="center"/>
                </w:tcPr>
                <w:p w14:paraId="2A69B89C">
                  <w:pPr>
                    <w:pStyle w:val="10"/>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sz w:val="21"/>
                      <w:szCs w:val="21"/>
                    </w:rPr>
                    <w:t>产生工序</w:t>
                  </w:r>
                </w:p>
              </w:tc>
              <w:tc>
                <w:tcPr>
                  <w:tcW w:w="1296" w:type="dxa"/>
                  <w:tcBorders>
                    <w:tl2br w:val="nil"/>
                    <w:tr2bl w:val="nil"/>
                  </w:tcBorders>
                  <w:shd w:val="clear" w:color="auto" w:fill="auto"/>
                  <w:vAlign w:val="center"/>
                </w:tcPr>
                <w:p w14:paraId="3598A53A">
                  <w:pPr>
                    <w:pStyle w:val="10"/>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sz w:val="21"/>
                      <w:szCs w:val="21"/>
                    </w:rPr>
                    <w:t>污染物名称</w:t>
                  </w:r>
                </w:p>
              </w:tc>
              <w:tc>
                <w:tcPr>
                  <w:tcW w:w="1074" w:type="dxa"/>
                  <w:tcBorders>
                    <w:tl2br w:val="nil"/>
                    <w:tr2bl w:val="nil"/>
                  </w:tcBorders>
                  <w:shd w:val="clear" w:color="auto" w:fill="auto"/>
                  <w:vAlign w:val="center"/>
                </w:tcPr>
                <w:p w14:paraId="5D683A50">
                  <w:pPr>
                    <w:pStyle w:val="10"/>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sz w:val="21"/>
                      <w:szCs w:val="21"/>
                    </w:rPr>
                    <w:t>收集方式</w:t>
                  </w:r>
                </w:p>
              </w:tc>
              <w:tc>
                <w:tcPr>
                  <w:tcW w:w="825" w:type="dxa"/>
                  <w:tcBorders>
                    <w:tl2br w:val="nil"/>
                    <w:tr2bl w:val="nil"/>
                  </w:tcBorders>
                  <w:shd w:val="clear" w:color="auto" w:fill="auto"/>
                  <w:vAlign w:val="center"/>
                </w:tcPr>
                <w:p w14:paraId="02D8229E">
                  <w:pPr>
                    <w:pStyle w:val="10"/>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sz w:val="21"/>
                      <w:szCs w:val="21"/>
                    </w:rPr>
                    <w:t>收集效率</w:t>
                  </w:r>
                </w:p>
              </w:tc>
              <w:tc>
                <w:tcPr>
                  <w:tcW w:w="2280" w:type="dxa"/>
                  <w:tcBorders>
                    <w:tl2br w:val="nil"/>
                    <w:tr2bl w:val="nil"/>
                  </w:tcBorders>
                  <w:shd w:val="clear" w:color="auto" w:fill="auto"/>
                  <w:vAlign w:val="center"/>
                </w:tcPr>
                <w:p w14:paraId="1177F6BC">
                  <w:pPr>
                    <w:pStyle w:val="10"/>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sz w:val="21"/>
                      <w:szCs w:val="21"/>
                    </w:rPr>
                    <w:t>治理措施</w:t>
                  </w:r>
                </w:p>
              </w:tc>
              <w:tc>
                <w:tcPr>
                  <w:tcW w:w="680" w:type="dxa"/>
                  <w:tcBorders>
                    <w:tl2br w:val="nil"/>
                    <w:tr2bl w:val="nil"/>
                  </w:tcBorders>
                  <w:shd w:val="clear" w:color="auto" w:fill="auto"/>
                  <w:vAlign w:val="center"/>
                </w:tcPr>
                <w:p w14:paraId="193E3539">
                  <w:pPr>
                    <w:pStyle w:val="10"/>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sz w:val="21"/>
                      <w:szCs w:val="21"/>
                    </w:rPr>
                    <w:t>治理效率</w:t>
                  </w:r>
                </w:p>
              </w:tc>
              <w:tc>
                <w:tcPr>
                  <w:tcW w:w="1215" w:type="dxa"/>
                  <w:tcBorders>
                    <w:tl2br w:val="nil"/>
                    <w:tr2bl w:val="nil"/>
                  </w:tcBorders>
                  <w:shd w:val="clear" w:color="auto" w:fill="auto"/>
                  <w:vAlign w:val="center"/>
                </w:tcPr>
                <w:p w14:paraId="1E8B7432">
                  <w:pPr>
                    <w:pStyle w:val="10"/>
                    <w:keepNext w:val="0"/>
                    <w:keepLines w:val="0"/>
                    <w:pageBreakBefore w:val="0"/>
                    <w:widowControl/>
                    <w:kinsoku/>
                    <w:wordWrap/>
                    <w:overflowPunct/>
                    <w:topLinePunct w:val="0"/>
                    <w:autoSpaceDE/>
                    <w:autoSpaceDN/>
                    <w:bidi w:val="0"/>
                    <w:adjustRightInd/>
                    <w:snapToGrid w:val="0"/>
                    <w:spacing w:line="240" w:lineRule="auto"/>
                    <w:ind w:right="0" w:right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sz w:val="21"/>
                      <w:szCs w:val="21"/>
                    </w:rPr>
                    <w:t>是否为可行技术</w:t>
                  </w:r>
                </w:p>
              </w:tc>
            </w:tr>
            <w:tr w14:paraId="67F291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2" w:type="dxa"/>
                  <w:tcBorders>
                    <w:tl2br w:val="nil"/>
                    <w:tr2bl w:val="nil"/>
                  </w:tcBorders>
                  <w:vAlign w:val="center"/>
                </w:tcPr>
                <w:p w14:paraId="69E3D23B">
                  <w:pPr>
                    <w:keepNext w:val="0"/>
                    <w:keepLines w:val="0"/>
                    <w:pageBreakBefore w:val="0"/>
                    <w:widowControl w:val="0"/>
                    <w:numPr>
                      <w:ilvl w:val="1"/>
                      <w:numId w:val="0"/>
                    </w:numPr>
                    <w:kinsoku/>
                    <w:wordWrap/>
                    <w:overflowPunct/>
                    <w:topLinePunct w:val="0"/>
                    <w:autoSpaceDE/>
                    <w:autoSpaceDN/>
                    <w:bidi w:val="0"/>
                    <w:adjustRightInd/>
                    <w:snapToGrid w:val="0"/>
                    <w:spacing w:line="240" w:lineRule="auto"/>
                    <w:jc w:val="center"/>
                    <w:textAlignment w:val="auto"/>
                    <w:rPr>
                      <w:rFonts w:hint="default"/>
                      <w:color w:val="auto"/>
                      <w:vertAlign w:val="baseline"/>
                      <w:lang w:val="en-US" w:eastAsia="zh-CN"/>
                    </w:rPr>
                  </w:pPr>
                  <w:r>
                    <w:rPr>
                      <w:rFonts w:hint="eastAsia"/>
                      <w:color w:val="auto"/>
                      <w:vertAlign w:val="baseline"/>
                      <w:lang w:val="en-US" w:eastAsia="zh-CN"/>
                    </w:rPr>
                    <w:t>3#厂房直印</w:t>
                  </w:r>
                </w:p>
              </w:tc>
              <w:tc>
                <w:tcPr>
                  <w:tcW w:w="1296" w:type="dxa"/>
                  <w:tcBorders>
                    <w:tl2br w:val="nil"/>
                    <w:tr2bl w:val="nil"/>
                  </w:tcBorders>
                  <w:vAlign w:val="center"/>
                </w:tcPr>
                <w:p w14:paraId="51F49A30">
                  <w:pPr>
                    <w:keepNext w:val="0"/>
                    <w:keepLines w:val="0"/>
                    <w:pageBreakBefore w:val="0"/>
                    <w:widowControl w:val="0"/>
                    <w:numPr>
                      <w:ilvl w:val="1"/>
                      <w:numId w:val="0"/>
                    </w:numPr>
                    <w:kinsoku/>
                    <w:wordWrap/>
                    <w:overflowPunct/>
                    <w:topLinePunct w:val="0"/>
                    <w:autoSpaceDE/>
                    <w:autoSpaceDN/>
                    <w:bidi w:val="0"/>
                    <w:adjustRightInd/>
                    <w:snapToGrid w:val="0"/>
                    <w:spacing w:line="240" w:lineRule="auto"/>
                    <w:jc w:val="center"/>
                    <w:textAlignment w:val="auto"/>
                    <w:rPr>
                      <w:rFonts w:hint="default"/>
                      <w:color w:val="auto"/>
                      <w:vertAlign w:val="baseline"/>
                      <w:lang w:val="en-US" w:eastAsia="zh-CN"/>
                    </w:rPr>
                  </w:pPr>
                  <w:r>
                    <w:rPr>
                      <w:rFonts w:hint="eastAsia"/>
                      <w:color w:val="auto"/>
                      <w:vertAlign w:val="baseline"/>
                      <w:lang w:val="en-US" w:eastAsia="zh-CN"/>
                    </w:rPr>
                    <w:t>非甲烷总烃</w:t>
                  </w:r>
                </w:p>
              </w:tc>
              <w:tc>
                <w:tcPr>
                  <w:tcW w:w="1074" w:type="dxa"/>
                  <w:tcBorders>
                    <w:tl2br w:val="nil"/>
                    <w:tr2bl w:val="nil"/>
                  </w:tcBorders>
                  <w:vAlign w:val="center"/>
                </w:tcPr>
                <w:p w14:paraId="1CEC172C">
                  <w:pPr>
                    <w:keepNext w:val="0"/>
                    <w:keepLines w:val="0"/>
                    <w:pageBreakBefore w:val="0"/>
                    <w:widowControl w:val="0"/>
                    <w:numPr>
                      <w:ilvl w:val="1"/>
                      <w:numId w:val="0"/>
                    </w:numPr>
                    <w:kinsoku/>
                    <w:wordWrap/>
                    <w:overflowPunct/>
                    <w:topLinePunct w:val="0"/>
                    <w:autoSpaceDE/>
                    <w:autoSpaceDN/>
                    <w:bidi w:val="0"/>
                    <w:adjustRightInd/>
                    <w:snapToGrid w:val="0"/>
                    <w:spacing w:line="240" w:lineRule="auto"/>
                    <w:jc w:val="center"/>
                    <w:textAlignment w:val="auto"/>
                    <w:rPr>
                      <w:rFonts w:hint="default"/>
                      <w:color w:val="auto"/>
                      <w:vertAlign w:val="baseline"/>
                      <w:lang w:val="en-US" w:eastAsia="zh-CN"/>
                    </w:rPr>
                  </w:pPr>
                  <w:r>
                    <w:rPr>
                      <w:rFonts w:hint="eastAsia"/>
                      <w:color w:val="auto"/>
                      <w:vertAlign w:val="baseline"/>
                      <w:lang w:val="en-US" w:eastAsia="zh-CN"/>
                    </w:rPr>
                    <w:t>密闭收集</w:t>
                  </w:r>
                </w:p>
              </w:tc>
              <w:tc>
                <w:tcPr>
                  <w:tcW w:w="825" w:type="dxa"/>
                  <w:tcBorders>
                    <w:tl2br w:val="nil"/>
                    <w:tr2bl w:val="nil"/>
                  </w:tcBorders>
                  <w:vAlign w:val="center"/>
                </w:tcPr>
                <w:p w14:paraId="18A63A64">
                  <w:pPr>
                    <w:keepNext w:val="0"/>
                    <w:keepLines w:val="0"/>
                    <w:pageBreakBefore w:val="0"/>
                    <w:widowControl w:val="0"/>
                    <w:numPr>
                      <w:ilvl w:val="1"/>
                      <w:numId w:val="0"/>
                    </w:numPr>
                    <w:kinsoku/>
                    <w:wordWrap/>
                    <w:overflowPunct/>
                    <w:topLinePunct w:val="0"/>
                    <w:autoSpaceDE/>
                    <w:autoSpaceDN/>
                    <w:bidi w:val="0"/>
                    <w:adjustRightInd/>
                    <w:snapToGrid w:val="0"/>
                    <w:spacing w:line="240" w:lineRule="auto"/>
                    <w:jc w:val="center"/>
                    <w:textAlignment w:val="auto"/>
                    <w:rPr>
                      <w:rFonts w:hint="default"/>
                      <w:color w:val="auto"/>
                      <w:vertAlign w:val="baseline"/>
                      <w:lang w:val="en-US" w:eastAsia="zh-CN"/>
                    </w:rPr>
                  </w:pPr>
                  <w:r>
                    <w:rPr>
                      <w:rFonts w:hint="eastAsia"/>
                      <w:color w:val="auto"/>
                      <w:vertAlign w:val="baseline"/>
                      <w:lang w:val="en-US" w:eastAsia="zh-CN"/>
                    </w:rPr>
                    <w:t>95%</w:t>
                  </w:r>
                </w:p>
              </w:tc>
              <w:tc>
                <w:tcPr>
                  <w:tcW w:w="2280" w:type="dxa"/>
                  <w:tcBorders>
                    <w:tl2br w:val="nil"/>
                    <w:tr2bl w:val="nil"/>
                  </w:tcBorders>
                  <w:vAlign w:val="center"/>
                </w:tcPr>
                <w:p w14:paraId="32DC19A0">
                  <w:pPr>
                    <w:keepNext w:val="0"/>
                    <w:keepLines w:val="0"/>
                    <w:pageBreakBefore w:val="0"/>
                    <w:widowControl w:val="0"/>
                    <w:numPr>
                      <w:ilvl w:val="1"/>
                      <w:numId w:val="0"/>
                    </w:numPr>
                    <w:kinsoku/>
                    <w:wordWrap/>
                    <w:overflowPunct/>
                    <w:topLinePunct w:val="0"/>
                    <w:autoSpaceDE/>
                    <w:autoSpaceDN/>
                    <w:bidi w:val="0"/>
                    <w:adjustRightInd/>
                    <w:snapToGrid w:val="0"/>
                    <w:spacing w:line="240" w:lineRule="auto"/>
                    <w:jc w:val="center"/>
                    <w:textAlignment w:val="auto"/>
                    <w:rPr>
                      <w:rFonts w:hint="default"/>
                      <w:color w:val="auto"/>
                      <w:vertAlign w:val="baseline"/>
                      <w:lang w:val="en-US" w:eastAsia="zh-CN"/>
                    </w:rPr>
                  </w:pPr>
                  <w:r>
                    <w:rPr>
                      <w:rFonts w:hint="eastAsia"/>
                      <w:color w:val="auto"/>
                    </w:rPr>
                    <w:t>水喷淋+二级干式过滤+</w:t>
                  </w:r>
                  <w:r>
                    <w:rPr>
                      <w:rFonts w:hint="eastAsia"/>
                      <w:color w:val="auto"/>
                      <w:szCs w:val="21"/>
                    </w:rPr>
                    <w:t>活性炭吸附脱附+催化燃烧装置</w:t>
                  </w:r>
                </w:p>
              </w:tc>
              <w:tc>
                <w:tcPr>
                  <w:tcW w:w="680" w:type="dxa"/>
                  <w:tcBorders>
                    <w:tl2br w:val="nil"/>
                    <w:tr2bl w:val="nil"/>
                  </w:tcBorders>
                  <w:vAlign w:val="center"/>
                </w:tcPr>
                <w:p w14:paraId="5AED015A">
                  <w:pPr>
                    <w:keepNext w:val="0"/>
                    <w:keepLines w:val="0"/>
                    <w:pageBreakBefore w:val="0"/>
                    <w:widowControl w:val="0"/>
                    <w:numPr>
                      <w:ilvl w:val="1"/>
                      <w:numId w:val="0"/>
                    </w:numPr>
                    <w:kinsoku/>
                    <w:wordWrap/>
                    <w:overflowPunct/>
                    <w:topLinePunct w:val="0"/>
                    <w:autoSpaceDE/>
                    <w:autoSpaceDN/>
                    <w:bidi w:val="0"/>
                    <w:adjustRightInd/>
                    <w:snapToGrid w:val="0"/>
                    <w:spacing w:line="240" w:lineRule="auto"/>
                    <w:jc w:val="center"/>
                    <w:textAlignment w:val="auto"/>
                    <w:rPr>
                      <w:rFonts w:hint="default"/>
                      <w:color w:val="auto"/>
                      <w:vertAlign w:val="baseline"/>
                      <w:lang w:val="en-US" w:eastAsia="zh-CN"/>
                    </w:rPr>
                  </w:pPr>
                  <w:r>
                    <w:rPr>
                      <w:rFonts w:hint="eastAsia"/>
                      <w:color w:val="auto"/>
                      <w:vertAlign w:val="baseline"/>
                      <w:lang w:val="en-US" w:eastAsia="zh-CN"/>
                    </w:rPr>
                    <w:t>90%</w:t>
                  </w:r>
                </w:p>
              </w:tc>
              <w:tc>
                <w:tcPr>
                  <w:tcW w:w="1215" w:type="dxa"/>
                  <w:tcBorders>
                    <w:tl2br w:val="nil"/>
                    <w:tr2bl w:val="nil"/>
                  </w:tcBorders>
                  <w:vAlign w:val="center"/>
                </w:tcPr>
                <w:p w14:paraId="717D91A6">
                  <w:pPr>
                    <w:keepNext w:val="0"/>
                    <w:keepLines w:val="0"/>
                    <w:pageBreakBefore w:val="0"/>
                    <w:widowControl w:val="0"/>
                    <w:numPr>
                      <w:ilvl w:val="1"/>
                      <w:numId w:val="0"/>
                    </w:numPr>
                    <w:kinsoku/>
                    <w:wordWrap/>
                    <w:overflowPunct/>
                    <w:topLinePunct w:val="0"/>
                    <w:autoSpaceDE/>
                    <w:autoSpaceDN/>
                    <w:bidi w:val="0"/>
                    <w:adjustRightInd/>
                    <w:snapToGrid w:val="0"/>
                    <w:spacing w:line="240" w:lineRule="auto"/>
                    <w:jc w:val="center"/>
                    <w:textAlignment w:val="auto"/>
                    <w:rPr>
                      <w:rFonts w:hint="default"/>
                      <w:color w:val="auto"/>
                      <w:vertAlign w:val="baseline"/>
                      <w:lang w:val="en-US" w:eastAsia="zh-CN"/>
                    </w:rPr>
                  </w:pPr>
                  <w:r>
                    <w:rPr>
                      <w:rFonts w:hint="eastAsia"/>
                      <w:color w:val="auto"/>
                      <w:vertAlign w:val="baseline"/>
                      <w:lang w:val="en-US" w:eastAsia="zh-CN"/>
                    </w:rPr>
                    <w:t>是</w:t>
                  </w:r>
                </w:p>
              </w:tc>
            </w:tr>
            <w:tr w14:paraId="727EB0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2" w:type="dxa"/>
                  <w:tcBorders>
                    <w:tl2br w:val="nil"/>
                    <w:tr2bl w:val="nil"/>
                  </w:tcBorders>
                  <w:vAlign w:val="center"/>
                </w:tcPr>
                <w:p w14:paraId="2CEFCC60">
                  <w:pPr>
                    <w:keepNext w:val="0"/>
                    <w:keepLines w:val="0"/>
                    <w:pageBreakBefore w:val="0"/>
                    <w:widowControl w:val="0"/>
                    <w:numPr>
                      <w:ilvl w:val="1"/>
                      <w:numId w:val="0"/>
                    </w:numPr>
                    <w:kinsoku/>
                    <w:wordWrap/>
                    <w:overflowPunct/>
                    <w:topLinePunct w:val="0"/>
                    <w:autoSpaceDE/>
                    <w:autoSpaceDN/>
                    <w:bidi w:val="0"/>
                    <w:adjustRightInd/>
                    <w:snapToGrid w:val="0"/>
                    <w:spacing w:line="240" w:lineRule="auto"/>
                    <w:jc w:val="center"/>
                    <w:textAlignment w:val="auto"/>
                    <w:rPr>
                      <w:rFonts w:hint="default"/>
                      <w:color w:val="auto"/>
                      <w:vertAlign w:val="baseline"/>
                      <w:lang w:val="en-US" w:eastAsia="zh-CN"/>
                    </w:rPr>
                  </w:pPr>
                  <w:r>
                    <w:rPr>
                      <w:rFonts w:hint="eastAsia"/>
                      <w:color w:val="auto"/>
                      <w:vertAlign w:val="baseline"/>
                      <w:lang w:val="en-US" w:eastAsia="zh-CN"/>
                    </w:rPr>
                    <w:t>4#厂房直印</w:t>
                  </w:r>
                </w:p>
              </w:tc>
              <w:tc>
                <w:tcPr>
                  <w:tcW w:w="1296" w:type="dxa"/>
                  <w:tcBorders>
                    <w:tl2br w:val="nil"/>
                    <w:tr2bl w:val="nil"/>
                  </w:tcBorders>
                  <w:shd w:val="clear" w:color="auto" w:fill="auto"/>
                  <w:vAlign w:val="center"/>
                </w:tcPr>
                <w:p w14:paraId="5211A7B3">
                  <w:pPr>
                    <w:keepNext w:val="0"/>
                    <w:keepLines w:val="0"/>
                    <w:pageBreakBefore w:val="0"/>
                    <w:widowControl w:val="0"/>
                    <w:numPr>
                      <w:ilvl w:val="1"/>
                      <w:numId w:val="0"/>
                    </w:numPr>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olor w:val="auto"/>
                      <w:vertAlign w:val="baseline"/>
                      <w:lang w:val="en-US" w:eastAsia="zh-CN"/>
                    </w:rPr>
                    <w:t>非甲烷总烃</w:t>
                  </w:r>
                </w:p>
              </w:tc>
              <w:tc>
                <w:tcPr>
                  <w:tcW w:w="1074" w:type="dxa"/>
                  <w:tcBorders>
                    <w:tl2br w:val="nil"/>
                    <w:tr2bl w:val="nil"/>
                  </w:tcBorders>
                  <w:shd w:val="clear" w:color="auto" w:fill="auto"/>
                  <w:vAlign w:val="center"/>
                </w:tcPr>
                <w:p w14:paraId="36CABC72">
                  <w:pPr>
                    <w:keepNext w:val="0"/>
                    <w:keepLines w:val="0"/>
                    <w:pageBreakBefore w:val="0"/>
                    <w:widowControl w:val="0"/>
                    <w:numPr>
                      <w:ilvl w:val="1"/>
                      <w:numId w:val="0"/>
                    </w:numPr>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olor w:val="auto"/>
                      <w:vertAlign w:val="baseline"/>
                      <w:lang w:val="en-US" w:eastAsia="zh-CN"/>
                    </w:rPr>
                    <w:t>密闭收集</w:t>
                  </w:r>
                </w:p>
              </w:tc>
              <w:tc>
                <w:tcPr>
                  <w:tcW w:w="825" w:type="dxa"/>
                  <w:tcBorders>
                    <w:tl2br w:val="nil"/>
                    <w:tr2bl w:val="nil"/>
                  </w:tcBorders>
                  <w:shd w:val="clear" w:color="auto" w:fill="auto"/>
                  <w:vAlign w:val="center"/>
                </w:tcPr>
                <w:p w14:paraId="2F9127D4">
                  <w:pPr>
                    <w:keepNext w:val="0"/>
                    <w:keepLines w:val="0"/>
                    <w:pageBreakBefore w:val="0"/>
                    <w:widowControl w:val="0"/>
                    <w:numPr>
                      <w:ilvl w:val="1"/>
                      <w:numId w:val="0"/>
                    </w:numPr>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olor w:val="auto"/>
                      <w:vertAlign w:val="baseline"/>
                      <w:lang w:val="en-US" w:eastAsia="zh-CN"/>
                    </w:rPr>
                    <w:t>95%</w:t>
                  </w:r>
                </w:p>
              </w:tc>
              <w:tc>
                <w:tcPr>
                  <w:tcW w:w="2280" w:type="dxa"/>
                  <w:tcBorders>
                    <w:tl2br w:val="nil"/>
                    <w:tr2bl w:val="nil"/>
                  </w:tcBorders>
                  <w:shd w:val="clear" w:color="auto" w:fill="auto"/>
                  <w:vAlign w:val="center"/>
                </w:tcPr>
                <w:p w14:paraId="585034E1">
                  <w:pPr>
                    <w:keepNext w:val="0"/>
                    <w:keepLines w:val="0"/>
                    <w:pageBreakBefore w:val="0"/>
                    <w:widowControl w:val="0"/>
                    <w:numPr>
                      <w:ilvl w:val="1"/>
                      <w:numId w:val="0"/>
                    </w:numPr>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olor w:val="auto"/>
                      <w:lang w:val="en-US" w:eastAsia="zh-CN"/>
                    </w:rPr>
                    <w:t>二级</w:t>
                  </w:r>
                  <w:r>
                    <w:rPr>
                      <w:rFonts w:hint="eastAsia"/>
                      <w:color w:val="auto"/>
                      <w:szCs w:val="21"/>
                    </w:rPr>
                    <w:t>活性炭吸附装置</w:t>
                  </w:r>
                </w:p>
              </w:tc>
              <w:tc>
                <w:tcPr>
                  <w:tcW w:w="680" w:type="dxa"/>
                  <w:tcBorders>
                    <w:tl2br w:val="nil"/>
                    <w:tr2bl w:val="nil"/>
                  </w:tcBorders>
                  <w:shd w:val="clear" w:color="auto" w:fill="auto"/>
                  <w:vAlign w:val="center"/>
                </w:tcPr>
                <w:p w14:paraId="16898169">
                  <w:pPr>
                    <w:keepNext w:val="0"/>
                    <w:keepLines w:val="0"/>
                    <w:pageBreakBefore w:val="0"/>
                    <w:widowControl w:val="0"/>
                    <w:numPr>
                      <w:ilvl w:val="1"/>
                      <w:numId w:val="0"/>
                    </w:numPr>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olor w:val="auto"/>
                      <w:vertAlign w:val="baseline"/>
                      <w:lang w:val="en-US" w:eastAsia="zh-CN"/>
                    </w:rPr>
                    <w:t>90%</w:t>
                  </w:r>
                </w:p>
              </w:tc>
              <w:tc>
                <w:tcPr>
                  <w:tcW w:w="1215" w:type="dxa"/>
                  <w:tcBorders>
                    <w:tl2br w:val="nil"/>
                    <w:tr2bl w:val="nil"/>
                  </w:tcBorders>
                  <w:shd w:val="clear" w:color="auto" w:fill="auto"/>
                  <w:vAlign w:val="center"/>
                </w:tcPr>
                <w:p w14:paraId="481D641F">
                  <w:pPr>
                    <w:keepNext w:val="0"/>
                    <w:keepLines w:val="0"/>
                    <w:pageBreakBefore w:val="0"/>
                    <w:widowControl w:val="0"/>
                    <w:numPr>
                      <w:ilvl w:val="1"/>
                      <w:numId w:val="0"/>
                    </w:numPr>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olor w:val="auto"/>
                      <w:vertAlign w:val="baseline"/>
                      <w:lang w:val="en-US" w:eastAsia="zh-CN"/>
                    </w:rPr>
                    <w:t>是</w:t>
                  </w:r>
                </w:p>
              </w:tc>
            </w:tr>
          </w:tbl>
          <w:p w14:paraId="1A5A3F40">
            <w:pPr>
              <w:keepNext w:val="0"/>
              <w:keepLines w:val="0"/>
              <w:pageBreakBefore w:val="0"/>
              <w:widowControl w:val="0"/>
              <w:numPr>
                <w:ilvl w:val="1"/>
                <w:numId w:val="0"/>
              </w:numPr>
              <w:kinsoku/>
              <w:wordWrap/>
              <w:overflowPunct/>
              <w:topLinePunct w:val="0"/>
              <w:autoSpaceDE/>
              <w:autoSpaceDN/>
              <w:bidi w:val="0"/>
              <w:adjustRightInd/>
              <w:snapToGrid w:val="0"/>
              <w:spacing w:before="148" w:beforeLines="50" w:line="240" w:lineRule="auto"/>
              <w:jc w:val="center"/>
              <w:textAlignment w:val="auto"/>
              <w:rPr>
                <w:rFonts w:hint="default"/>
                <w:color w:val="auto"/>
                <w:lang w:val="en-US" w:eastAsia="zh-CN"/>
              </w:rPr>
            </w:pPr>
            <w:r>
              <w:rPr>
                <w:rFonts w:hint="eastAsia"/>
                <w:b/>
                <w:bCs/>
                <w:color w:val="000000"/>
                <w:szCs w:val="21"/>
              </w:rPr>
              <w:t>表4-</w:t>
            </w:r>
            <w:r>
              <w:rPr>
                <w:rFonts w:hint="eastAsia"/>
                <w:b/>
                <w:bCs/>
                <w:color w:val="000000"/>
                <w:szCs w:val="21"/>
                <w:lang w:val="en-US" w:eastAsia="zh-CN"/>
              </w:rPr>
              <w:t>2</w:t>
            </w:r>
            <w:r>
              <w:rPr>
                <w:rFonts w:hint="eastAsia"/>
                <w:b/>
                <w:bCs/>
                <w:color w:val="000000"/>
                <w:szCs w:val="21"/>
              </w:rPr>
              <w:t xml:space="preserve"> 项目有组织废气源强核算结果表</w:t>
            </w:r>
          </w:p>
          <w:tbl>
            <w:tblPr>
              <w:tblStyle w:val="30"/>
              <w:tblW w:w="855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31"/>
              <w:gridCol w:w="586"/>
              <w:gridCol w:w="496"/>
              <w:gridCol w:w="555"/>
              <w:gridCol w:w="794"/>
              <w:gridCol w:w="699"/>
              <w:gridCol w:w="604"/>
              <w:gridCol w:w="573"/>
              <w:gridCol w:w="643"/>
              <w:gridCol w:w="498"/>
              <w:gridCol w:w="671"/>
              <w:gridCol w:w="645"/>
              <w:gridCol w:w="661"/>
              <w:gridCol w:w="501"/>
            </w:tblGrid>
            <w:tr w14:paraId="271B98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31" w:type="dxa"/>
                  <w:vMerge w:val="restart"/>
                  <w:noWrap w:val="0"/>
                  <w:vAlign w:val="center"/>
                </w:tcPr>
                <w:p w14:paraId="238CF568">
                  <w:pPr>
                    <w:snapToGrid w:val="0"/>
                    <w:jc w:val="center"/>
                    <w:rPr>
                      <w:color w:val="000000"/>
                      <w:szCs w:val="21"/>
                    </w:rPr>
                  </w:pPr>
                  <w:r>
                    <w:rPr>
                      <w:rFonts w:hint="eastAsia"/>
                      <w:color w:val="000000"/>
                      <w:szCs w:val="21"/>
                    </w:rPr>
                    <w:t>工序</w:t>
                  </w:r>
                </w:p>
              </w:tc>
              <w:tc>
                <w:tcPr>
                  <w:tcW w:w="586" w:type="dxa"/>
                  <w:vMerge w:val="restart"/>
                  <w:noWrap w:val="0"/>
                  <w:vAlign w:val="center"/>
                </w:tcPr>
                <w:p w14:paraId="1996DF2A">
                  <w:pPr>
                    <w:snapToGrid w:val="0"/>
                    <w:jc w:val="center"/>
                    <w:rPr>
                      <w:color w:val="000000"/>
                      <w:szCs w:val="21"/>
                    </w:rPr>
                  </w:pPr>
                  <w:r>
                    <w:rPr>
                      <w:rFonts w:hint="eastAsia"/>
                      <w:color w:val="000000"/>
                      <w:szCs w:val="21"/>
                    </w:rPr>
                    <w:t>污染源</w:t>
                  </w:r>
                </w:p>
              </w:tc>
              <w:tc>
                <w:tcPr>
                  <w:tcW w:w="496" w:type="dxa"/>
                  <w:vMerge w:val="restart"/>
                  <w:noWrap w:val="0"/>
                  <w:vAlign w:val="center"/>
                </w:tcPr>
                <w:p w14:paraId="6887F05B">
                  <w:pPr>
                    <w:snapToGrid w:val="0"/>
                    <w:jc w:val="center"/>
                    <w:rPr>
                      <w:color w:val="000000"/>
                      <w:szCs w:val="21"/>
                    </w:rPr>
                  </w:pPr>
                  <w:r>
                    <w:rPr>
                      <w:color w:val="000000"/>
                      <w:szCs w:val="21"/>
                    </w:rPr>
                    <w:t>污染物名称</w:t>
                  </w:r>
                </w:p>
              </w:tc>
              <w:tc>
                <w:tcPr>
                  <w:tcW w:w="3225" w:type="dxa"/>
                  <w:gridSpan w:val="5"/>
                  <w:noWrap w:val="0"/>
                  <w:vAlign w:val="center"/>
                </w:tcPr>
                <w:p w14:paraId="7FB7AD11">
                  <w:pPr>
                    <w:snapToGrid w:val="0"/>
                    <w:jc w:val="center"/>
                    <w:rPr>
                      <w:rFonts w:hint="eastAsia"/>
                      <w:color w:val="000000"/>
                      <w:szCs w:val="21"/>
                    </w:rPr>
                  </w:pPr>
                  <w:r>
                    <w:rPr>
                      <w:rFonts w:hint="eastAsia"/>
                      <w:color w:val="000000"/>
                      <w:szCs w:val="21"/>
                    </w:rPr>
                    <w:t>污染物产生</w:t>
                  </w:r>
                </w:p>
              </w:tc>
              <w:tc>
                <w:tcPr>
                  <w:tcW w:w="1141" w:type="dxa"/>
                  <w:gridSpan w:val="2"/>
                  <w:noWrap w:val="0"/>
                  <w:vAlign w:val="center"/>
                </w:tcPr>
                <w:p w14:paraId="64745FD8">
                  <w:pPr>
                    <w:snapToGrid w:val="0"/>
                    <w:jc w:val="center"/>
                    <w:rPr>
                      <w:color w:val="000000"/>
                      <w:szCs w:val="21"/>
                    </w:rPr>
                  </w:pPr>
                  <w:r>
                    <w:rPr>
                      <w:color w:val="000000"/>
                      <w:szCs w:val="21"/>
                    </w:rPr>
                    <w:t>治理措施</w:t>
                  </w:r>
                </w:p>
              </w:tc>
              <w:tc>
                <w:tcPr>
                  <w:tcW w:w="1977" w:type="dxa"/>
                  <w:gridSpan w:val="3"/>
                  <w:noWrap w:val="0"/>
                  <w:vAlign w:val="center"/>
                </w:tcPr>
                <w:p w14:paraId="217F62B2">
                  <w:pPr>
                    <w:pStyle w:val="29"/>
                    <w:spacing w:before="0" w:after="0" w:line="240" w:lineRule="auto"/>
                    <w:ind w:right="0" w:firstLine="0" w:firstLineChars="0"/>
                    <w:jc w:val="center"/>
                    <w:rPr>
                      <w:rFonts w:hint="eastAsia" w:eastAsia="宋体"/>
                      <w:color w:val="000000"/>
                      <w:sz w:val="21"/>
                      <w:szCs w:val="21"/>
                    </w:rPr>
                  </w:pPr>
                  <w:r>
                    <w:rPr>
                      <w:rFonts w:hint="eastAsia" w:eastAsia="宋体"/>
                      <w:color w:val="000000"/>
                      <w:sz w:val="21"/>
                      <w:szCs w:val="21"/>
                    </w:rPr>
                    <w:t>污染物排放</w:t>
                  </w:r>
                </w:p>
              </w:tc>
              <w:tc>
                <w:tcPr>
                  <w:tcW w:w="501" w:type="dxa"/>
                  <w:vMerge w:val="restart"/>
                  <w:noWrap w:val="0"/>
                  <w:vAlign w:val="center"/>
                </w:tcPr>
                <w:p w14:paraId="0FBA66ED">
                  <w:pPr>
                    <w:snapToGrid w:val="0"/>
                    <w:jc w:val="center"/>
                    <w:rPr>
                      <w:color w:val="000000"/>
                      <w:szCs w:val="21"/>
                    </w:rPr>
                  </w:pPr>
                  <w:r>
                    <w:rPr>
                      <w:color w:val="000000"/>
                      <w:szCs w:val="21"/>
                    </w:rPr>
                    <w:t>排放时间h/a</w:t>
                  </w:r>
                </w:p>
              </w:tc>
            </w:tr>
            <w:tr w14:paraId="2DDA3B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31" w:type="dxa"/>
                  <w:vMerge w:val="continue"/>
                  <w:noWrap w:val="0"/>
                  <w:vAlign w:val="center"/>
                </w:tcPr>
                <w:p w14:paraId="1CFB6204">
                  <w:pPr>
                    <w:snapToGrid w:val="0"/>
                    <w:jc w:val="center"/>
                    <w:rPr>
                      <w:color w:val="000000"/>
                      <w:szCs w:val="21"/>
                    </w:rPr>
                  </w:pPr>
                  <w:bookmarkStart w:id="8" w:name="OLE_LINK72" w:colFirst="5" w:colLast="7"/>
                  <w:bookmarkStart w:id="9" w:name="OLE_LINK73" w:colFirst="10" w:colLast="12"/>
                </w:p>
              </w:tc>
              <w:tc>
                <w:tcPr>
                  <w:tcW w:w="586" w:type="dxa"/>
                  <w:vMerge w:val="continue"/>
                  <w:noWrap w:val="0"/>
                  <w:vAlign w:val="center"/>
                </w:tcPr>
                <w:p w14:paraId="396AFE77">
                  <w:pPr>
                    <w:snapToGrid w:val="0"/>
                    <w:jc w:val="center"/>
                    <w:rPr>
                      <w:color w:val="000000"/>
                      <w:szCs w:val="21"/>
                    </w:rPr>
                  </w:pPr>
                </w:p>
              </w:tc>
              <w:tc>
                <w:tcPr>
                  <w:tcW w:w="496" w:type="dxa"/>
                  <w:vMerge w:val="continue"/>
                  <w:noWrap w:val="0"/>
                  <w:vAlign w:val="center"/>
                </w:tcPr>
                <w:p w14:paraId="67A35A0A">
                  <w:pPr>
                    <w:snapToGrid w:val="0"/>
                    <w:jc w:val="center"/>
                    <w:rPr>
                      <w:color w:val="000000"/>
                      <w:szCs w:val="21"/>
                    </w:rPr>
                  </w:pPr>
                </w:p>
              </w:tc>
              <w:tc>
                <w:tcPr>
                  <w:tcW w:w="555" w:type="dxa"/>
                  <w:noWrap w:val="0"/>
                  <w:vAlign w:val="center"/>
                </w:tcPr>
                <w:p w14:paraId="2B082A75">
                  <w:pPr>
                    <w:snapToGrid w:val="0"/>
                    <w:jc w:val="center"/>
                    <w:rPr>
                      <w:color w:val="000000"/>
                      <w:szCs w:val="21"/>
                    </w:rPr>
                  </w:pPr>
                  <w:r>
                    <w:rPr>
                      <w:rFonts w:hint="eastAsia"/>
                      <w:color w:val="000000"/>
                      <w:szCs w:val="21"/>
                    </w:rPr>
                    <w:t>核算方法</w:t>
                  </w:r>
                </w:p>
              </w:tc>
              <w:tc>
                <w:tcPr>
                  <w:tcW w:w="794" w:type="dxa"/>
                  <w:noWrap w:val="0"/>
                  <w:vAlign w:val="center"/>
                </w:tcPr>
                <w:p w14:paraId="3874E948">
                  <w:pPr>
                    <w:autoSpaceDE w:val="0"/>
                    <w:autoSpaceDN w:val="0"/>
                    <w:adjustRightInd w:val="0"/>
                    <w:jc w:val="center"/>
                    <w:rPr>
                      <w:color w:val="000000"/>
                      <w:szCs w:val="21"/>
                    </w:rPr>
                  </w:pPr>
                  <w:r>
                    <w:rPr>
                      <w:color w:val="000000"/>
                      <w:szCs w:val="21"/>
                    </w:rPr>
                    <w:t>排气量</w:t>
                  </w:r>
                  <w:r>
                    <w:rPr>
                      <w:rFonts w:hint="eastAsia"/>
                      <w:color w:val="000000"/>
                      <w:szCs w:val="21"/>
                    </w:rPr>
                    <w:t>m</w:t>
                  </w:r>
                  <w:r>
                    <w:rPr>
                      <w:rFonts w:hint="eastAsia"/>
                      <w:color w:val="000000"/>
                      <w:szCs w:val="21"/>
                      <w:vertAlign w:val="superscript"/>
                    </w:rPr>
                    <w:t>3</w:t>
                  </w:r>
                  <w:r>
                    <w:rPr>
                      <w:color w:val="000000"/>
                      <w:szCs w:val="21"/>
                    </w:rPr>
                    <w:t>/h</w:t>
                  </w:r>
                </w:p>
              </w:tc>
              <w:tc>
                <w:tcPr>
                  <w:tcW w:w="699" w:type="dxa"/>
                  <w:noWrap w:val="0"/>
                  <w:vAlign w:val="center"/>
                </w:tcPr>
                <w:p w14:paraId="1C7E0B9B">
                  <w:pPr>
                    <w:autoSpaceDE w:val="0"/>
                    <w:autoSpaceDN w:val="0"/>
                    <w:adjustRightInd w:val="0"/>
                    <w:jc w:val="center"/>
                    <w:rPr>
                      <w:color w:val="000000"/>
                      <w:szCs w:val="21"/>
                    </w:rPr>
                  </w:pPr>
                  <w:r>
                    <w:rPr>
                      <w:color w:val="000000"/>
                      <w:szCs w:val="21"/>
                    </w:rPr>
                    <w:t>浓度mg/</w:t>
                  </w:r>
                  <w:r>
                    <w:rPr>
                      <w:rFonts w:hint="eastAsia"/>
                      <w:color w:val="000000"/>
                      <w:szCs w:val="21"/>
                    </w:rPr>
                    <w:t>m</w:t>
                  </w:r>
                  <w:r>
                    <w:rPr>
                      <w:rFonts w:hint="eastAsia"/>
                      <w:color w:val="000000"/>
                      <w:szCs w:val="21"/>
                      <w:vertAlign w:val="superscript"/>
                    </w:rPr>
                    <w:t>3</w:t>
                  </w:r>
                </w:p>
              </w:tc>
              <w:tc>
                <w:tcPr>
                  <w:tcW w:w="604" w:type="dxa"/>
                  <w:noWrap w:val="0"/>
                  <w:vAlign w:val="center"/>
                </w:tcPr>
                <w:p w14:paraId="4372BCAF">
                  <w:pPr>
                    <w:autoSpaceDE w:val="0"/>
                    <w:autoSpaceDN w:val="0"/>
                    <w:adjustRightInd w:val="0"/>
                    <w:jc w:val="center"/>
                    <w:rPr>
                      <w:color w:val="000000"/>
                      <w:szCs w:val="21"/>
                    </w:rPr>
                  </w:pPr>
                  <w:r>
                    <w:rPr>
                      <w:color w:val="000000"/>
                      <w:szCs w:val="21"/>
                    </w:rPr>
                    <w:t>速率kg/h</w:t>
                  </w:r>
                </w:p>
              </w:tc>
              <w:tc>
                <w:tcPr>
                  <w:tcW w:w="573" w:type="dxa"/>
                  <w:noWrap w:val="0"/>
                  <w:vAlign w:val="center"/>
                </w:tcPr>
                <w:p w14:paraId="53E5FF0C">
                  <w:pPr>
                    <w:autoSpaceDE w:val="0"/>
                    <w:autoSpaceDN w:val="0"/>
                    <w:adjustRightInd w:val="0"/>
                    <w:jc w:val="center"/>
                    <w:rPr>
                      <w:color w:val="000000"/>
                      <w:szCs w:val="21"/>
                    </w:rPr>
                  </w:pPr>
                  <w:r>
                    <w:rPr>
                      <w:color w:val="000000"/>
                      <w:szCs w:val="21"/>
                    </w:rPr>
                    <w:t>产生量t/a</w:t>
                  </w:r>
                </w:p>
              </w:tc>
              <w:tc>
                <w:tcPr>
                  <w:tcW w:w="643" w:type="dxa"/>
                  <w:noWrap w:val="0"/>
                  <w:vAlign w:val="center"/>
                </w:tcPr>
                <w:p w14:paraId="04485F34">
                  <w:pPr>
                    <w:snapToGrid w:val="0"/>
                    <w:jc w:val="center"/>
                    <w:rPr>
                      <w:color w:val="000000"/>
                      <w:szCs w:val="21"/>
                    </w:rPr>
                  </w:pPr>
                  <w:r>
                    <w:rPr>
                      <w:rFonts w:hint="eastAsia"/>
                      <w:color w:val="000000"/>
                      <w:szCs w:val="21"/>
                    </w:rPr>
                    <w:t>工艺</w:t>
                  </w:r>
                </w:p>
              </w:tc>
              <w:tc>
                <w:tcPr>
                  <w:tcW w:w="498" w:type="dxa"/>
                  <w:noWrap w:val="0"/>
                  <w:vAlign w:val="center"/>
                </w:tcPr>
                <w:p w14:paraId="60123692">
                  <w:pPr>
                    <w:snapToGrid w:val="0"/>
                    <w:jc w:val="center"/>
                    <w:rPr>
                      <w:color w:val="000000"/>
                      <w:szCs w:val="21"/>
                    </w:rPr>
                  </w:pPr>
                  <w:r>
                    <w:rPr>
                      <w:rFonts w:hint="eastAsia"/>
                      <w:color w:val="000000"/>
                      <w:szCs w:val="21"/>
                    </w:rPr>
                    <w:t>效</w:t>
                  </w:r>
                  <w:r>
                    <w:rPr>
                      <w:color w:val="000000"/>
                      <w:szCs w:val="21"/>
                    </w:rPr>
                    <w:t>率%</w:t>
                  </w:r>
                </w:p>
              </w:tc>
              <w:tc>
                <w:tcPr>
                  <w:tcW w:w="671" w:type="dxa"/>
                  <w:noWrap w:val="0"/>
                  <w:vAlign w:val="center"/>
                </w:tcPr>
                <w:p w14:paraId="285CA9E9">
                  <w:pPr>
                    <w:autoSpaceDE w:val="0"/>
                    <w:autoSpaceDN w:val="0"/>
                    <w:adjustRightInd w:val="0"/>
                    <w:jc w:val="center"/>
                    <w:rPr>
                      <w:color w:val="000000"/>
                      <w:szCs w:val="21"/>
                    </w:rPr>
                  </w:pPr>
                  <w:r>
                    <w:rPr>
                      <w:color w:val="000000"/>
                      <w:szCs w:val="21"/>
                    </w:rPr>
                    <w:t>浓度mg/</w:t>
                  </w:r>
                  <w:r>
                    <w:rPr>
                      <w:rFonts w:hint="eastAsia"/>
                      <w:color w:val="000000"/>
                      <w:szCs w:val="21"/>
                    </w:rPr>
                    <w:t>m</w:t>
                  </w:r>
                  <w:r>
                    <w:rPr>
                      <w:rFonts w:hint="eastAsia"/>
                      <w:color w:val="000000"/>
                      <w:szCs w:val="21"/>
                      <w:vertAlign w:val="superscript"/>
                    </w:rPr>
                    <w:t>3</w:t>
                  </w:r>
                </w:p>
              </w:tc>
              <w:tc>
                <w:tcPr>
                  <w:tcW w:w="645" w:type="dxa"/>
                  <w:noWrap w:val="0"/>
                  <w:vAlign w:val="center"/>
                </w:tcPr>
                <w:p w14:paraId="25881F28">
                  <w:pPr>
                    <w:autoSpaceDE w:val="0"/>
                    <w:autoSpaceDN w:val="0"/>
                    <w:adjustRightInd w:val="0"/>
                    <w:jc w:val="center"/>
                    <w:rPr>
                      <w:color w:val="000000"/>
                      <w:szCs w:val="21"/>
                    </w:rPr>
                  </w:pPr>
                  <w:r>
                    <w:rPr>
                      <w:color w:val="000000"/>
                      <w:szCs w:val="21"/>
                    </w:rPr>
                    <w:t>速率kg/h</w:t>
                  </w:r>
                </w:p>
              </w:tc>
              <w:tc>
                <w:tcPr>
                  <w:tcW w:w="661" w:type="dxa"/>
                  <w:noWrap w:val="0"/>
                  <w:vAlign w:val="center"/>
                </w:tcPr>
                <w:p w14:paraId="6B0DC6EC">
                  <w:pPr>
                    <w:autoSpaceDE w:val="0"/>
                    <w:autoSpaceDN w:val="0"/>
                    <w:adjustRightInd w:val="0"/>
                    <w:jc w:val="center"/>
                    <w:rPr>
                      <w:color w:val="000000"/>
                      <w:szCs w:val="21"/>
                    </w:rPr>
                  </w:pPr>
                  <w:r>
                    <w:rPr>
                      <w:color w:val="000000"/>
                      <w:szCs w:val="21"/>
                    </w:rPr>
                    <w:t>排放量</w:t>
                  </w:r>
                  <w:r>
                    <w:rPr>
                      <w:rFonts w:hint="eastAsia"/>
                      <w:color w:val="000000"/>
                      <w:szCs w:val="21"/>
                    </w:rPr>
                    <w:t>t</w:t>
                  </w:r>
                  <w:r>
                    <w:rPr>
                      <w:color w:val="000000"/>
                      <w:szCs w:val="21"/>
                    </w:rPr>
                    <w:t>/a</w:t>
                  </w:r>
                </w:p>
              </w:tc>
              <w:tc>
                <w:tcPr>
                  <w:tcW w:w="501" w:type="dxa"/>
                  <w:vMerge w:val="continue"/>
                  <w:noWrap w:val="0"/>
                  <w:vAlign w:val="center"/>
                </w:tcPr>
                <w:p w14:paraId="479D0943">
                  <w:pPr>
                    <w:snapToGrid w:val="0"/>
                    <w:jc w:val="center"/>
                    <w:rPr>
                      <w:color w:val="000000"/>
                      <w:szCs w:val="21"/>
                    </w:rPr>
                  </w:pPr>
                </w:p>
              </w:tc>
            </w:tr>
            <w:bookmarkEnd w:id="8"/>
            <w:bookmarkEnd w:id="9"/>
            <w:tr w14:paraId="52A274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31" w:type="dxa"/>
                  <w:noWrap w:val="0"/>
                  <w:vAlign w:val="center"/>
                </w:tcPr>
                <w:p w14:paraId="26758DC5">
                  <w:pPr>
                    <w:jc w:val="center"/>
                    <w:rPr>
                      <w:rFonts w:hint="default" w:eastAsia="宋体"/>
                      <w:color w:val="000000"/>
                      <w:szCs w:val="21"/>
                      <w:lang w:val="en-US" w:eastAsia="zh-CN"/>
                    </w:rPr>
                  </w:pPr>
                  <w:bookmarkStart w:id="10" w:name="OLE_LINK10" w:colFirst="5" w:colLast="6"/>
                  <w:bookmarkStart w:id="11" w:name="OLE_LINK4" w:colFirst="10" w:colLast="12"/>
                  <w:r>
                    <w:rPr>
                      <w:rFonts w:hint="eastAsia" w:eastAsia="宋体"/>
                      <w:color w:val="000000"/>
                      <w:kern w:val="2"/>
                      <w:sz w:val="21"/>
                      <w:szCs w:val="21"/>
                      <w:lang w:val="en-US" w:eastAsia="zh-CN" w:bidi="ar-SA"/>
                    </w:rPr>
                    <w:t>3#厂房直印</w:t>
                  </w:r>
                </w:p>
              </w:tc>
              <w:tc>
                <w:tcPr>
                  <w:tcW w:w="586" w:type="dxa"/>
                  <w:noWrap w:val="0"/>
                  <w:vAlign w:val="center"/>
                </w:tcPr>
                <w:p w14:paraId="5A9ABF9D">
                  <w:pPr>
                    <w:widowControl/>
                    <w:jc w:val="center"/>
                    <w:textAlignment w:val="center"/>
                    <w:rPr>
                      <w:rFonts w:hint="eastAsia" w:eastAsia="宋体"/>
                      <w:color w:val="000000"/>
                      <w:kern w:val="0"/>
                      <w:szCs w:val="21"/>
                      <w:lang w:val="en-US" w:eastAsia="zh-CN"/>
                    </w:rPr>
                  </w:pPr>
                  <w:r>
                    <w:rPr>
                      <w:rFonts w:hint="eastAsia"/>
                      <w:color w:val="000000"/>
                      <w:kern w:val="0"/>
                      <w:szCs w:val="21"/>
                    </w:rPr>
                    <w:t>DA00</w:t>
                  </w:r>
                  <w:r>
                    <w:rPr>
                      <w:rFonts w:hint="eastAsia"/>
                      <w:color w:val="000000"/>
                      <w:kern w:val="0"/>
                      <w:szCs w:val="21"/>
                      <w:lang w:val="en-US" w:eastAsia="zh-CN"/>
                    </w:rPr>
                    <w:t>2</w:t>
                  </w:r>
                </w:p>
              </w:tc>
              <w:tc>
                <w:tcPr>
                  <w:tcW w:w="496" w:type="dxa"/>
                  <w:noWrap w:val="0"/>
                  <w:vAlign w:val="center"/>
                </w:tcPr>
                <w:p w14:paraId="0552D310">
                  <w:pPr>
                    <w:autoSpaceDE w:val="0"/>
                    <w:autoSpaceDN w:val="0"/>
                    <w:adjustRightInd w:val="0"/>
                    <w:jc w:val="center"/>
                    <w:rPr>
                      <w:rFonts w:hint="default" w:eastAsia="宋体"/>
                      <w:color w:val="000000"/>
                      <w:kern w:val="0"/>
                      <w:szCs w:val="21"/>
                      <w:lang w:val="en-US" w:eastAsia="zh-CN"/>
                    </w:rPr>
                  </w:pPr>
                  <w:r>
                    <w:rPr>
                      <w:rFonts w:hint="eastAsia" w:eastAsia="宋体"/>
                      <w:color w:val="000000"/>
                      <w:kern w:val="0"/>
                      <w:szCs w:val="21"/>
                      <w:lang w:val="en-US" w:eastAsia="zh-CN"/>
                    </w:rPr>
                    <w:t>NMHC</w:t>
                  </w:r>
                </w:p>
              </w:tc>
              <w:tc>
                <w:tcPr>
                  <w:tcW w:w="555" w:type="dxa"/>
                  <w:vMerge w:val="restart"/>
                  <w:noWrap w:val="0"/>
                  <w:vAlign w:val="center"/>
                </w:tcPr>
                <w:p w14:paraId="60E6DA99">
                  <w:pPr>
                    <w:widowControl/>
                    <w:jc w:val="center"/>
                    <w:textAlignment w:val="center"/>
                    <w:rPr>
                      <w:rFonts w:hint="default" w:eastAsia="宋体"/>
                      <w:color w:val="000000"/>
                      <w:kern w:val="0"/>
                      <w:szCs w:val="21"/>
                      <w:lang w:val="en-US" w:eastAsia="zh-CN"/>
                    </w:rPr>
                  </w:pPr>
                  <w:r>
                    <w:rPr>
                      <w:rFonts w:hint="eastAsia"/>
                      <w:color w:val="000000"/>
                      <w:kern w:val="0"/>
                      <w:szCs w:val="21"/>
                      <w:lang w:val="en-US" w:eastAsia="zh-CN"/>
                    </w:rPr>
                    <w:t>物料衡算法</w:t>
                  </w:r>
                </w:p>
              </w:tc>
              <w:tc>
                <w:tcPr>
                  <w:tcW w:w="794" w:type="dxa"/>
                  <w:noWrap w:val="0"/>
                  <w:vAlign w:val="center"/>
                </w:tcPr>
                <w:p w14:paraId="5652CD04">
                  <w:pPr>
                    <w:bidi w:val="0"/>
                    <w:jc w:val="center"/>
                    <w:rPr>
                      <w:rFonts w:hint="default" w:ascii="Times New Roman" w:hAnsi="Times New Roman" w:cs="Times New Roman"/>
                      <w:lang w:val="en-US" w:eastAsia="zh-CN"/>
                    </w:rPr>
                  </w:pPr>
                  <w:r>
                    <w:rPr>
                      <w:rFonts w:hint="eastAsia" w:cs="Times New Roman"/>
                      <w:lang w:val="en-US" w:eastAsia="zh-CN"/>
                    </w:rPr>
                    <w:t>5000</w:t>
                  </w:r>
                </w:p>
              </w:tc>
              <w:tc>
                <w:tcPr>
                  <w:tcW w:w="699" w:type="dxa"/>
                  <w:noWrap w:val="0"/>
                  <w:vAlign w:val="center"/>
                </w:tcPr>
                <w:p w14:paraId="3A3A159A">
                  <w:pPr>
                    <w:bidi w:val="0"/>
                    <w:jc w:val="center"/>
                    <w:rPr>
                      <w:rFonts w:hint="default" w:ascii="Times New Roman" w:hAnsi="Times New Roman" w:cs="Times New Roman"/>
                      <w:lang w:val="en-US" w:eastAsia="zh-CN"/>
                    </w:rPr>
                  </w:pPr>
                  <w:r>
                    <w:rPr>
                      <w:rFonts w:hint="eastAsia" w:cs="Times New Roman"/>
                      <w:lang w:val="en-US" w:eastAsia="zh-CN"/>
                    </w:rPr>
                    <w:t>2.4</w:t>
                  </w:r>
                </w:p>
              </w:tc>
              <w:tc>
                <w:tcPr>
                  <w:tcW w:w="604" w:type="dxa"/>
                  <w:noWrap w:val="0"/>
                  <w:vAlign w:val="center"/>
                </w:tcPr>
                <w:p w14:paraId="22D3FAF3">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0.012</w:t>
                  </w:r>
                </w:p>
              </w:tc>
              <w:tc>
                <w:tcPr>
                  <w:tcW w:w="573" w:type="dxa"/>
                  <w:noWrap w:val="0"/>
                  <w:vAlign w:val="center"/>
                </w:tcPr>
                <w:p w14:paraId="7074788C">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0.08664</w:t>
                  </w:r>
                </w:p>
              </w:tc>
              <w:tc>
                <w:tcPr>
                  <w:tcW w:w="643" w:type="dxa"/>
                  <w:noWrap w:val="0"/>
                  <w:vAlign w:val="center"/>
                </w:tcPr>
                <w:p w14:paraId="7EAA1D4D">
                  <w:pPr>
                    <w:bidi w:val="0"/>
                    <w:jc w:val="center"/>
                    <w:rPr>
                      <w:rFonts w:hint="default" w:ascii="Times New Roman" w:hAnsi="Times New Roman" w:cs="Times New Roman"/>
                      <w:lang w:val="en-US" w:eastAsia="zh-CN"/>
                    </w:rPr>
                  </w:pPr>
                  <w:r>
                    <w:rPr>
                      <w:rFonts w:hint="default" w:ascii="Times New Roman" w:hAnsi="Times New Roman" w:cs="Times New Roman"/>
                    </w:rPr>
                    <w:t>水喷淋+二级干式过滤+活性炭吸附脱附+催化燃烧</w:t>
                  </w:r>
                </w:p>
              </w:tc>
              <w:tc>
                <w:tcPr>
                  <w:tcW w:w="498" w:type="dxa"/>
                  <w:noWrap w:val="0"/>
                  <w:vAlign w:val="center"/>
                </w:tcPr>
                <w:p w14:paraId="7C113BDD">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90</w:t>
                  </w:r>
                </w:p>
              </w:tc>
              <w:tc>
                <w:tcPr>
                  <w:tcW w:w="671" w:type="dxa"/>
                  <w:noWrap w:val="0"/>
                  <w:vAlign w:val="center"/>
                </w:tcPr>
                <w:p w14:paraId="67124474">
                  <w:pPr>
                    <w:bidi w:val="0"/>
                    <w:jc w:val="center"/>
                    <w:rPr>
                      <w:rFonts w:hint="default" w:ascii="Times New Roman" w:hAnsi="Times New Roman" w:cs="Times New Roman"/>
                      <w:lang w:val="en-US" w:eastAsia="zh-CN"/>
                    </w:rPr>
                  </w:pPr>
                  <w:r>
                    <w:rPr>
                      <w:rFonts w:hint="eastAsia" w:cs="Times New Roman"/>
                      <w:lang w:val="en-US" w:eastAsia="zh-CN"/>
                    </w:rPr>
                    <w:t>0.24</w:t>
                  </w:r>
                </w:p>
              </w:tc>
              <w:tc>
                <w:tcPr>
                  <w:tcW w:w="645" w:type="dxa"/>
                  <w:noWrap w:val="0"/>
                  <w:vAlign w:val="center"/>
                </w:tcPr>
                <w:p w14:paraId="74EA430C">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0.0012</w:t>
                  </w:r>
                </w:p>
              </w:tc>
              <w:tc>
                <w:tcPr>
                  <w:tcW w:w="661" w:type="dxa"/>
                  <w:noWrap w:val="0"/>
                  <w:vAlign w:val="center"/>
                </w:tcPr>
                <w:p w14:paraId="3270ECC0">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0.0087</w:t>
                  </w:r>
                </w:p>
              </w:tc>
              <w:tc>
                <w:tcPr>
                  <w:tcW w:w="501" w:type="dxa"/>
                  <w:vMerge w:val="restart"/>
                  <w:noWrap w:val="0"/>
                  <w:vAlign w:val="center"/>
                </w:tcPr>
                <w:p w14:paraId="1E560B70">
                  <w:pPr>
                    <w:widowControl/>
                    <w:jc w:val="center"/>
                    <w:textAlignment w:val="center"/>
                    <w:rPr>
                      <w:rFonts w:hint="default" w:eastAsia="宋体"/>
                      <w:color w:val="000000"/>
                      <w:szCs w:val="21"/>
                      <w:lang w:val="en-US" w:eastAsia="zh-CN"/>
                    </w:rPr>
                  </w:pPr>
                  <w:r>
                    <w:rPr>
                      <w:rFonts w:hint="eastAsia" w:eastAsia="宋体"/>
                      <w:color w:val="000000"/>
                      <w:szCs w:val="21"/>
                      <w:lang w:val="en-US" w:eastAsia="zh-CN"/>
                    </w:rPr>
                    <w:t>7200</w:t>
                  </w:r>
                </w:p>
              </w:tc>
            </w:tr>
            <w:tr w14:paraId="692877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31" w:type="dxa"/>
                  <w:noWrap w:val="0"/>
                  <w:vAlign w:val="center"/>
                </w:tcPr>
                <w:p w14:paraId="5F8BAEE6">
                  <w:pPr>
                    <w:jc w:val="center"/>
                    <w:rPr>
                      <w:rFonts w:hint="default" w:eastAsia="宋体"/>
                      <w:color w:val="000000"/>
                      <w:kern w:val="2"/>
                      <w:sz w:val="21"/>
                      <w:szCs w:val="21"/>
                      <w:lang w:val="en-US" w:eastAsia="zh-CN" w:bidi="ar-SA"/>
                    </w:rPr>
                  </w:pPr>
                  <w:r>
                    <w:rPr>
                      <w:rFonts w:hint="eastAsia" w:eastAsia="宋体"/>
                      <w:color w:val="000000"/>
                      <w:kern w:val="2"/>
                      <w:sz w:val="21"/>
                      <w:szCs w:val="21"/>
                      <w:lang w:val="en-US" w:eastAsia="zh-CN" w:bidi="ar-SA"/>
                    </w:rPr>
                    <w:t>4#厂房直印</w:t>
                  </w:r>
                </w:p>
              </w:tc>
              <w:tc>
                <w:tcPr>
                  <w:tcW w:w="586" w:type="dxa"/>
                  <w:noWrap w:val="0"/>
                  <w:vAlign w:val="center"/>
                </w:tcPr>
                <w:p w14:paraId="58355DD9">
                  <w:pPr>
                    <w:widowControl/>
                    <w:jc w:val="center"/>
                    <w:textAlignment w:val="center"/>
                    <w:rPr>
                      <w:rFonts w:hint="default" w:eastAsia="宋体"/>
                      <w:color w:val="000000"/>
                      <w:kern w:val="0"/>
                      <w:szCs w:val="21"/>
                      <w:lang w:val="en-US" w:eastAsia="zh-CN"/>
                    </w:rPr>
                  </w:pPr>
                  <w:r>
                    <w:rPr>
                      <w:rFonts w:hint="eastAsia"/>
                      <w:color w:val="000000"/>
                      <w:kern w:val="0"/>
                      <w:szCs w:val="21"/>
                      <w:lang w:val="en-US" w:eastAsia="zh-CN"/>
                    </w:rPr>
                    <w:t>DA005</w:t>
                  </w:r>
                </w:p>
              </w:tc>
              <w:tc>
                <w:tcPr>
                  <w:tcW w:w="496" w:type="dxa"/>
                  <w:noWrap w:val="0"/>
                  <w:vAlign w:val="center"/>
                </w:tcPr>
                <w:p w14:paraId="1AF91FCC">
                  <w:pPr>
                    <w:autoSpaceDE w:val="0"/>
                    <w:autoSpaceDN w:val="0"/>
                    <w:adjustRightInd w:val="0"/>
                    <w:jc w:val="center"/>
                    <w:rPr>
                      <w:rFonts w:hint="default" w:eastAsia="宋体"/>
                      <w:color w:val="000000"/>
                      <w:kern w:val="0"/>
                      <w:szCs w:val="21"/>
                      <w:lang w:val="en-US" w:eastAsia="zh-CN"/>
                    </w:rPr>
                  </w:pPr>
                  <w:r>
                    <w:rPr>
                      <w:rFonts w:hint="eastAsia" w:eastAsia="宋体"/>
                      <w:color w:val="000000"/>
                      <w:kern w:val="0"/>
                      <w:szCs w:val="21"/>
                      <w:lang w:val="en-US" w:eastAsia="zh-CN"/>
                    </w:rPr>
                    <w:t>NMHC</w:t>
                  </w:r>
                </w:p>
              </w:tc>
              <w:tc>
                <w:tcPr>
                  <w:tcW w:w="555" w:type="dxa"/>
                  <w:vMerge w:val="continue"/>
                  <w:noWrap w:val="0"/>
                  <w:vAlign w:val="center"/>
                </w:tcPr>
                <w:p w14:paraId="681349F0">
                  <w:pPr>
                    <w:widowControl/>
                    <w:jc w:val="center"/>
                    <w:textAlignment w:val="center"/>
                    <w:rPr>
                      <w:rFonts w:hint="eastAsia"/>
                      <w:color w:val="000000"/>
                      <w:kern w:val="0"/>
                      <w:szCs w:val="21"/>
                      <w:lang w:val="en-US" w:eastAsia="zh-CN"/>
                    </w:rPr>
                  </w:pPr>
                </w:p>
              </w:tc>
              <w:tc>
                <w:tcPr>
                  <w:tcW w:w="794" w:type="dxa"/>
                  <w:noWrap w:val="0"/>
                  <w:vAlign w:val="center"/>
                </w:tcPr>
                <w:p w14:paraId="49EB53C3">
                  <w:pPr>
                    <w:bidi w:val="0"/>
                    <w:jc w:val="center"/>
                    <w:rPr>
                      <w:rFonts w:hint="default" w:ascii="Times New Roman" w:hAnsi="Times New Roman" w:cs="Times New Roman"/>
                      <w:lang w:val="en-US" w:eastAsia="zh-CN"/>
                    </w:rPr>
                  </w:pPr>
                  <w:r>
                    <w:rPr>
                      <w:rFonts w:hint="eastAsia" w:cs="Times New Roman"/>
                      <w:lang w:val="en-US" w:eastAsia="zh-CN"/>
                    </w:rPr>
                    <w:t>5000</w:t>
                  </w:r>
                </w:p>
              </w:tc>
              <w:tc>
                <w:tcPr>
                  <w:tcW w:w="699" w:type="dxa"/>
                  <w:noWrap w:val="0"/>
                  <w:vAlign w:val="center"/>
                </w:tcPr>
                <w:p w14:paraId="05DC9B37">
                  <w:pPr>
                    <w:bidi w:val="0"/>
                    <w:jc w:val="center"/>
                    <w:rPr>
                      <w:rFonts w:hint="default" w:ascii="Times New Roman" w:hAnsi="Times New Roman" w:cs="Times New Roman"/>
                      <w:lang w:val="en-US" w:eastAsia="zh-CN"/>
                    </w:rPr>
                  </w:pPr>
                  <w:r>
                    <w:rPr>
                      <w:rFonts w:hint="eastAsia" w:cs="Times New Roman"/>
                      <w:lang w:val="en-US" w:eastAsia="zh-CN"/>
                    </w:rPr>
                    <w:t>0.6</w:t>
                  </w:r>
                </w:p>
              </w:tc>
              <w:tc>
                <w:tcPr>
                  <w:tcW w:w="604" w:type="dxa"/>
                  <w:noWrap w:val="0"/>
                  <w:vAlign w:val="center"/>
                </w:tcPr>
                <w:p w14:paraId="7A51C71E">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0.003</w:t>
                  </w:r>
                </w:p>
              </w:tc>
              <w:tc>
                <w:tcPr>
                  <w:tcW w:w="573" w:type="dxa"/>
                  <w:noWrap w:val="0"/>
                  <w:vAlign w:val="center"/>
                </w:tcPr>
                <w:p w14:paraId="1C004600">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0.02166</w:t>
                  </w:r>
                </w:p>
              </w:tc>
              <w:tc>
                <w:tcPr>
                  <w:tcW w:w="643" w:type="dxa"/>
                  <w:noWrap w:val="0"/>
                  <w:vAlign w:val="center"/>
                </w:tcPr>
                <w:p w14:paraId="3BEB6E17">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二级</w:t>
                  </w:r>
                  <w:r>
                    <w:rPr>
                      <w:rFonts w:hint="default" w:ascii="Times New Roman" w:hAnsi="Times New Roman" w:cs="Times New Roman"/>
                    </w:rPr>
                    <w:t>活性炭吸附</w:t>
                  </w:r>
                </w:p>
              </w:tc>
              <w:tc>
                <w:tcPr>
                  <w:tcW w:w="498" w:type="dxa"/>
                  <w:noWrap w:val="0"/>
                  <w:vAlign w:val="center"/>
                </w:tcPr>
                <w:p w14:paraId="099FC791">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90</w:t>
                  </w:r>
                </w:p>
              </w:tc>
              <w:tc>
                <w:tcPr>
                  <w:tcW w:w="671" w:type="dxa"/>
                  <w:noWrap w:val="0"/>
                  <w:vAlign w:val="center"/>
                </w:tcPr>
                <w:p w14:paraId="210F3342">
                  <w:pPr>
                    <w:bidi w:val="0"/>
                    <w:jc w:val="center"/>
                    <w:rPr>
                      <w:rFonts w:hint="default" w:ascii="Times New Roman" w:hAnsi="Times New Roman" w:cs="Times New Roman"/>
                      <w:lang w:val="en-US" w:eastAsia="zh-CN"/>
                    </w:rPr>
                  </w:pPr>
                  <w:r>
                    <w:rPr>
                      <w:rFonts w:hint="eastAsia" w:cs="Times New Roman"/>
                      <w:lang w:val="en-US" w:eastAsia="zh-CN"/>
                    </w:rPr>
                    <w:t>0.06</w:t>
                  </w:r>
                </w:p>
              </w:tc>
              <w:tc>
                <w:tcPr>
                  <w:tcW w:w="645" w:type="dxa"/>
                  <w:noWrap w:val="0"/>
                  <w:vAlign w:val="center"/>
                </w:tcPr>
                <w:p w14:paraId="4D1B38EF">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0.0003</w:t>
                  </w:r>
                </w:p>
              </w:tc>
              <w:tc>
                <w:tcPr>
                  <w:tcW w:w="661" w:type="dxa"/>
                  <w:noWrap w:val="0"/>
                  <w:vAlign w:val="center"/>
                </w:tcPr>
                <w:p w14:paraId="456A6B3A">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0.0022</w:t>
                  </w:r>
                </w:p>
              </w:tc>
              <w:tc>
                <w:tcPr>
                  <w:tcW w:w="501" w:type="dxa"/>
                  <w:vMerge w:val="continue"/>
                  <w:noWrap w:val="0"/>
                  <w:vAlign w:val="center"/>
                </w:tcPr>
                <w:p w14:paraId="5444BCB0">
                  <w:pPr>
                    <w:widowControl/>
                    <w:jc w:val="center"/>
                    <w:textAlignment w:val="center"/>
                    <w:rPr>
                      <w:rFonts w:hint="eastAsia" w:eastAsia="宋体"/>
                      <w:color w:val="000000"/>
                      <w:szCs w:val="21"/>
                      <w:lang w:val="en-US" w:eastAsia="zh-CN"/>
                    </w:rPr>
                  </w:pPr>
                </w:p>
              </w:tc>
            </w:tr>
            <w:bookmarkEnd w:id="10"/>
            <w:bookmarkEnd w:id="11"/>
          </w:tbl>
          <w:p w14:paraId="58393FC3">
            <w:pPr>
              <w:pStyle w:val="4"/>
              <w:keepNext w:val="0"/>
              <w:keepLines w:val="0"/>
              <w:pageBreakBefore w:val="0"/>
              <w:widowControl w:val="0"/>
              <w:kinsoku/>
              <w:wordWrap/>
              <w:overflowPunct/>
              <w:topLinePunct w:val="0"/>
              <w:autoSpaceDE/>
              <w:autoSpaceDN/>
              <w:bidi w:val="0"/>
              <w:adjustRightInd/>
              <w:snapToGrid w:val="0"/>
              <w:spacing w:before="148" w:beforeLines="50" w:beforeAutospacing="0" w:after="0" w:afterAutospacing="0" w:line="360" w:lineRule="auto"/>
              <w:ind w:firstLine="420" w:firstLineChars="200"/>
              <w:jc w:val="both"/>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本项目3#厂房产生的非甲烷总烃废气依托厂区现有DA00</w:t>
            </w:r>
            <w:r>
              <w:rPr>
                <w:rFonts w:hint="eastAsia" w:ascii="Times New Roman" w:hAnsi="Times New Roman" w:cs="Times New Roman"/>
                <w:b w:val="0"/>
                <w:bCs w:val="0"/>
                <w:color w:val="auto"/>
                <w:sz w:val="21"/>
                <w:szCs w:val="21"/>
                <w:lang w:val="en-US" w:eastAsia="zh-CN"/>
              </w:rPr>
              <w:t>2</w:t>
            </w:r>
            <w:r>
              <w:rPr>
                <w:rFonts w:hint="default" w:ascii="Times New Roman" w:hAnsi="Times New Roman" w:cs="Times New Roman"/>
                <w:b w:val="0"/>
                <w:bCs w:val="0"/>
                <w:color w:val="auto"/>
                <w:sz w:val="21"/>
                <w:szCs w:val="21"/>
                <w:lang w:val="en-US" w:eastAsia="zh-CN"/>
              </w:rPr>
              <w:t>排气筒排放，叠加现有项目经DA00</w:t>
            </w:r>
            <w:r>
              <w:rPr>
                <w:rFonts w:hint="eastAsia" w:ascii="Times New Roman" w:hAnsi="Times New Roman" w:cs="Times New Roman"/>
                <w:b w:val="0"/>
                <w:bCs w:val="0"/>
                <w:color w:val="auto"/>
                <w:sz w:val="21"/>
                <w:szCs w:val="21"/>
                <w:lang w:val="en-US" w:eastAsia="zh-CN"/>
              </w:rPr>
              <w:t>2</w:t>
            </w:r>
            <w:r>
              <w:rPr>
                <w:rFonts w:hint="default" w:ascii="Times New Roman" w:hAnsi="Times New Roman" w:cs="Times New Roman"/>
                <w:b w:val="0"/>
                <w:bCs w:val="0"/>
                <w:color w:val="auto"/>
                <w:sz w:val="21"/>
                <w:szCs w:val="21"/>
                <w:lang w:val="en-US" w:eastAsia="zh-CN"/>
              </w:rPr>
              <w:t>排气筒排放的同类污染物后，厂区DA00</w:t>
            </w:r>
            <w:r>
              <w:rPr>
                <w:rFonts w:hint="eastAsia" w:ascii="Times New Roman" w:hAnsi="Times New Roman" w:cs="Times New Roman"/>
                <w:b w:val="0"/>
                <w:bCs w:val="0"/>
                <w:color w:val="auto"/>
                <w:sz w:val="21"/>
                <w:szCs w:val="21"/>
                <w:lang w:val="en-US" w:eastAsia="zh-CN"/>
              </w:rPr>
              <w:t>2</w:t>
            </w:r>
            <w:r>
              <w:rPr>
                <w:rFonts w:hint="default" w:ascii="Times New Roman" w:hAnsi="Times New Roman" w:cs="Times New Roman"/>
                <w:b w:val="0"/>
                <w:bCs w:val="0"/>
                <w:color w:val="auto"/>
                <w:sz w:val="21"/>
                <w:szCs w:val="21"/>
                <w:lang w:val="en-US" w:eastAsia="zh-CN"/>
              </w:rPr>
              <w:t>排放的废气情况见表4-4。</w:t>
            </w:r>
          </w:p>
          <w:p w14:paraId="1A2858FF">
            <w:pPr>
              <w:jc w:val="center"/>
              <w:rPr>
                <w:rFonts w:hint="default"/>
                <w:b/>
                <w:bCs/>
                <w:lang w:val="en-US" w:eastAsia="zh-CN"/>
              </w:rPr>
            </w:pPr>
            <w:r>
              <w:rPr>
                <w:rFonts w:hint="default"/>
                <w:b/>
                <w:bCs/>
                <w:lang w:val="en-US" w:eastAsia="zh-CN"/>
              </w:rPr>
              <w:t>表4-</w:t>
            </w:r>
            <w:r>
              <w:rPr>
                <w:rFonts w:hint="eastAsia"/>
                <w:b/>
                <w:bCs/>
                <w:lang w:val="en-US" w:eastAsia="zh-CN"/>
              </w:rPr>
              <w:t>3</w:t>
            </w:r>
            <w:r>
              <w:rPr>
                <w:rFonts w:hint="default"/>
                <w:b/>
                <w:bCs/>
                <w:lang w:val="en-US" w:eastAsia="zh-CN"/>
              </w:rPr>
              <w:t xml:space="preserve"> 叠加同类污染物后，DA00</w:t>
            </w:r>
            <w:r>
              <w:rPr>
                <w:rFonts w:hint="eastAsia"/>
                <w:b/>
                <w:bCs/>
                <w:lang w:val="en-US" w:eastAsia="zh-CN"/>
              </w:rPr>
              <w:t>2</w:t>
            </w:r>
            <w:r>
              <w:rPr>
                <w:rFonts w:hint="default"/>
                <w:b/>
                <w:bCs/>
                <w:lang w:val="en-US" w:eastAsia="zh-CN"/>
              </w:rPr>
              <w:t>排放状况一览表</w:t>
            </w:r>
          </w:p>
          <w:tbl>
            <w:tblPr>
              <w:tblStyle w:val="3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3"/>
              <w:gridCol w:w="673"/>
              <w:gridCol w:w="778"/>
              <w:gridCol w:w="812"/>
              <w:gridCol w:w="675"/>
              <w:gridCol w:w="637"/>
              <w:gridCol w:w="1313"/>
              <w:gridCol w:w="645"/>
              <w:gridCol w:w="855"/>
              <w:gridCol w:w="720"/>
              <w:gridCol w:w="721"/>
            </w:tblGrid>
            <w:tr w14:paraId="08E0EB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3" w:type="dxa"/>
                  <w:vMerge w:val="restart"/>
                  <w:tcBorders>
                    <w:tl2br w:val="nil"/>
                    <w:tr2bl w:val="nil"/>
                  </w:tcBorders>
                  <w:vAlign w:val="center"/>
                </w:tcPr>
                <w:p w14:paraId="1A4BA466">
                  <w:pPr>
                    <w:jc w:val="center"/>
                    <w:rPr>
                      <w:rFonts w:hint="default"/>
                      <w:b w:val="0"/>
                      <w:bCs w:val="0"/>
                      <w:vertAlign w:val="baseline"/>
                      <w:lang w:val="en-US" w:eastAsia="zh-CN"/>
                    </w:rPr>
                  </w:pPr>
                  <w:r>
                    <w:rPr>
                      <w:rFonts w:hint="eastAsia"/>
                      <w:b w:val="0"/>
                      <w:bCs w:val="0"/>
                      <w:vertAlign w:val="baseline"/>
                      <w:lang w:val="en-US" w:eastAsia="zh-CN"/>
                    </w:rPr>
                    <w:t>污染源</w:t>
                  </w:r>
                </w:p>
              </w:tc>
              <w:tc>
                <w:tcPr>
                  <w:tcW w:w="673" w:type="dxa"/>
                  <w:vMerge w:val="restart"/>
                  <w:tcBorders>
                    <w:tl2br w:val="nil"/>
                    <w:tr2bl w:val="nil"/>
                  </w:tcBorders>
                  <w:vAlign w:val="center"/>
                </w:tcPr>
                <w:p w14:paraId="0428F5A7">
                  <w:pPr>
                    <w:jc w:val="center"/>
                    <w:rPr>
                      <w:rFonts w:hint="default"/>
                      <w:b w:val="0"/>
                      <w:bCs w:val="0"/>
                      <w:vertAlign w:val="baseline"/>
                      <w:lang w:val="en-US" w:eastAsia="zh-CN"/>
                    </w:rPr>
                  </w:pPr>
                  <w:r>
                    <w:rPr>
                      <w:rFonts w:hint="eastAsia"/>
                      <w:b w:val="0"/>
                      <w:bCs w:val="0"/>
                      <w:vertAlign w:val="baseline"/>
                      <w:lang w:val="en-US" w:eastAsia="zh-CN"/>
                    </w:rPr>
                    <w:t>污染物</w:t>
                  </w:r>
                </w:p>
              </w:tc>
              <w:tc>
                <w:tcPr>
                  <w:tcW w:w="778" w:type="dxa"/>
                  <w:vMerge w:val="restart"/>
                  <w:tcBorders>
                    <w:tl2br w:val="nil"/>
                    <w:tr2bl w:val="nil"/>
                  </w:tcBorders>
                  <w:vAlign w:val="center"/>
                </w:tcPr>
                <w:p w14:paraId="7CE77FE4">
                  <w:pPr>
                    <w:jc w:val="center"/>
                    <w:rPr>
                      <w:rFonts w:hint="default"/>
                      <w:b w:val="0"/>
                      <w:bCs w:val="0"/>
                      <w:vertAlign w:val="baseline"/>
                      <w:lang w:val="en-US" w:eastAsia="zh-CN"/>
                    </w:rPr>
                  </w:pPr>
                  <w:r>
                    <w:rPr>
                      <w:rFonts w:hint="eastAsia"/>
                      <w:b w:val="0"/>
                      <w:bCs w:val="0"/>
                      <w:vertAlign w:val="baseline"/>
                      <w:lang w:val="en-US" w:eastAsia="zh-CN"/>
                    </w:rPr>
                    <w:t>排气量</w:t>
                  </w:r>
                  <w:r>
                    <w:rPr>
                      <w:rFonts w:hint="eastAsia"/>
                      <w:b w:val="0"/>
                      <w:bCs w:val="0"/>
                      <w:color w:val="000000"/>
                      <w:szCs w:val="21"/>
                    </w:rPr>
                    <w:t>m</w:t>
                  </w:r>
                  <w:r>
                    <w:rPr>
                      <w:rFonts w:hint="eastAsia"/>
                      <w:b w:val="0"/>
                      <w:bCs w:val="0"/>
                      <w:color w:val="000000"/>
                      <w:szCs w:val="21"/>
                      <w:vertAlign w:val="superscript"/>
                    </w:rPr>
                    <w:t>3</w:t>
                  </w:r>
                  <w:r>
                    <w:rPr>
                      <w:b w:val="0"/>
                      <w:bCs w:val="0"/>
                      <w:color w:val="000000"/>
                      <w:szCs w:val="21"/>
                    </w:rPr>
                    <w:t>/h</w:t>
                  </w:r>
                </w:p>
              </w:tc>
              <w:tc>
                <w:tcPr>
                  <w:tcW w:w="2124" w:type="dxa"/>
                  <w:gridSpan w:val="3"/>
                  <w:tcBorders>
                    <w:tl2br w:val="nil"/>
                    <w:tr2bl w:val="nil"/>
                  </w:tcBorders>
                  <w:vAlign w:val="center"/>
                </w:tcPr>
                <w:p w14:paraId="1DAA1977">
                  <w:pPr>
                    <w:jc w:val="center"/>
                    <w:rPr>
                      <w:rFonts w:hint="eastAsia" w:eastAsia="宋体"/>
                      <w:b w:val="0"/>
                      <w:bCs w:val="0"/>
                      <w:vertAlign w:val="baseline"/>
                      <w:lang w:val="en-US" w:eastAsia="zh-CN"/>
                    </w:rPr>
                  </w:pPr>
                  <w:r>
                    <w:rPr>
                      <w:rFonts w:hint="eastAsia"/>
                      <w:b w:val="0"/>
                      <w:bCs w:val="0"/>
                      <w:color w:val="000000"/>
                      <w:szCs w:val="21"/>
                    </w:rPr>
                    <w:t>产生</w:t>
                  </w:r>
                  <w:r>
                    <w:rPr>
                      <w:rFonts w:hint="eastAsia"/>
                      <w:b w:val="0"/>
                      <w:bCs w:val="0"/>
                      <w:color w:val="000000"/>
                      <w:szCs w:val="21"/>
                      <w:lang w:val="en-US" w:eastAsia="zh-CN"/>
                    </w:rPr>
                    <w:t>情况</w:t>
                  </w:r>
                </w:p>
              </w:tc>
              <w:tc>
                <w:tcPr>
                  <w:tcW w:w="1313" w:type="dxa"/>
                  <w:vMerge w:val="restart"/>
                  <w:tcBorders>
                    <w:tl2br w:val="nil"/>
                    <w:tr2bl w:val="nil"/>
                  </w:tcBorders>
                  <w:vAlign w:val="center"/>
                </w:tcPr>
                <w:p w14:paraId="7BF64CA2">
                  <w:pPr>
                    <w:jc w:val="center"/>
                    <w:rPr>
                      <w:rFonts w:hint="default"/>
                      <w:b w:val="0"/>
                      <w:bCs w:val="0"/>
                      <w:vertAlign w:val="baseline"/>
                      <w:lang w:val="en-US" w:eastAsia="zh-CN"/>
                    </w:rPr>
                  </w:pPr>
                  <w:r>
                    <w:rPr>
                      <w:rFonts w:hint="eastAsia"/>
                      <w:b w:val="0"/>
                      <w:bCs w:val="0"/>
                      <w:vertAlign w:val="baseline"/>
                      <w:lang w:val="en-US" w:eastAsia="zh-CN"/>
                    </w:rPr>
                    <w:t>治理措施</w:t>
                  </w:r>
                </w:p>
              </w:tc>
              <w:tc>
                <w:tcPr>
                  <w:tcW w:w="645" w:type="dxa"/>
                  <w:vMerge w:val="restart"/>
                  <w:tcBorders>
                    <w:tl2br w:val="nil"/>
                    <w:tr2bl w:val="nil"/>
                  </w:tcBorders>
                  <w:vAlign w:val="center"/>
                </w:tcPr>
                <w:p w14:paraId="3990FBB8">
                  <w:pPr>
                    <w:jc w:val="center"/>
                    <w:rPr>
                      <w:rFonts w:hint="default"/>
                      <w:b w:val="0"/>
                      <w:bCs w:val="0"/>
                      <w:vertAlign w:val="baseline"/>
                      <w:lang w:val="en-US" w:eastAsia="zh-CN"/>
                    </w:rPr>
                  </w:pPr>
                  <w:r>
                    <w:rPr>
                      <w:rFonts w:hint="eastAsia"/>
                      <w:b w:val="0"/>
                      <w:bCs w:val="0"/>
                      <w:vertAlign w:val="baseline"/>
                      <w:lang w:val="en-US" w:eastAsia="zh-CN"/>
                    </w:rPr>
                    <w:t>治理效率</w:t>
                  </w:r>
                </w:p>
              </w:tc>
              <w:tc>
                <w:tcPr>
                  <w:tcW w:w="2296" w:type="dxa"/>
                  <w:gridSpan w:val="3"/>
                  <w:tcBorders>
                    <w:tl2br w:val="nil"/>
                    <w:tr2bl w:val="nil"/>
                  </w:tcBorders>
                  <w:vAlign w:val="center"/>
                </w:tcPr>
                <w:p w14:paraId="42D084C7">
                  <w:pPr>
                    <w:jc w:val="center"/>
                    <w:rPr>
                      <w:rFonts w:hint="default"/>
                      <w:b w:val="0"/>
                      <w:bCs w:val="0"/>
                      <w:vertAlign w:val="baseline"/>
                      <w:lang w:val="en-US" w:eastAsia="zh-CN"/>
                    </w:rPr>
                  </w:pPr>
                  <w:r>
                    <w:rPr>
                      <w:rFonts w:hint="eastAsia"/>
                      <w:b w:val="0"/>
                      <w:bCs w:val="0"/>
                      <w:color w:val="000000"/>
                      <w:szCs w:val="21"/>
                      <w:lang w:val="en-US" w:eastAsia="zh-CN"/>
                    </w:rPr>
                    <w:t>排放情况</w:t>
                  </w:r>
                </w:p>
              </w:tc>
            </w:tr>
            <w:tr w14:paraId="36A333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3" w:type="dxa"/>
                  <w:vMerge w:val="continue"/>
                  <w:tcBorders>
                    <w:tl2br w:val="nil"/>
                    <w:tr2bl w:val="nil"/>
                  </w:tcBorders>
                  <w:vAlign w:val="center"/>
                </w:tcPr>
                <w:p w14:paraId="0D24E2B7">
                  <w:pPr>
                    <w:jc w:val="center"/>
                    <w:rPr>
                      <w:rFonts w:hint="default"/>
                      <w:b w:val="0"/>
                      <w:bCs w:val="0"/>
                      <w:vertAlign w:val="baseline"/>
                      <w:lang w:val="en-US" w:eastAsia="zh-CN"/>
                    </w:rPr>
                  </w:pPr>
                </w:p>
              </w:tc>
              <w:tc>
                <w:tcPr>
                  <w:tcW w:w="673" w:type="dxa"/>
                  <w:vMerge w:val="continue"/>
                  <w:tcBorders>
                    <w:tl2br w:val="nil"/>
                    <w:tr2bl w:val="nil"/>
                  </w:tcBorders>
                  <w:vAlign w:val="center"/>
                </w:tcPr>
                <w:p w14:paraId="1C77F9FE">
                  <w:pPr>
                    <w:jc w:val="center"/>
                    <w:rPr>
                      <w:rFonts w:hint="default"/>
                      <w:b w:val="0"/>
                      <w:bCs w:val="0"/>
                      <w:vertAlign w:val="baseline"/>
                      <w:lang w:val="en-US" w:eastAsia="zh-CN"/>
                    </w:rPr>
                  </w:pPr>
                </w:p>
              </w:tc>
              <w:tc>
                <w:tcPr>
                  <w:tcW w:w="778" w:type="dxa"/>
                  <w:vMerge w:val="continue"/>
                  <w:tcBorders>
                    <w:tl2br w:val="nil"/>
                    <w:tr2bl w:val="nil"/>
                  </w:tcBorders>
                  <w:vAlign w:val="center"/>
                </w:tcPr>
                <w:p w14:paraId="3C6DC717">
                  <w:pPr>
                    <w:jc w:val="center"/>
                    <w:rPr>
                      <w:rFonts w:hint="default"/>
                      <w:b w:val="0"/>
                      <w:bCs w:val="0"/>
                      <w:vertAlign w:val="baseline"/>
                      <w:lang w:val="en-US" w:eastAsia="zh-CN"/>
                    </w:rPr>
                  </w:pPr>
                </w:p>
              </w:tc>
              <w:tc>
                <w:tcPr>
                  <w:tcW w:w="812" w:type="dxa"/>
                  <w:tcBorders>
                    <w:tl2br w:val="nil"/>
                    <w:tr2bl w:val="nil"/>
                  </w:tcBorders>
                  <w:shd w:val="clear" w:color="auto" w:fill="auto"/>
                  <w:vAlign w:val="center"/>
                </w:tcPr>
                <w:p w14:paraId="509C89B5">
                  <w:pPr>
                    <w:autoSpaceDE w:val="0"/>
                    <w:autoSpaceDN w:val="0"/>
                    <w:adjustRightInd w:val="0"/>
                    <w:jc w:val="center"/>
                    <w:rPr>
                      <w:rFonts w:hint="default" w:ascii="Times New Roman" w:hAnsi="Times New Roman" w:eastAsia="宋体" w:cs="Times New Roman"/>
                      <w:b w:val="0"/>
                      <w:bCs w:val="0"/>
                      <w:color w:val="000000"/>
                      <w:kern w:val="2"/>
                      <w:sz w:val="21"/>
                      <w:szCs w:val="21"/>
                      <w:lang w:val="en-US" w:eastAsia="zh-CN" w:bidi="ar-SA"/>
                    </w:rPr>
                  </w:pPr>
                  <w:r>
                    <w:rPr>
                      <w:b w:val="0"/>
                      <w:bCs w:val="0"/>
                      <w:color w:val="000000"/>
                      <w:szCs w:val="21"/>
                    </w:rPr>
                    <w:t>浓度mg/</w:t>
                  </w:r>
                  <w:r>
                    <w:rPr>
                      <w:rFonts w:hint="eastAsia"/>
                      <w:b w:val="0"/>
                      <w:bCs w:val="0"/>
                      <w:color w:val="000000"/>
                      <w:szCs w:val="21"/>
                    </w:rPr>
                    <w:t>m</w:t>
                  </w:r>
                  <w:r>
                    <w:rPr>
                      <w:rFonts w:hint="eastAsia"/>
                      <w:b w:val="0"/>
                      <w:bCs w:val="0"/>
                      <w:color w:val="000000"/>
                      <w:szCs w:val="21"/>
                      <w:vertAlign w:val="superscript"/>
                    </w:rPr>
                    <w:t>3</w:t>
                  </w:r>
                </w:p>
              </w:tc>
              <w:tc>
                <w:tcPr>
                  <w:tcW w:w="675" w:type="dxa"/>
                  <w:tcBorders>
                    <w:tl2br w:val="nil"/>
                    <w:tr2bl w:val="nil"/>
                  </w:tcBorders>
                  <w:shd w:val="clear" w:color="auto" w:fill="auto"/>
                  <w:vAlign w:val="center"/>
                </w:tcPr>
                <w:p w14:paraId="43711EBD">
                  <w:pPr>
                    <w:autoSpaceDE w:val="0"/>
                    <w:autoSpaceDN w:val="0"/>
                    <w:adjustRightInd w:val="0"/>
                    <w:jc w:val="center"/>
                    <w:rPr>
                      <w:rFonts w:hint="default" w:ascii="Times New Roman" w:hAnsi="Times New Roman" w:eastAsia="宋体" w:cs="Times New Roman"/>
                      <w:b w:val="0"/>
                      <w:bCs w:val="0"/>
                      <w:color w:val="000000"/>
                      <w:kern w:val="2"/>
                      <w:sz w:val="21"/>
                      <w:szCs w:val="21"/>
                      <w:lang w:val="en-US" w:eastAsia="zh-CN" w:bidi="ar-SA"/>
                    </w:rPr>
                  </w:pPr>
                  <w:r>
                    <w:rPr>
                      <w:b w:val="0"/>
                      <w:bCs w:val="0"/>
                      <w:color w:val="000000"/>
                      <w:szCs w:val="21"/>
                    </w:rPr>
                    <w:t>速率kg/h</w:t>
                  </w:r>
                </w:p>
              </w:tc>
              <w:tc>
                <w:tcPr>
                  <w:tcW w:w="637" w:type="dxa"/>
                  <w:tcBorders>
                    <w:tl2br w:val="nil"/>
                    <w:tr2bl w:val="nil"/>
                  </w:tcBorders>
                  <w:shd w:val="clear" w:color="auto" w:fill="auto"/>
                  <w:vAlign w:val="center"/>
                </w:tcPr>
                <w:p w14:paraId="7DACA6B3">
                  <w:pPr>
                    <w:autoSpaceDE w:val="0"/>
                    <w:autoSpaceDN w:val="0"/>
                    <w:adjustRightInd w:val="0"/>
                    <w:jc w:val="center"/>
                    <w:rPr>
                      <w:rFonts w:hint="default" w:ascii="Times New Roman" w:hAnsi="Times New Roman" w:eastAsia="宋体" w:cs="Times New Roman"/>
                      <w:b w:val="0"/>
                      <w:bCs w:val="0"/>
                      <w:color w:val="000000"/>
                      <w:kern w:val="2"/>
                      <w:sz w:val="21"/>
                      <w:szCs w:val="21"/>
                      <w:lang w:val="en-US" w:eastAsia="zh-CN" w:bidi="ar-SA"/>
                    </w:rPr>
                  </w:pPr>
                  <w:r>
                    <w:rPr>
                      <w:b w:val="0"/>
                      <w:bCs w:val="0"/>
                      <w:color w:val="000000"/>
                      <w:szCs w:val="21"/>
                    </w:rPr>
                    <w:t>产生量t/a</w:t>
                  </w:r>
                </w:p>
              </w:tc>
              <w:tc>
                <w:tcPr>
                  <w:tcW w:w="1313" w:type="dxa"/>
                  <w:vMerge w:val="continue"/>
                  <w:tcBorders>
                    <w:tl2br w:val="nil"/>
                    <w:tr2bl w:val="nil"/>
                  </w:tcBorders>
                  <w:vAlign w:val="center"/>
                </w:tcPr>
                <w:p w14:paraId="694778AE">
                  <w:pPr>
                    <w:jc w:val="center"/>
                    <w:rPr>
                      <w:rFonts w:hint="default"/>
                      <w:b w:val="0"/>
                      <w:bCs w:val="0"/>
                      <w:vertAlign w:val="baseline"/>
                      <w:lang w:val="en-US" w:eastAsia="zh-CN"/>
                    </w:rPr>
                  </w:pPr>
                </w:p>
              </w:tc>
              <w:tc>
                <w:tcPr>
                  <w:tcW w:w="645" w:type="dxa"/>
                  <w:vMerge w:val="continue"/>
                  <w:tcBorders>
                    <w:tl2br w:val="nil"/>
                    <w:tr2bl w:val="nil"/>
                  </w:tcBorders>
                  <w:vAlign w:val="center"/>
                </w:tcPr>
                <w:p w14:paraId="4F999915">
                  <w:pPr>
                    <w:jc w:val="center"/>
                    <w:rPr>
                      <w:rFonts w:hint="default"/>
                      <w:b w:val="0"/>
                      <w:bCs w:val="0"/>
                      <w:vertAlign w:val="baseline"/>
                      <w:lang w:val="en-US" w:eastAsia="zh-CN"/>
                    </w:rPr>
                  </w:pPr>
                </w:p>
              </w:tc>
              <w:tc>
                <w:tcPr>
                  <w:tcW w:w="855" w:type="dxa"/>
                  <w:tcBorders>
                    <w:tl2br w:val="nil"/>
                    <w:tr2bl w:val="nil"/>
                  </w:tcBorders>
                  <w:shd w:val="clear" w:color="auto" w:fill="auto"/>
                  <w:vAlign w:val="center"/>
                </w:tcPr>
                <w:p w14:paraId="68E46496">
                  <w:pPr>
                    <w:autoSpaceDE w:val="0"/>
                    <w:autoSpaceDN w:val="0"/>
                    <w:adjustRightInd w:val="0"/>
                    <w:jc w:val="center"/>
                    <w:rPr>
                      <w:rFonts w:hint="default" w:ascii="Times New Roman" w:hAnsi="Times New Roman" w:eastAsia="宋体" w:cs="Times New Roman"/>
                      <w:b w:val="0"/>
                      <w:bCs w:val="0"/>
                      <w:color w:val="000000"/>
                      <w:kern w:val="2"/>
                      <w:sz w:val="21"/>
                      <w:szCs w:val="21"/>
                      <w:lang w:val="en-US" w:eastAsia="zh-CN" w:bidi="ar-SA"/>
                    </w:rPr>
                  </w:pPr>
                  <w:r>
                    <w:rPr>
                      <w:b w:val="0"/>
                      <w:bCs w:val="0"/>
                      <w:color w:val="000000"/>
                      <w:szCs w:val="21"/>
                    </w:rPr>
                    <w:t>浓度mg/</w:t>
                  </w:r>
                  <w:r>
                    <w:rPr>
                      <w:rFonts w:hint="eastAsia"/>
                      <w:b w:val="0"/>
                      <w:bCs w:val="0"/>
                      <w:color w:val="000000"/>
                      <w:szCs w:val="21"/>
                    </w:rPr>
                    <w:t>m</w:t>
                  </w:r>
                  <w:r>
                    <w:rPr>
                      <w:rFonts w:hint="eastAsia"/>
                      <w:b w:val="0"/>
                      <w:bCs w:val="0"/>
                      <w:color w:val="000000"/>
                      <w:szCs w:val="21"/>
                      <w:vertAlign w:val="superscript"/>
                    </w:rPr>
                    <w:t>3</w:t>
                  </w:r>
                </w:p>
              </w:tc>
              <w:tc>
                <w:tcPr>
                  <w:tcW w:w="720" w:type="dxa"/>
                  <w:tcBorders>
                    <w:tl2br w:val="nil"/>
                    <w:tr2bl w:val="nil"/>
                  </w:tcBorders>
                  <w:shd w:val="clear" w:color="auto" w:fill="auto"/>
                  <w:vAlign w:val="center"/>
                </w:tcPr>
                <w:p w14:paraId="088D63D2">
                  <w:pPr>
                    <w:autoSpaceDE w:val="0"/>
                    <w:autoSpaceDN w:val="0"/>
                    <w:adjustRightInd w:val="0"/>
                    <w:jc w:val="center"/>
                    <w:rPr>
                      <w:rFonts w:hint="default" w:ascii="Times New Roman" w:hAnsi="Times New Roman" w:eastAsia="宋体" w:cs="Times New Roman"/>
                      <w:b w:val="0"/>
                      <w:bCs w:val="0"/>
                      <w:color w:val="000000"/>
                      <w:kern w:val="2"/>
                      <w:sz w:val="21"/>
                      <w:szCs w:val="21"/>
                      <w:lang w:val="en-US" w:eastAsia="zh-CN" w:bidi="ar-SA"/>
                    </w:rPr>
                  </w:pPr>
                  <w:r>
                    <w:rPr>
                      <w:b w:val="0"/>
                      <w:bCs w:val="0"/>
                      <w:color w:val="000000"/>
                      <w:szCs w:val="21"/>
                    </w:rPr>
                    <w:t>速率kg/h</w:t>
                  </w:r>
                </w:p>
              </w:tc>
              <w:tc>
                <w:tcPr>
                  <w:tcW w:w="721" w:type="dxa"/>
                  <w:tcBorders>
                    <w:tl2br w:val="nil"/>
                    <w:tr2bl w:val="nil"/>
                  </w:tcBorders>
                  <w:shd w:val="clear" w:color="auto" w:fill="auto"/>
                  <w:vAlign w:val="center"/>
                </w:tcPr>
                <w:p w14:paraId="22EFE562">
                  <w:pPr>
                    <w:autoSpaceDE w:val="0"/>
                    <w:autoSpaceDN w:val="0"/>
                    <w:adjustRightInd w:val="0"/>
                    <w:jc w:val="center"/>
                    <w:rPr>
                      <w:rFonts w:hint="default" w:ascii="Times New Roman" w:hAnsi="Times New Roman" w:eastAsia="宋体" w:cs="Times New Roman"/>
                      <w:b w:val="0"/>
                      <w:bCs w:val="0"/>
                      <w:color w:val="000000"/>
                      <w:kern w:val="2"/>
                      <w:sz w:val="21"/>
                      <w:szCs w:val="21"/>
                      <w:lang w:val="en-US" w:eastAsia="zh-CN" w:bidi="ar-SA"/>
                    </w:rPr>
                  </w:pPr>
                  <w:r>
                    <w:rPr>
                      <w:b w:val="0"/>
                      <w:bCs w:val="0"/>
                      <w:color w:val="000000"/>
                      <w:szCs w:val="21"/>
                    </w:rPr>
                    <w:t>排放量</w:t>
                  </w:r>
                  <w:r>
                    <w:rPr>
                      <w:rFonts w:hint="eastAsia"/>
                      <w:b w:val="0"/>
                      <w:bCs w:val="0"/>
                      <w:color w:val="000000"/>
                      <w:szCs w:val="21"/>
                    </w:rPr>
                    <w:t>t</w:t>
                  </w:r>
                  <w:r>
                    <w:rPr>
                      <w:b w:val="0"/>
                      <w:bCs w:val="0"/>
                      <w:color w:val="000000"/>
                      <w:szCs w:val="21"/>
                    </w:rPr>
                    <w:t>/a</w:t>
                  </w:r>
                </w:p>
              </w:tc>
            </w:tr>
            <w:tr w14:paraId="3EA555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3" w:type="dxa"/>
                  <w:tcBorders>
                    <w:tl2br w:val="nil"/>
                    <w:tr2bl w:val="nil"/>
                  </w:tcBorders>
                  <w:vAlign w:val="center"/>
                </w:tcPr>
                <w:p w14:paraId="27D5BCF8">
                  <w:pPr>
                    <w:jc w:val="center"/>
                    <w:rPr>
                      <w:rFonts w:hint="default"/>
                      <w:b w:val="0"/>
                      <w:bCs w:val="0"/>
                      <w:vertAlign w:val="baseline"/>
                      <w:lang w:val="en-US" w:eastAsia="zh-CN"/>
                    </w:rPr>
                  </w:pPr>
                  <w:r>
                    <w:rPr>
                      <w:rFonts w:hint="eastAsia"/>
                      <w:b w:val="0"/>
                      <w:bCs w:val="0"/>
                      <w:vertAlign w:val="baseline"/>
                      <w:lang w:val="en-US" w:eastAsia="zh-CN"/>
                    </w:rPr>
                    <w:t>DA002</w:t>
                  </w:r>
                </w:p>
              </w:tc>
              <w:tc>
                <w:tcPr>
                  <w:tcW w:w="673" w:type="dxa"/>
                  <w:tcBorders>
                    <w:tl2br w:val="nil"/>
                    <w:tr2bl w:val="nil"/>
                  </w:tcBorders>
                  <w:vAlign w:val="center"/>
                </w:tcPr>
                <w:p w14:paraId="3507ACF9">
                  <w:pPr>
                    <w:jc w:val="center"/>
                    <w:rPr>
                      <w:rFonts w:hint="default"/>
                      <w:b w:val="0"/>
                      <w:bCs w:val="0"/>
                      <w:vertAlign w:val="baseline"/>
                      <w:lang w:val="en-US" w:eastAsia="zh-CN"/>
                    </w:rPr>
                  </w:pPr>
                  <w:r>
                    <w:rPr>
                      <w:rFonts w:hint="eastAsia"/>
                      <w:b w:val="0"/>
                      <w:bCs w:val="0"/>
                      <w:vertAlign w:val="baseline"/>
                      <w:lang w:val="en-US" w:eastAsia="zh-CN"/>
                    </w:rPr>
                    <w:t>NMHC</w:t>
                  </w:r>
                </w:p>
              </w:tc>
              <w:tc>
                <w:tcPr>
                  <w:tcW w:w="778" w:type="dxa"/>
                  <w:tcBorders>
                    <w:tl2br w:val="nil"/>
                    <w:tr2bl w:val="nil"/>
                  </w:tcBorders>
                  <w:vAlign w:val="center"/>
                </w:tcPr>
                <w:p w14:paraId="39832E1C">
                  <w:pPr>
                    <w:jc w:val="center"/>
                    <w:rPr>
                      <w:rFonts w:hint="default"/>
                      <w:b w:val="0"/>
                      <w:bCs w:val="0"/>
                      <w:vertAlign w:val="baseline"/>
                      <w:lang w:val="en-US" w:eastAsia="zh-CN"/>
                    </w:rPr>
                  </w:pPr>
                  <w:r>
                    <w:rPr>
                      <w:rFonts w:hint="eastAsia"/>
                      <w:b w:val="0"/>
                      <w:bCs w:val="0"/>
                      <w:vertAlign w:val="baseline"/>
                      <w:lang w:val="en-US" w:eastAsia="zh-CN"/>
                    </w:rPr>
                    <w:t>13660</w:t>
                  </w:r>
                </w:p>
              </w:tc>
              <w:tc>
                <w:tcPr>
                  <w:tcW w:w="812" w:type="dxa"/>
                  <w:tcBorders>
                    <w:tl2br w:val="nil"/>
                    <w:tr2bl w:val="nil"/>
                  </w:tcBorders>
                  <w:vAlign w:val="center"/>
                </w:tcPr>
                <w:p w14:paraId="67FAF245">
                  <w:pPr>
                    <w:jc w:val="center"/>
                    <w:rPr>
                      <w:rFonts w:hint="default"/>
                      <w:b w:val="0"/>
                      <w:bCs w:val="0"/>
                      <w:vertAlign w:val="baseline"/>
                      <w:lang w:val="en-US" w:eastAsia="zh-CN"/>
                    </w:rPr>
                  </w:pPr>
                  <w:r>
                    <w:rPr>
                      <w:rFonts w:hint="eastAsia"/>
                      <w:b w:val="0"/>
                      <w:bCs w:val="0"/>
                      <w:vertAlign w:val="baseline"/>
                      <w:lang w:val="en-US" w:eastAsia="zh-CN"/>
                    </w:rPr>
                    <w:t>50.5</w:t>
                  </w:r>
                </w:p>
              </w:tc>
              <w:tc>
                <w:tcPr>
                  <w:tcW w:w="675" w:type="dxa"/>
                  <w:tcBorders>
                    <w:tl2br w:val="nil"/>
                    <w:tr2bl w:val="nil"/>
                  </w:tcBorders>
                  <w:vAlign w:val="center"/>
                </w:tcPr>
                <w:p w14:paraId="6055672A">
                  <w:pPr>
                    <w:jc w:val="center"/>
                    <w:rPr>
                      <w:rFonts w:hint="default"/>
                      <w:b w:val="0"/>
                      <w:bCs w:val="0"/>
                      <w:vertAlign w:val="baseline"/>
                      <w:lang w:val="en-US" w:eastAsia="zh-CN"/>
                    </w:rPr>
                  </w:pPr>
                  <w:r>
                    <w:rPr>
                      <w:rFonts w:hint="eastAsia"/>
                      <w:b w:val="0"/>
                      <w:bCs w:val="0"/>
                      <w:vertAlign w:val="baseline"/>
                      <w:lang w:val="en-US" w:eastAsia="zh-CN"/>
                    </w:rPr>
                    <w:t>0.69</w:t>
                  </w:r>
                </w:p>
              </w:tc>
              <w:tc>
                <w:tcPr>
                  <w:tcW w:w="637" w:type="dxa"/>
                  <w:tcBorders>
                    <w:tl2br w:val="nil"/>
                    <w:tr2bl w:val="nil"/>
                  </w:tcBorders>
                  <w:vAlign w:val="center"/>
                </w:tcPr>
                <w:p w14:paraId="0A02817F">
                  <w:pPr>
                    <w:jc w:val="center"/>
                    <w:rPr>
                      <w:rFonts w:hint="default"/>
                      <w:b w:val="0"/>
                      <w:bCs w:val="0"/>
                      <w:vertAlign w:val="baseline"/>
                      <w:lang w:val="en-US" w:eastAsia="zh-CN"/>
                    </w:rPr>
                  </w:pPr>
                  <w:r>
                    <w:rPr>
                      <w:rFonts w:hint="eastAsia"/>
                      <w:b w:val="0"/>
                      <w:bCs w:val="0"/>
                      <w:vertAlign w:val="baseline"/>
                      <w:lang w:val="en-US" w:eastAsia="zh-CN"/>
                    </w:rPr>
                    <w:t>4.94</w:t>
                  </w:r>
                </w:p>
              </w:tc>
              <w:tc>
                <w:tcPr>
                  <w:tcW w:w="1313" w:type="dxa"/>
                  <w:tcBorders>
                    <w:tl2br w:val="nil"/>
                    <w:tr2bl w:val="nil"/>
                  </w:tcBorders>
                  <w:vAlign w:val="center"/>
                </w:tcPr>
                <w:p w14:paraId="485A3D32">
                  <w:pPr>
                    <w:jc w:val="center"/>
                    <w:rPr>
                      <w:rFonts w:hint="default"/>
                      <w:b w:val="0"/>
                      <w:bCs w:val="0"/>
                      <w:vertAlign w:val="baseline"/>
                      <w:lang w:val="en-US" w:eastAsia="zh-CN"/>
                    </w:rPr>
                  </w:pPr>
                  <w:r>
                    <w:rPr>
                      <w:rFonts w:hint="default" w:ascii="Times New Roman" w:hAnsi="Times New Roman" w:cs="Times New Roman"/>
                    </w:rPr>
                    <w:t>水喷淋+二级干式过滤+活性炭吸附脱附+催化燃烧</w:t>
                  </w:r>
                </w:p>
              </w:tc>
              <w:tc>
                <w:tcPr>
                  <w:tcW w:w="645" w:type="dxa"/>
                  <w:tcBorders>
                    <w:tl2br w:val="nil"/>
                    <w:tr2bl w:val="nil"/>
                  </w:tcBorders>
                  <w:vAlign w:val="center"/>
                </w:tcPr>
                <w:p w14:paraId="591A1AB5">
                  <w:pPr>
                    <w:jc w:val="center"/>
                    <w:rPr>
                      <w:rFonts w:hint="default"/>
                      <w:b w:val="0"/>
                      <w:bCs w:val="0"/>
                      <w:vertAlign w:val="baseline"/>
                      <w:lang w:val="en-US" w:eastAsia="zh-CN"/>
                    </w:rPr>
                  </w:pPr>
                  <w:r>
                    <w:rPr>
                      <w:rFonts w:hint="eastAsia"/>
                      <w:b w:val="0"/>
                      <w:bCs w:val="0"/>
                      <w:vertAlign w:val="baseline"/>
                      <w:lang w:val="en-US" w:eastAsia="zh-CN"/>
                    </w:rPr>
                    <w:t>90%</w:t>
                  </w:r>
                </w:p>
              </w:tc>
              <w:tc>
                <w:tcPr>
                  <w:tcW w:w="855" w:type="dxa"/>
                  <w:tcBorders>
                    <w:tl2br w:val="nil"/>
                    <w:tr2bl w:val="nil"/>
                  </w:tcBorders>
                  <w:vAlign w:val="center"/>
                </w:tcPr>
                <w:p w14:paraId="521E84C6">
                  <w:pPr>
                    <w:jc w:val="center"/>
                    <w:rPr>
                      <w:rFonts w:hint="default"/>
                      <w:b w:val="0"/>
                      <w:bCs w:val="0"/>
                      <w:vertAlign w:val="baseline"/>
                      <w:lang w:val="en-US" w:eastAsia="zh-CN"/>
                    </w:rPr>
                  </w:pPr>
                  <w:r>
                    <w:rPr>
                      <w:rFonts w:hint="eastAsia"/>
                      <w:b w:val="0"/>
                      <w:bCs w:val="0"/>
                      <w:vertAlign w:val="baseline"/>
                      <w:lang w:val="en-US" w:eastAsia="zh-CN"/>
                    </w:rPr>
                    <w:t>5.05</w:t>
                  </w:r>
                </w:p>
              </w:tc>
              <w:tc>
                <w:tcPr>
                  <w:tcW w:w="720" w:type="dxa"/>
                  <w:tcBorders>
                    <w:tl2br w:val="nil"/>
                    <w:tr2bl w:val="nil"/>
                  </w:tcBorders>
                  <w:vAlign w:val="center"/>
                </w:tcPr>
                <w:p w14:paraId="1470983E">
                  <w:pPr>
                    <w:jc w:val="center"/>
                    <w:rPr>
                      <w:rFonts w:hint="default"/>
                      <w:b w:val="0"/>
                      <w:bCs w:val="0"/>
                      <w:vertAlign w:val="baseline"/>
                      <w:lang w:val="en-US" w:eastAsia="zh-CN"/>
                    </w:rPr>
                  </w:pPr>
                  <w:r>
                    <w:rPr>
                      <w:rFonts w:hint="eastAsia"/>
                      <w:b w:val="0"/>
                      <w:bCs w:val="0"/>
                      <w:vertAlign w:val="baseline"/>
                      <w:lang w:val="en-US" w:eastAsia="zh-CN"/>
                    </w:rPr>
                    <w:t>0.069</w:t>
                  </w:r>
                </w:p>
              </w:tc>
              <w:tc>
                <w:tcPr>
                  <w:tcW w:w="721" w:type="dxa"/>
                  <w:tcBorders>
                    <w:tl2br w:val="nil"/>
                    <w:tr2bl w:val="nil"/>
                  </w:tcBorders>
                  <w:vAlign w:val="center"/>
                </w:tcPr>
                <w:p w14:paraId="75A8ECE7">
                  <w:pPr>
                    <w:jc w:val="center"/>
                    <w:rPr>
                      <w:rFonts w:hint="default"/>
                      <w:b w:val="0"/>
                      <w:bCs w:val="0"/>
                      <w:vertAlign w:val="baseline"/>
                      <w:lang w:val="en-US" w:eastAsia="zh-CN"/>
                    </w:rPr>
                  </w:pPr>
                  <w:r>
                    <w:rPr>
                      <w:rFonts w:hint="eastAsia"/>
                      <w:b w:val="0"/>
                      <w:bCs w:val="0"/>
                      <w:vertAlign w:val="baseline"/>
                      <w:lang w:val="en-US" w:eastAsia="zh-CN"/>
                    </w:rPr>
                    <w:t>0.494</w:t>
                  </w:r>
                </w:p>
              </w:tc>
            </w:tr>
          </w:tbl>
          <w:p w14:paraId="4E45E693">
            <w:pPr>
              <w:keepNext w:val="0"/>
              <w:keepLines w:val="0"/>
              <w:pageBreakBefore w:val="0"/>
              <w:widowControl w:val="0"/>
              <w:numPr>
                <w:ilvl w:val="1"/>
                <w:numId w:val="0"/>
              </w:numPr>
              <w:kinsoku/>
              <w:wordWrap/>
              <w:overflowPunct/>
              <w:topLinePunct w:val="0"/>
              <w:autoSpaceDE/>
              <w:autoSpaceDN/>
              <w:bidi w:val="0"/>
              <w:adjustRightInd/>
              <w:snapToGrid w:val="0"/>
              <w:spacing w:before="148" w:beforeLines="50" w:beforeAutospacing="0" w:afterAutospacing="0" w:line="240" w:lineRule="auto"/>
              <w:jc w:val="center"/>
              <w:textAlignment w:val="auto"/>
              <w:rPr>
                <w:rFonts w:hint="default" w:ascii="Times New Roman" w:hAnsi="Times New Roman" w:cs="Times New Roman"/>
                <w:b/>
                <w:bCs/>
                <w:color w:val="auto"/>
                <w:sz w:val="21"/>
                <w:szCs w:val="21"/>
                <w:highlight w:val="none"/>
              </w:rPr>
            </w:pPr>
          </w:p>
          <w:p w14:paraId="177C48C5">
            <w:pPr>
              <w:keepNext w:val="0"/>
              <w:keepLines w:val="0"/>
              <w:pageBreakBefore w:val="0"/>
              <w:widowControl w:val="0"/>
              <w:numPr>
                <w:ilvl w:val="1"/>
                <w:numId w:val="0"/>
              </w:numPr>
              <w:kinsoku/>
              <w:wordWrap/>
              <w:overflowPunct/>
              <w:topLinePunct w:val="0"/>
              <w:autoSpaceDE/>
              <w:autoSpaceDN/>
              <w:bidi w:val="0"/>
              <w:adjustRightInd/>
              <w:snapToGrid w:val="0"/>
              <w:spacing w:before="148" w:beforeLines="50" w:beforeAutospacing="0" w:afterAutospacing="0" w:line="240" w:lineRule="auto"/>
              <w:jc w:val="center"/>
              <w:textAlignment w:val="auto"/>
              <w:rPr>
                <w:rFonts w:hint="default" w:ascii="Times New Roman" w:hAnsi="Times New Roman" w:cs="Times New Roman"/>
                <w:b/>
                <w:bCs/>
                <w:color w:val="auto"/>
                <w:sz w:val="21"/>
                <w:szCs w:val="21"/>
                <w:highlight w:val="none"/>
              </w:rPr>
            </w:pPr>
          </w:p>
          <w:p w14:paraId="53F1EFF4">
            <w:pPr>
              <w:keepNext w:val="0"/>
              <w:keepLines w:val="0"/>
              <w:pageBreakBefore w:val="0"/>
              <w:widowControl w:val="0"/>
              <w:numPr>
                <w:ilvl w:val="1"/>
                <w:numId w:val="0"/>
              </w:numPr>
              <w:kinsoku/>
              <w:wordWrap/>
              <w:overflowPunct/>
              <w:topLinePunct w:val="0"/>
              <w:autoSpaceDE/>
              <w:autoSpaceDN/>
              <w:bidi w:val="0"/>
              <w:adjustRightInd/>
              <w:snapToGrid w:val="0"/>
              <w:spacing w:before="148" w:beforeLines="50" w:beforeAutospacing="0" w:afterAutospacing="0" w:line="240" w:lineRule="auto"/>
              <w:jc w:val="center"/>
              <w:textAlignment w:val="auto"/>
              <w:rPr>
                <w:rFonts w:hint="default" w:ascii="Times New Roman" w:hAnsi="Times New Roman" w:cs="Times New Roman"/>
                <w:b/>
                <w:bCs/>
                <w:color w:val="auto"/>
                <w:sz w:val="21"/>
                <w:szCs w:val="21"/>
                <w:highlight w:val="none"/>
              </w:rPr>
            </w:pPr>
          </w:p>
          <w:p w14:paraId="6088A0B6">
            <w:pPr>
              <w:keepNext w:val="0"/>
              <w:keepLines w:val="0"/>
              <w:pageBreakBefore w:val="0"/>
              <w:widowControl w:val="0"/>
              <w:numPr>
                <w:ilvl w:val="1"/>
                <w:numId w:val="0"/>
              </w:numPr>
              <w:kinsoku/>
              <w:wordWrap/>
              <w:overflowPunct/>
              <w:topLinePunct w:val="0"/>
              <w:autoSpaceDE/>
              <w:autoSpaceDN/>
              <w:bidi w:val="0"/>
              <w:adjustRightInd/>
              <w:snapToGrid w:val="0"/>
              <w:spacing w:before="148" w:beforeLines="50" w:beforeAutospacing="0" w:afterAutospacing="0" w:line="240" w:lineRule="auto"/>
              <w:jc w:val="center"/>
              <w:textAlignment w:val="auto"/>
              <w:rPr>
                <w:rFonts w:hint="default" w:ascii="Times New Roman" w:hAnsi="Times New Roman" w:cs="Times New Roman"/>
                <w:b/>
                <w:bCs/>
                <w:color w:val="auto"/>
                <w:sz w:val="21"/>
                <w:szCs w:val="21"/>
                <w:highlight w:val="none"/>
              </w:rPr>
            </w:pPr>
          </w:p>
          <w:p w14:paraId="46E1BED0">
            <w:pPr>
              <w:keepNext w:val="0"/>
              <w:keepLines w:val="0"/>
              <w:pageBreakBefore w:val="0"/>
              <w:widowControl w:val="0"/>
              <w:numPr>
                <w:ilvl w:val="1"/>
                <w:numId w:val="0"/>
              </w:numPr>
              <w:kinsoku/>
              <w:wordWrap/>
              <w:overflowPunct/>
              <w:topLinePunct w:val="0"/>
              <w:autoSpaceDE/>
              <w:autoSpaceDN/>
              <w:bidi w:val="0"/>
              <w:adjustRightInd/>
              <w:snapToGrid w:val="0"/>
              <w:spacing w:before="148" w:beforeLines="50" w:beforeAutospacing="0" w:afterAutospacing="0" w:line="240" w:lineRule="auto"/>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表4-</w:t>
            </w:r>
            <w:r>
              <w:rPr>
                <w:rFonts w:hint="eastAsia" w:cs="Times New Roman"/>
                <w:b/>
                <w:bCs/>
                <w:color w:val="auto"/>
                <w:sz w:val="21"/>
                <w:szCs w:val="21"/>
                <w:highlight w:val="none"/>
                <w:lang w:val="en-US" w:eastAsia="zh-CN"/>
              </w:rPr>
              <w:t>4</w:t>
            </w:r>
            <w:r>
              <w:rPr>
                <w:rFonts w:hint="default" w:ascii="Times New Roman" w:hAnsi="Times New Roman" w:cs="Times New Roman"/>
                <w:b/>
                <w:bCs/>
                <w:color w:val="auto"/>
                <w:sz w:val="21"/>
                <w:szCs w:val="21"/>
                <w:highlight w:val="none"/>
              </w:rPr>
              <w:t xml:space="preserve"> 本项目废气排放口基本情况表</w:t>
            </w:r>
          </w:p>
          <w:tbl>
            <w:tblPr>
              <w:tblStyle w:val="31"/>
              <w:tblW w:w="851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74"/>
              <w:gridCol w:w="915"/>
              <w:gridCol w:w="960"/>
              <w:gridCol w:w="1309"/>
              <w:gridCol w:w="1358"/>
              <w:gridCol w:w="761"/>
              <w:gridCol w:w="876"/>
              <w:gridCol w:w="775"/>
              <w:gridCol w:w="690"/>
            </w:tblGrid>
            <w:tr w14:paraId="74F122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4" w:type="dxa"/>
                  <w:vMerge w:val="restart"/>
                  <w:tcBorders>
                    <w:tl2br w:val="nil"/>
                    <w:tr2bl w:val="nil"/>
                  </w:tcBorders>
                  <w:noWrap w:val="0"/>
                  <w:vAlign w:val="center"/>
                </w:tcPr>
                <w:p w14:paraId="2F5A5BB8">
                  <w:pPr>
                    <w:pStyle w:val="16"/>
                    <w:widowControl w:val="0"/>
                    <w:numPr>
                      <w:ilvl w:val="0"/>
                      <w:numId w:val="0"/>
                    </w:numPr>
                    <w:jc w:val="center"/>
                    <w:rPr>
                      <w:rFonts w:hint="eastAsia" w:ascii="Times New Roman" w:hAnsi="Times New Roman" w:eastAsia="宋体" w:cs="Times New Roman"/>
                      <w:b/>
                      <w:bCs/>
                      <w:kern w:val="2"/>
                      <w:sz w:val="21"/>
                      <w:szCs w:val="21"/>
                      <w:vertAlign w:val="baseline"/>
                      <w:lang w:val="en-US" w:eastAsia="zh-CN" w:bidi="ar-SA"/>
                    </w:rPr>
                  </w:pPr>
                  <w:r>
                    <w:rPr>
                      <w:rFonts w:hint="eastAsia"/>
                      <w:b/>
                      <w:bCs/>
                      <w:szCs w:val="21"/>
                    </w:rPr>
                    <w:t>排气筒编号</w:t>
                  </w:r>
                </w:p>
              </w:tc>
              <w:tc>
                <w:tcPr>
                  <w:tcW w:w="915" w:type="dxa"/>
                  <w:vMerge w:val="restart"/>
                  <w:tcBorders>
                    <w:tl2br w:val="nil"/>
                    <w:tr2bl w:val="nil"/>
                  </w:tcBorders>
                  <w:noWrap w:val="0"/>
                  <w:vAlign w:val="center"/>
                </w:tcPr>
                <w:p w14:paraId="06E2B397">
                  <w:pPr>
                    <w:pStyle w:val="16"/>
                    <w:widowControl w:val="0"/>
                    <w:numPr>
                      <w:ilvl w:val="0"/>
                      <w:numId w:val="0"/>
                    </w:numPr>
                    <w:jc w:val="center"/>
                    <w:rPr>
                      <w:rFonts w:hint="eastAsia" w:ascii="Times New Roman" w:hAnsi="Times New Roman" w:eastAsia="宋体" w:cs="Times New Roman"/>
                      <w:b/>
                      <w:bCs/>
                      <w:kern w:val="2"/>
                      <w:sz w:val="21"/>
                      <w:szCs w:val="21"/>
                      <w:vertAlign w:val="baseline"/>
                      <w:lang w:val="en-US" w:eastAsia="zh-CN" w:bidi="ar-SA"/>
                    </w:rPr>
                  </w:pPr>
                  <w:r>
                    <w:rPr>
                      <w:rFonts w:hint="eastAsia"/>
                      <w:b/>
                      <w:bCs/>
                      <w:szCs w:val="21"/>
                    </w:rPr>
                    <w:t>排放口类型</w:t>
                  </w:r>
                </w:p>
              </w:tc>
              <w:tc>
                <w:tcPr>
                  <w:tcW w:w="960" w:type="dxa"/>
                  <w:vMerge w:val="restart"/>
                  <w:tcBorders>
                    <w:tl2br w:val="nil"/>
                    <w:tr2bl w:val="nil"/>
                  </w:tcBorders>
                  <w:noWrap w:val="0"/>
                  <w:vAlign w:val="center"/>
                </w:tcPr>
                <w:p w14:paraId="5E45C1F0">
                  <w:pPr>
                    <w:pStyle w:val="16"/>
                    <w:widowControl w:val="0"/>
                    <w:numPr>
                      <w:ilvl w:val="0"/>
                      <w:numId w:val="0"/>
                    </w:numPr>
                    <w:jc w:val="center"/>
                    <w:rPr>
                      <w:rFonts w:hint="eastAsia" w:ascii="Times New Roman" w:hAnsi="Times New Roman" w:eastAsia="宋体" w:cs="Times New Roman"/>
                      <w:b/>
                      <w:bCs/>
                      <w:kern w:val="2"/>
                      <w:sz w:val="21"/>
                      <w:szCs w:val="21"/>
                      <w:vertAlign w:val="baseline"/>
                      <w:lang w:val="en-US" w:eastAsia="zh-CN" w:bidi="ar-SA"/>
                    </w:rPr>
                  </w:pPr>
                  <w:r>
                    <w:rPr>
                      <w:rFonts w:hint="eastAsia"/>
                      <w:b/>
                      <w:bCs/>
                      <w:szCs w:val="21"/>
                    </w:rPr>
                    <w:t>污染物名称</w:t>
                  </w:r>
                </w:p>
              </w:tc>
              <w:tc>
                <w:tcPr>
                  <w:tcW w:w="2667" w:type="dxa"/>
                  <w:gridSpan w:val="2"/>
                  <w:tcBorders>
                    <w:tl2br w:val="nil"/>
                    <w:tr2bl w:val="nil"/>
                  </w:tcBorders>
                  <w:noWrap w:val="0"/>
                  <w:vAlign w:val="center"/>
                </w:tcPr>
                <w:p w14:paraId="136A67A1">
                  <w:pPr>
                    <w:pStyle w:val="16"/>
                    <w:widowControl w:val="0"/>
                    <w:numPr>
                      <w:ilvl w:val="0"/>
                      <w:numId w:val="0"/>
                    </w:numPr>
                    <w:jc w:val="center"/>
                    <w:rPr>
                      <w:rFonts w:hint="eastAsia" w:ascii="Times New Roman" w:hAnsi="Times New Roman" w:eastAsia="宋体" w:cs="Times New Roman"/>
                      <w:b/>
                      <w:bCs/>
                      <w:kern w:val="2"/>
                      <w:sz w:val="21"/>
                      <w:szCs w:val="21"/>
                      <w:vertAlign w:val="baseline"/>
                      <w:lang w:val="en-US" w:eastAsia="zh-CN" w:bidi="ar-SA"/>
                    </w:rPr>
                  </w:pPr>
                  <w:r>
                    <w:rPr>
                      <w:rFonts w:hint="eastAsia"/>
                      <w:b/>
                      <w:bCs/>
                      <w:szCs w:val="21"/>
                    </w:rPr>
                    <w:t>地理坐标</w:t>
                  </w:r>
                </w:p>
              </w:tc>
              <w:tc>
                <w:tcPr>
                  <w:tcW w:w="3102" w:type="dxa"/>
                  <w:gridSpan w:val="4"/>
                  <w:tcBorders>
                    <w:tl2br w:val="nil"/>
                    <w:tr2bl w:val="nil"/>
                  </w:tcBorders>
                  <w:noWrap w:val="0"/>
                  <w:vAlign w:val="center"/>
                </w:tcPr>
                <w:p w14:paraId="60BAA0A0">
                  <w:pPr>
                    <w:pStyle w:val="16"/>
                    <w:widowControl w:val="0"/>
                    <w:numPr>
                      <w:ilvl w:val="0"/>
                      <w:numId w:val="0"/>
                    </w:numPr>
                    <w:jc w:val="center"/>
                    <w:rPr>
                      <w:rFonts w:hint="eastAsia" w:ascii="Times New Roman" w:hAnsi="Times New Roman" w:eastAsia="宋体" w:cs="Times New Roman"/>
                      <w:b/>
                      <w:bCs/>
                      <w:kern w:val="2"/>
                      <w:sz w:val="21"/>
                      <w:szCs w:val="21"/>
                      <w:vertAlign w:val="baseline"/>
                      <w:lang w:val="en-US" w:eastAsia="zh-CN" w:bidi="ar-SA"/>
                    </w:rPr>
                  </w:pPr>
                  <w:r>
                    <w:rPr>
                      <w:rFonts w:hint="eastAsia"/>
                      <w:b/>
                      <w:bCs/>
                    </w:rPr>
                    <w:t>排气筒参数</w:t>
                  </w:r>
                </w:p>
              </w:tc>
            </w:tr>
            <w:tr w14:paraId="4C4B2E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4" w:type="dxa"/>
                  <w:vMerge w:val="continue"/>
                  <w:tcBorders>
                    <w:tl2br w:val="nil"/>
                    <w:tr2bl w:val="nil"/>
                  </w:tcBorders>
                  <w:noWrap w:val="0"/>
                  <w:vAlign w:val="center"/>
                </w:tcPr>
                <w:p w14:paraId="7730F657">
                  <w:pPr>
                    <w:pStyle w:val="16"/>
                    <w:widowControl w:val="0"/>
                    <w:numPr>
                      <w:ilvl w:val="0"/>
                      <w:numId w:val="0"/>
                    </w:numPr>
                    <w:jc w:val="center"/>
                    <w:rPr>
                      <w:rFonts w:hint="eastAsia" w:ascii="Times New Roman" w:hAnsi="Times New Roman" w:eastAsia="宋体" w:cs="Times New Roman"/>
                      <w:b/>
                      <w:bCs/>
                      <w:kern w:val="2"/>
                      <w:sz w:val="21"/>
                      <w:szCs w:val="21"/>
                      <w:vertAlign w:val="baseline"/>
                      <w:lang w:val="en-US" w:eastAsia="zh-CN" w:bidi="ar-SA"/>
                    </w:rPr>
                  </w:pPr>
                </w:p>
              </w:tc>
              <w:tc>
                <w:tcPr>
                  <w:tcW w:w="915" w:type="dxa"/>
                  <w:vMerge w:val="continue"/>
                  <w:tcBorders>
                    <w:tl2br w:val="nil"/>
                    <w:tr2bl w:val="nil"/>
                  </w:tcBorders>
                  <w:noWrap w:val="0"/>
                  <w:vAlign w:val="center"/>
                </w:tcPr>
                <w:p w14:paraId="5AC4DFDC">
                  <w:pPr>
                    <w:pStyle w:val="16"/>
                    <w:widowControl w:val="0"/>
                    <w:numPr>
                      <w:ilvl w:val="0"/>
                      <w:numId w:val="0"/>
                    </w:numPr>
                    <w:jc w:val="center"/>
                    <w:rPr>
                      <w:rFonts w:hint="eastAsia" w:ascii="Times New Roman" w:hAnsi="Times New Roman" w:eastAsia="宋体" w:cs="Times New Roman"/>
                      <w:b/>
                      <w:bCs/>
                      <w:kern w:val="2"/>
                      <w:sz w:val="21"/>
                      <w:szCs w:val="21"/>
                      <w:vertAlign w:val="baseline"/>
                      <w:lang w:val="en-US" w:eastAsia="zh-CN" w:bidi="ar-SA"/>
                    </w:rPr>
                  </w:pPr>
                </w:p>
              </w:tc>
              <w:tc>
                <w:tcPr>
                  <w:tcW w:w="960" w:type="dxa"/>
                  <w:vMerge w:val="continue"/>
                  <w:tcBorders>
                    <w:tl2br w:val="nil"/>
                    <w:tr2bl w:val="nil"/>
                  </w:tcBorders>
                  <w:noWrap w:val="0"/>
                  <w:vAlign w:val="center"/>
                </w:tcPr>
                <w:p w14:paraId="1E3758B3">
                  <w:pPr>
                    <w:pStyle w:val="16"/>
                    <w:widowControl w:val="0"/>
                    <w:numPr>
                      <w:ilvl w:val="0"/>
                      <w:numId w:val="0"/>
                    </w:numPr>
                    <w:jc w:val="center"/>
                    <w:rPr>
                      <w:rFonts w:hint="eastAsia" w:ascii="Times New Roman" w:hAnsi="Times New Roman" w:eastAsia="宋体" w:cs="Times New Roman"/>
                      <w:b/>
                      <w:bCs/>
                      <w:kern w:val="2"/>
                      <w:sz w:val="21"/>
                      <w:szCs w:val="21"/>
                      <w:vertAlign w:val="baseline"/>
                      <w:lang w:val="en-US" w:eastAsia="zh-CN" w:bidi="ar-SA"/>
                    </w:rPr>
                  </w:pPr>
                </w:p>
              </w:tc>
              <w:tc>
                <w:tcPr>
                  <w:tcW w:w="1309" w:type="dxa"/>
                  <w:tcBorders>
                    <w:tl2br w:val="nil"/>
                    <w:tr2bl w:val="nil"/>
                  </w:tcBorders>
                  <w:noWrap w:val="0"/>
                  <w:vAlign w:val="center"/>
                </w:tcPr>
                <w:p w14:paraId="79478CFB">
                  <w:pPr>
                    <w:pStyle w:val="16"/>
                    <w:widowControl w:val="0"/>
                    <w:numPr>
                      <w:ilvl w:val="0"/>
                      <w:numId w:val="0"/>
                    </w:numPr>
                    <w:jc w:val="center"/>
                    <w:rPr>
                      <w:rFonts w:hint="eastAsia" w:ascii="Times New Roman" w:hAnsi="Times New Roman" w:eastAsia="宋体" w:cs="Times New Roman"/>
                      <w:b/>
                      <w:bCs/>
                      <w:kern w:val="2"/>
                      <w:sz w:val="21"/>
                      <w:szCs w:val="21"/>
                      <w:vertAlign w:val="baseline"/>
                      <w:lang w:val="en-US" w:eastAsia="zh-CN" w:bidi="ar-SA"/>
                    </w:rPr>
                  </w:pPr>
                  <w:r>
                    <w:rPr>
                      <w:b/>
                      <w:bCs/>
                      <w:szCs w:val="21"/>
                    </w:rPr>
                    <w:t>经度</w:t>
                  </w:r>
                </w:p>
              </w:tc>
              <w:tc>
                <w:tcPr>
                  <w:tcW w:w="1358" w:type="dxa"/>
                  <w:tcBorders>
                    <w:tl2br w:val="nil"/>
                    <w:tr2bl w:val="nil"/>
                  </w:tcBorders>
                  <w:noWrap w:val="0"/>
                  <w:vAlign w:val="center"/>
                </w:tcPr>
                <w:p w14:paraId="73FD7179">
                  <w:pPr>
                    <w:pStyle w:val="16"/>
                    <w:widowControl w:val="0"/>
                    <w:numPr>
                      <w:ilvl w:val="0"/>
                      <w:numId w:val="0"/>
                    </w:numPr>
                    <w:jc w:val="center"/>
                    <w:rPr>
                      <w:rFonts w:hint="eastAsia" w:ascii="Times New Roman" w:hAnsi="Times New Roman" w:eastAsia="宋体" w:cs="Times New Roman"/>
                      <w:b/>
                      <w:bCs/>
                      <w:kern w:val="2"/>
                      <w:sz w:val="21"/>
                      <w:szCs w:val="21"/>
                      <w:vertAlign w:val="baseline"/>
                      <w:lang w:val="en-US" w:eastAsia="zh-CN" w:bidi="ar-SA"/>
                    </w:rPr>
                  </w:pPr>
                  <w:r>
                    <w:rPr>
                      <w:b/>
                      <w:bCs/>
                      <w:szCs w:val="21"/>
                    </w:rPr>
                    <w:t>纬度</w:t>
                  </w:r>
                </w:p>
              </w:tc>
              <w:tc>
                <w:tcPr>
                  <w:tcW w:w="761" w:type="dxa"/>
                  <w:tcBorders>
                    <w:tl2br w:val="nil"/>
                    <w:tr2bl w:val="nil"/>
                  </w:tcBorders>
                  <w:noWrap w:val="0"/>
                  <w:vAlign w:val="center"/>
                </w:tcPr>
                <w:p w14:paraId="37182833">
                  <w:pPr>
                    <w:pStyle w:val="16"/>
                    <w:widowControl w:val="0"/>
                    <w:numPr>
                      <w:ilvl w:val="0"/>
                      <w:numId w:val="0"/>
                    </w:numPr>
                    <w:jc w:val="center"/>
                    <w:rPr>
                      <w:rFonts w:hint="eastAsia" w:ascii="Times New Roman" w:hAnsi="Times New Roman" w:eastAsia="宋体" w:cs="Times New Roman"/>
                      <w:b/>
                      <w:bCs/>
                      <w:kern w:val="2"/>
                      <w:sz w:val="21"/>
                      <w:szCs w:val="21"/>
                      <w:vertAlign w:val="baseline"/>
                      <w:lang w:val="en-US" w:eastAsia="zh-CN" w:bidi="ar-SA"/>
                    </w:rPr>
                  </w:pPr>
                  <w:r>
                    <w:rPr>
                      <w:rFonts w:hint="eastAsia"/>
                      <w:b/>
                      <w:bCs/>
                      <w:szCs w:val="21"/>
                    </w:rPr>
                    <w:t>排气筒高度/m</w:t>
                  </w:r>
                </w:p>
              </w:tc>
              <w:tc>
                <w:tcPr>
                  <w:tcW w:w="876" w:type="dxa"/>
                  <w:tcBorders>
                    <w:tl2br w:val="nil"/>
                    <w:tr2bl w:val="nil"/>
                  </w:tcBorders>
                  <w:noWrap w:val="0"/>
                  <w:vAlign w:val="center"/>
                </w:tcPr>
                <w:p w14:paraId="4E62E8BA">
                  <w:pPr>
                    <w:pStyle w:val="16"/>
                    <w:widowControl w:val="0"/>
                    <w:numPr>
                      <w:ilvl w:val="0"/>
                      <w:numId w:val="0"/>
                    </w:numPr>
                    <w:jc w:val="center"/>
                    <w:rPr>
                      <w:rFonts w:hint="eastAsia" w:ascii="Times New Roman" w:hAnsi="Times New Roman" w:eastAsia="宋体" w:cs="Times New Roman"/>
                      <w:b/>
                      <w:bCs/>
                      <w:kern w:val="2"/>
                      <w:sz w:val="21"/>
                      <w:szCs w:val="21"/>
                      <w:vertAlign w:val="baseline"/>
                      <w:lang w:val="en-US" w:eastAsia="zh-CN" w:bidi="ar-SA"/>
                    </w:rPr>
                  </w:pPr>
                  <w:r>
                    <w:rPr>
                      <w:rFonts w:hint="eastAsia"/>
                      <w:b/>
                      <w:bCs/>
                      <w:szCs w:val="21"/>
                    </w:rPr>
                    <w:t>排气筒出口内径/m</w:t>
                  </w:r>
                </w:p>
              </w:tc>
              <w:tc>
                <w:tcPr>
                  <w:tcW w:w="775" w:type="dxa"/>
                  <w:tcBorders>
                    <w:tl2br w:val="nil"/>
                    <w:tr2bl w:val="nil"/>
                  </w:tcBorders>
                  <w:noWrap w:val="0"/>
                  <w:vAlign w:val="center"/>
                </w:tcPr>
                <w:p w14:paraId="074AA7A4">
                  <w:pPr>
                    <w:pStyle w:val="16"/>
                    <w:widowControl w:val="0"/>
                    <w:numPr>
                      <w:ilvl w:val="0"/>
                      <w:numId w:val="0"/>
                    </w:numPr>
                    <w:jc w:val="center"/>
                    <w:rPr>
                      <w:rFonts w:hint="eastAsia" w:ascii="Times New Roman" w:hAnsi="Times New Roman" w:eastAsia="宋体" w:cs="Times New Roman"/>
                      <w:b/>
                      <w:bCs/>
                      <w:kern w:val="2"/>
                      <w:sz w:val="21"/>
                      <w:szCs w:val="21"/>
                      <w:vertAlign w:val="baseline"/>
                      <w:lang w:val="en-US" w:eastAsia="zh-CN" w:bidi="ar-SA"/>
                    </w:rPr>
                  </w:pPr>
                  <w:r>
                    <w:rPr>
                      <w:rFonts w:hint="eastAsia"/>
                      <w:b/>
                      <w:bCs/>
                      <w:szCs w:val="21"/>
                    </w:rPr>
                    <w:t>排气温度/℃</w:t>
                  </w:r>
                </w:p>
              </w:tc>
              <w:tc>
                <w:tcPr>
                  <w:tcW w:w="690" w:type="dxa"/>
                  <w:tcBorders>
                    <w:tl2br w:val="nil"/>
                    <w:tr2bl w:val="nil"/>
                  </w:tcBorders>
                  <w:noWrap w:val="0"/>
                  <w:vAlign w:val="center"/>
                </w:tcPr>
                <w:p w14:paraId="2E2AC0CB">
                  <w:pPr>
                    <w:pStyle w:val="16"/>
                    <w:widowControl w:val="0"/>
                    <w:numPr>
                      <w:ilvl w:val="0"/>
                      <w:numId w:val="0"/>
                    </w:numPr>
                    <w:jc w:val="center"/>
                    <w:rPr>
                      <w:rFonts w:hint="eastAsia" w:ascii="Times New Roman" w:hAnsi="Times New Roman" w:eastAsia="宋体" w:cs="Times New Roman"/>
                      <w:b/>
                      <w:bCs/>
                      <w:kern w:val="2"/>
                      <w:sz w:val="21"/>
                      <w:szCs w:val="21"/>
                      <w:vertAlign w:val="baseline"/>
                      <w:lang w:val="en-US" w:eastAsia="zh-CN" w:bidi="ar-SA"/>
                    </w:rPr>
                  </w:pPr>
                  <w:r>
                    <w:rPr>
                      <w:rFonts w:hint="eastAsia"/>
                      <w:b/>
                      <w:bCs/>
                    </w:rPr>
                    <w:t>流速/m/s</w:t>
                  </w:r>
                </w:p>
              </w:tc>
            </w:tr>
            <w:tr w14:paraId="3237EB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4" w:type="dxa"/>
                  <w:tcBorders>
                    <w:tl2br w:val="nil"/>
                    <w:tr2bl w:val="nil"/>
                  </w:tcBorders>
                  <w:noWrap w:val="0"/>
                  <w:vAlign w:val="center"/>
                </w:tcPr>
                <w:p w14:paraId="11D45D3C">
                  <w:pPr>
                    <w:pStyle w:val="16"/>
                    <w:widowControl w:val="0"/>
                    <w:numPr>
                      <w:ilvl w:val="0"/>
                      <w:numId w:val="0"/>
                    </w:numPr>
                    <w:jc w:val="center"/>
                    <w:rPr>
                      <w:rFonts w:hint="default" w:ascii="Times New Roman" w:hAnsi="Times New Roman" w:eastAsia="宋体" w:cs="Times New Roman"/>
                      <w:b w:val="0"/>
                      <w:bCs w:val="0"/>
                      <w:kern w:val="2"/>
                      <w:sz w:val="21"/>
                      <w:szCs w:val="21"/>
                      <w:vertAlign w:val="baseline"/>
                      <w:lang w:val="en-US" w:eastAsia="zh-CN" w:bidi="ar-SA"/>
                    </w:rPr>
                  </w:pPr>
                  <w:r>
                    <w:rPr>
                      <w:rFonts w:hint="eastAsia" w:cs="Times New Roman"/>
                      <w:b w:val="0"/>
                      <w:bCs w:val="0"/>
                      <w:kern w:val="2"/>
                      <w:sz w:val="21"/>
                      <w:szCs w:val="21"/>
                      <w:vertAlign w:val="baseline"/>
                      <w:lang w:val="en-US" w:eastAsia="zh-CN" w:bidi="ar-SA"/>
                    </w:rPr>
                    <w:t>DA002</w:t>
                  </w:r>
                </w:p>
              </w:tc>
              <w:tc>
                <w:tcPr>
                  <w:tcW w:w="915" w:type="dxa"/>
                  <w:tcBorders>
                    <w:tl2br w:val="nil"/>
                    <w:tr2bl w:val="nil"/>
                  </w:tcBorders>
                  <w:noWrap w:val="0"/>
                  <w:vAlign w:val="center"/>
                </w:tcPr>
                <w:p w14:paraId="5D327BD0">
                  <w:pPr>
                    <w:pStyle w:val="16"/>
                    <w:widowControl w:val="0"/>
                    <w:numPr>
                      <w:ilvl w:val="0"/>
                      <w:numId w:val="0"/>
                    </w:numPr>
                    <w:jc w:val="center"/>
                    <w:rPr>
                      <w:rFonts w:hint="default" w:ascii="Times New Roman" w:hAnsi="Times New Roman" w:eastAsia="宋体" w:cs="Times New Roman"/>
                      <w:b w:val="0"/>
                      <w:bCs w:val="0"/>
                      <w:kern w:val="2"/>
                      <w:sz w:val="21"/>
                      <w:szCs w:val="21"/>
                      <w:vertAlign w:val="baseline"/>
                      <w:lang w:val="en-US" w:eastAsia="zh-CN" w:bidi="ar-SA"/>
                    </w:rPr>
                  </w:pPr>
                  <w:r>
                    <w:rPr>
                      <w:rFonts w:hint="eastAsia" w:ascii="Times New Roman" w:hAnsi="Times New Roman" w:eastAsia="宋体" w:cs="Times New Roman"/>
                      <w:b w:val="0"/>
                      <w:bCs w:val="0"/>
                      <w:kern w:val="2"/>
                      <w:sz w:val="21"/>
                      <w:szCs w:val="21"/>
                      <w:vertAlign w:val="baseline"/>
                      <w:lang w:val="en-US" w:eastAsia="zh-CN" w:bidi="ar-SA"/>
                    </w:rPr>
                    <w:t>一般排放口</w:t>
                  </w:r>
                </w:p>
              </w:tc>
              <w:tc>
                <w:tcPr>
                  <w:tcW w:w="960" w:type="dxa"/>
                  <w:tcBorders>
                    <w:tl2br w:val="nil"/>
                    <w:tr2bl w:val="nil"/>
                  </w:tcBorders>
                  <w:shd w:val="clear" w:color="auto" w:fill="auto"/>
                  <w:noWrap w:val="0"/>
                  <w:vAlign w:val="center"/>
                </w:tcPr>
                <w:p w14:paraId="421D033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4"/>
                      <w:vertAlign w:val="baseline"/>
                      <w:lang w:val="en-US" w:eastAsia="zh-CN" w:bidi="ar-SA"/>
                    </w:rPr>
                  </w:pPr>
                  <w:r>
                    <w:rPr>
                      <w:rFonts w:hint="default" w:ascii="Times New Roman" w:hAnsi="Times New Roman" w:eastAsia="宋体" w:cs="Times New Roman"/>
                      <w:color w:val="000000"/>
                      <w:sz w:val="21"/>
                      <w:szCs w:val="21"/>
                      <w:lang w:val="en-US" w:eastAsia="zh-CN"/>
                    </w:rPr>
                    <w:t>非甲烷总烃</w:t>
                  </w:r>
                </w:p>
              </w:tc>
              <w:tc>
                <w:tcPr>
                  <w:tcW w:w="1309" w:type="dxa"/>
                  <w:tcBorders>
                    <w:tl2br w:val="nil"/>
                    <w:tr2bl w:val="nil"/>
                  </w:tcBorders>
                  <w:noWrap w:val="0"/>
                  <w:vAlign w:val="center"/>
                </w:tcPr>
                <w:p w14:paraId="6F46CCE8">
                  <w:pPr>
                    <w:pStyle w:val="16"/>
                    <w:widowControl w:val="0"/>
                    <w:numPr>
                      <w:ilvl w:val="0"/>
                      <w:numId w:val="0"/>
                    </w:numPr>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kern w:val="2"/>
                      <w:sz w:val="21"/>
                      <w:szCs w:val="21"/>
                      <w:vertAlign w:val="baseline"/>
                      <w:lang w:val="en-US" w:eastAsia="zh-CN" w:bidi="ar-SA"/>
                    </w:rPr>
                    <w:t>118.</w:t>
                  </w:r>
                  <w:r>
                    <w:rPr>
                      <w:rFonts w:hint="eastAsia" w:ascii="Times New Roman" w:hAnsi="Times New Roman" w:eastAsia="宋体" w:cs="Times New Roman"/>
                      <w:b w:val="0"/>
                      <w:bCs w:val="0"/>
                      <w:kern w:val="2"/>
                      <w:sz w:val="21"/>
                      <w:szCs w:val="21"/>
                      <w:vertAlign w:val="baseline"/>
                      <w:lang w:val="en-US" w:eastAsia="zh-CN" w:bidi="ar-SA"/>
                    </w:rPr>
                    <w:t>772553</w:t>
                  </w:r>
                </w:p>
              </w:tc>
              <w:tc>
                <w:tcPr>
                  <w:tcW w:w="1358" w:type="dxa"/>
                  <w:tcBorders>
                    <w:tl2br w:val="nil"/>
                    <w:tr2bl w:val="nil"/>
                  </w:tcBorders>
                  <w:noWrap w:val="0"/>
                  <w:vAlign w:val="center"/>
                </w:tcPr>
                <w:p w14:paraId="4BEAE1CB">
                  <w:pPr>
                    <w:pStyle w:val="16"/>
                    <w:widowControl w:val="0"/>
                    <w:numPr>
                      <w:ilvl w:val="0"/>
                      <w:numId w:val="0"/>
                    </w:numPr>
                    <w:jc w:val="center"/>
                    <w:rPr>
                      <w:rFonts w:hint="default" w:ascii="Times New Roman" w:hAnsi="Times New Roman" w:eastAsia="宋体" w:cs="Times New Roman"/>
                      <w:b w:val="0"/>
                      <w:bCs w:val="0"/>
                      <w:kern w:val="2"/>
                      <w:sz w:val="21"/>
                      <w:szCs w:val="21"/>
                      <w:vertAlign w:val="baseline"/>
                      <w:lang w:val="en-US" w:eastAsia="zh-CN" w:bidi="ar-SA"/>
                    </w:rPr>
                  </w:pPr>
                  <w:r>
                    <w:rPr>
                      <w:rFonts w:hint="eastAsia" w:ascii="Times New Roman" w:hAnsi="Times New Roman" w:eastAsia="宋体" w:cs="Times New Roman"/>
                      <w:b w:val="0"/>
                      <w:bCs w:val="0"/>
                      <w:kern w:val="2"/>
                      <w:sz w:val="21"/>
                      <w:szCs w:val="21"/>
                      <w:vertAlign w:val="baseline"/>
                      <w:lang w:val="en-US" w:eastAsia="zh-CN" w:bidi="ar-SA"/>
                    </w:rPr>
                    <w:t>33.696574</w:t>
                  </w:r>
                </w:p>
              </w:tc>
              <w:tc>
                <w:tcPr>
                  <w:tcW w:w="761" w:type="dxa"/>
                  <w:tcBorders>
                    <w:tl2br w:val="nil"/>
                    <w:tr2bl w:val="nil"/>
                  </w:tcBorders>
                  <w:noWrap w:val="0"/>
                  <w:vAlign w:val="center"/>
                </w:tcPr>
                <w:p w14:paraId="13301665">
                  <w:pPr>
                    <w:pStyle w:val="16"/>
                    <w:widowControl w:val="0"/>
                    <w:numPr>
                      <w:ilvl w:val="0"/>
                      <w:numId w:val="0"/>
                    </w:numPr>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15</w:t>
                  </w:r>
                </w:p>
              </w:tc>
              <w:tc>
                <w:tcPr>
                  <w:tcW w:w="876" w:type="dxa"/>
                  <w:tcBorders>
                    <w:tl2br w:val="nil"/>
                    <w:tr2bl w:val="nil"/>
                  </w:tcBorders>
                  <w:noWrap w:val="0"/>
                  <w:vAlign w:val="center"/>
                </w:tcPr>
                <w:p w14:paraId="361F017E">
                  <w:pPr>
                    <w:pStyle w:val="16"/>
                    <w:widowControl w:val="0"/>
                    <w:numPr>
                      <w:ilvl w:val="0"/>
                      <w:numId w:val="0"/>
                    </w:numPr>
                    <w:jc w:val="center"/>
                    <w:rPr>
                      <w:rFonts w:hint="default" w:ascii="Times New Roman" w:hAnsi="Times New Roman" w:eastAsia="宋体" w:cs="Times New Roman"/>
                      <w:b w:val="0"/>
                      <w:bCs w:val="0"/>
                      <w:kern w:val="2"/>
                      <w:sz w:val="21"/>
                      <w:szCs w:val="21"/>
                      <w:vertAlign w:val="baseline"/>
                      <w:lang w:val="en-US" w:eastAsia="zh-CN" w:bidi="ar-SA"/>
                    </w:rPr>
                  </w:pPr>
                  <w:r>
                    <w:rPr>
                      <w:rFonts w:hint="eastAsia" w:cs="Times New Roman"/>
                      <w:b w:val="0"/>
                      <w:bCs w:val="0"/>
                      <w:kern w:val="2"/>
                      <w:sz w:val="21"/>
                      <w:szCs w:val="21"/>
                      <w:vertAlign w:val="baseline"/>
                      <w:lang w:val="en-US" w:eastAsia="zh-CN" w:bidi="ar-SA"/>
                    </w:rPr>
                    <w:t>0.5</w:t>
                  </w:r>
                </w:p>
              </w:tc>
              <w:tc>
                <w:tcPr>
                  <w:tcW w:w="775" w:type="dxa"/>
                  <w:tcBorders>
                    <w:tl2br w:val="nil"/>
                    <w:tr2bl w:val="nil"/>
                  </w:tcBorders>
                  <w:noWrap w:val="0"/>
                  <w:vAlign w:val="center"/>
                </w:tcPr>
                <w:p w14:paraId="54D586D6">
                  <w:pPr>
                    <w:pStyle w:val="16"/>
                    <w:widowControl w:val="0"/>
                    <w:numPr>
                      <w:ilvl w:val="0"/>
                      <w:numId w:val="0"/>
                    </w:numPr>
                    <w:jc w:val="center"/>
                    <w:rPr>
                      <w:rFonts w:hint="default" w:ascii="Times New Roman" w:hAnsi="Times New Roman" w:eastAsia="宋体" w:cs="Times New Roman"/>
                      <w:b w:val="0"/>
                      <w:bCs w:val="0"/>
                      <w:kern w:val="2"/>
                      <w:sz w:val="21"/>
                      <w:szCs w:val="21"/>
                      <w:vertAlign w:val="baseline"/>
                      <w:lang w:val="en-US" w:eastAsia="zh-CN" w:bidi="ar-SA"/>
                    </w:rPr>
                  </w:pPr>
                  <w:r>
                    <w:rPr>
                      <w:rFonts w:hint="eastAsia" w:cs="Times New Roman"/>
                      <w:b w:val="0"/>
                      <w:bCs w:val="0"/>
                      <w:kern w:val="2"/>
                      <w:sz w:val="21"/>
                      <w:szCs w:val="21"/>
                      <w:vertAlign w:val="baseline"/>
                      <w:lang w:val="en-US" w:eastAsia="zh-CN" w:bidi="ar-SA"/>
                    </w:rPr>
                    <w:t>30</w:t>
                  </w:r>
                </w:p>
              </w:tc>
              <w:tc>
                <w:tcPr>
                  <w:tcW w:w="690" w:type="dxa"/>
                  <w:tcBorders>
                    <w:tl2br w:val="nil"/>
                    <w:tr2bl w:val="nil"/>
                  </w:tcBorders>
                  <w:noWrap w:val="0"/>
                  <w:vAlign w:val="center"/>
                </w:tcPr>
                <w:p w14:paraId="50155B07">
                  <w:pPr>
                    <w:pStyle w:val="16"/>
                    <w:widowControl w:val="0"/>
                    <w:numPr>
                      <w:ilvl w:val="0"/>
                      <w:numId w:val="0"/>
                    </w:numPr>
                    <w:jc w:val="center"/>
                    <w:rPr>
                      <w:rFonts w:hint="default" w:ascii="Times New Roman" w:hAnsi="Times New Roman" w:eastAsia="宋体" w:cs="Times New Roman"/>
                      <w:b w:val="0"/>
                      <w:bCs w:val="0"/>
                      <w:kern w:val="2"/>
                      <w:sz w:val="21"/>
                      <w:szCs w:val="21"/>
                      <w:vertAlign w:val="baseline"/>
                      <w:lang w:val="en-US" w:eastAsia="zh-CN" w:bidi="ar-SA"/>
                    </w:rPr>
                  </w:pPr>
                  <w:r>
                    <w:rPr>
                      <w:rFonts w:hint="eastAsia" w:ascii="Times New Roman" w:hAnsi="Times New Roman" w:eastAsia="宋体" w:cs="Times New Roman"/>
                      <w:sz w:val="21"/>
                      <w:szCs w:val="21"/>
                      <w:lang w:val="en-US" w:eastAsia="zh-CN"/>
                    </w:rPr>
                    <w:t>1</w:t>
                  </w:r>
                  <w:r>
                    <w:rPr>
                      <w:rFonts w:hint="eastAsia" w:cs="Times New Roman"/>
                      <w:sz w:val="21"/>
                      <w:szCs w:val="21"/>
                      <w:lang w:val="en-US" w:eastAsia="zh-CN"/>
                    </w:rPr>
                    <w:t>9.33</w:t>
                  </w:r>
                </w:p>
              </w:tc>
            </w:tr>
            <w:tr w14:paraId="357230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4" w:type="dxa"/>
                  <w:tcBorders>
                    <w:tl2br w:val="nil"/>
                    <w:tr2bl w:val="nil"/>
                  </w:tcBorders>
                  <w:noWrap w:val="0"/>
                  <w:vAlign w:val="center"/>
                </w:tcPr>
                <w:p w14:paraId="1CD439D0">
                  <w:pPr>
                    <w:pStyle w:val="16"/>
                    <w:widowControl w:val="0"/>
                    <w:numPr>
                      <w:ilvl w:val="0"/>
                      <w:numId w:val="0"/>
                    </w:numPr>
                    <w:jc w:val="center"/>
                    <w:rPr>
                      <w:rFonts w:hint="default" w:ascii="Times New Roman" w:hAnsi="Times New Roman" w:eastAsia="宋体" w:cs="Times New Roman"/>
                      <w:b w:val="0"/>
                      <w:bCs w:val="0"/>
                      <w:kern w:val="2"/>
                      <w:sz w:val="21"/>
                      <w:szCs w:val="21"/>
                      <w:vertAlign w:val="baseline"/>
                      <w:lang w:val="en-US" w:eastAsia="zh-CN" w:bidi="ar-SA"/>
                    </w:rPr>
                  </w:pPr>
                  <w:r>
                    <w:rPr>
                      <w:rFonts w:hint="eastAsia" w:cs="Times New Roman"/>
                      <w:b w:val="0"/>
                      <w:bCs w:val="0"/>
                      <w:kern w:val="2"/>
                      <w:sz w:val="21"/>
                      <w:szCs w:val="21"/>
                      <w:vertAlign w:val="baseline"/>
                      <w:lang w:val="en-US" w:eastAsia="zh-CN" w:bidi="ar-SA"/>
                    </w:rPr>
                    <w:t>DA005</w:t>
                  </w:r>
                </w:p>
              </w:tc>
              <w:tc>
                <w:tcPr>
                  <w:tcW w:w="915" w:type="dxa"/>
                  <w:tcBorders>
                    <w:tl2br w:val="nil"/>
                    <w:tr2bl w:val="nil"/>
                  </w:tcBorders>
                  <w:noWrap w:val="0"/>
                  <w:vAlign w:val="center"/>
                </w:tcPr>
                <w:p w14:paraId="0706F3A2">
                  <w:pPr>
                    <w:pStyle w:val="16"/>
                    <w:widowControl w:val="0"/>
                    <w:numPr>
                      <w:ilvl w:val="0"/>
                      <w:numId w:val="0"/>
                    </w:numPr>
                    <w:jc w:val="center"/>
                    <w:rPr>
                      <w:rFonts w:hint="eastAsia" w:ascii="Times New Roman" w:hAnsi="Times New Roman" w:eastAsia="宋体" w:cs="Times New Roman"/>
                      <w:b w:val="0"/>
                      <w:bCs w:val="0"/>
                      <w:kern w:val="2"/>
                      <w:sz w:val="21"/>
                      <w:szCs w:val="21"/>
                      <w:vertAlign w:val="baseline"/>
                      <w:lang w:val="en-US" w:eastAsia="zh-CN" w:bidi="ar-SA"/>
                    </w:rPr>
                  </w:pPr>
                  <w:r>
                    <w:rPr>
                      <w:rFonts w:hint="eastAsia" w:ascii="Times New Roman" w:hAnsi="Times New Roman" w:eastAsia="宋体" w:cs="Times New Roman"/>
                      <w:b w:val="0"/>
                      <w:bCs w:val="0"/>
                      <w:kern w:val="2"/>
                      <w:sz w:val="21"/>
                      <w:szCs w:val="21"/>
                      <w:vertAlign w:val="baseline"/>
                      <w:lang w:val="en-US" w:eastAsia="zh-CN" w:bidi="ar-SA"/>
                    </w:rPr>
                    <w:t>一般排放口</w:t>
                  </w:r>
                </w:p>
              </w:tc>
              <w:tc>
                <w:tcPr>
                  <w:tcW w:w="960" w:type="dxa"/>
                  <w:tcBorders>
                    <w:tl2br w:val="nil"/>
                    <w:tr2bl w:val="nil"/>
                  </w:tcBorders>
                  <w:shd w:val="clear" w:color="auto" w:fill="auto"/>
                  <w:noWrap w:val="0"/>
                  <w:vAlign w:val="center"/>
                </w:tcPr>
                <w:p w14:paraId="5DE934E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4"/>
                      <w:vertAlign w:val="baseline"/>
                      <w:lang w:val="en-US" w:eastAsia="zh-CN" w:bidi="ar-SA"/>
                    </w:rPr>
                  </w:pPr>
                  <w:r>
                    <w:rPr>
                      <w:rFonts w:hint="default" w:ascii="Times New Roman" w:hAnsi="Times New Roman" w:eastAsia="宋体" w:cs="Times New Roman"/>
                      <w:color w:val="000000"/>
                      <w:sz w:val="21"/>
                      <w:szCs w:val="21"/>
                      <w:lang w:val="en-US" w:eastAsia="zh-CN"/>
                    </w:rPr>
                    <w:t>非甲烷总烃</w:t>
                  </w:r>
                </w:p>
              </w:tc>
              <w:tc>
                <w:tcPr>
                  <w:tcW w:w="1309" w:type="dxa"/>
                  <w:tcBorders>
                    <w:tl2br w:val="nil"/>
                    <w:tr2bl w:val="nil"/>
                  </w:tcBorders>
                  <w:noWrap w:val="0"/>
                  <w:vAlign w:val="center"/>
                </w:tcPr>
                <w:p w14:paraId="17E06746">
                  <w:pPr>
                    <w:pStyle w:val="16"/>
                    <w:widowControl w:val="0"/>
                    <w:numPr>
                      <w:ilvl w:val="0"/>
                      <w:numId w:val="0"/>
                    </w:numPr>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kern w:val="2"/>
                      <w:sz w:val="21"/>
                      <w:szCs w:val="21"/>
                      <w:vertAlign w:val="baseline"/>
                      <w:lang w:val="en-US" w:eastAsia="zh-CN" w:bidi="ar-SA"/>
                    </w:rPr>
                    <w:t>118.</w:t>
                  </w:r>
                  <w:r>
                    <w:rPr>
                      <w:rFonts w:hint="eastAsia" w:ascii="Times New Roman" w:hAnsi="Times New Roman" w:eastAsia="宋体" w:cs="Times New Roman"/>
                      <w:b w:val="0"/>
                      <w:bCs w:val="0"/>
                      <w:kern w:val="2"/>
                      <w:sz w:val="21"/>
                      <w:szCs w:val="21"/>
                      <w:vertAlign w:val="baseline"/>
                      <w:lang w:val="en-US" w:eastAsia="zh-CN" w:bidi="ar-SA"/>
                    </w:rPr>
                    <w:t>771995</w:t>
                  </w:r>
                </w:p>
              </w:tc>
              <w:tc>
                <w:tcPr>
                  <w:tcW w:w="1358" w:type="dxa"/>
                  <w:tcBorders>
                    <w:tl2br w:val="nil"/>
                    <w:tr2bl w:val="nil"/>
                  </w:tcBorders>
                  <w:noWrap w:val="0"/>
                  <w:vAlign w:val="center"/>
                </w:tcPr>
                <w:p w14:paraId="1233994C">
                  <w:pPr>
                    <w:pStyle w:val="16"/>
                    <w:widowControl w:val="0"/>
                    <w:numPr>
                      <w:ilvl w:val="0"/>
                      <w:numId w:val="0"/>
                    </w:numPr>
                    <w:jc w:val="center"/>
                    <w:rPr>
                      <w:rFonts w:hint="default" w:ascii="Times New Roman" w:hAnsi="Times New Roman" w:eastAsia="宋体" w:cs="Times New Roman"/>
                      <w:b w:val="0"/>
                      <w:bCs w:val="0"/>
                      <w:kern w:val="2"/>
                      <w:sz w:val="21"/>
                      <w:szCs w:val="21"/>
                      <w:vertAlign w:val="baseline"/>
                      <w:lang w:val="en-US" w:eastAsia="zh-CN" w:bidi="ar-SA"/>
                    </w:rPr>
                  </w:pPr>
                  <w:r>
                    <w:rPr>
                      <w:rFonts w:hint="eastAsia" w:ascii="Times New Roman" w:hAnsi="Times New Roman" w:eastAsia="宋体" w:cs="Times New Roman"/>
                      <w:b w:val="0"/>
                      <w:bCs w:val="0"/>
                      <w:kern w:val="2"/>
                      <w:sz w:val="21"/>
                      <w:szCs w:val="21"/>
                      <w:vertAlign w:val="baseline"/>
                      <w:lang w:val="en-US" w:eastAsia="zh-CN" w:bidi="ar-SA"/>
                    </w:rPr>
                    <w:t>33.695335</w:t>
                  </w:r>
                </w:p>
              </w:tc>
              <w:tc>
                <w:tcPr>
                  <w:tcW w:w="761" w:type="dxa"/>
                  <w:tcBorders>
                    <w:tl2br w:val="nil"/>
                    <w:tr2bl w:val="nil"/>
                  </w:tcBorders>
                  <w:noWrap w:val="0"/>
                  <w:vAlign w:val="center"/>
                </w:tcPr>
                <w:p w14:paraId="07EEAD2C">
                  <w:pPr>
                    <w:pStyle w:val="16"/>
                    <w:widowControl w:val="0"/>
                    <w:numPr>
                      <w:ilvl w:val="0"/>
                      <w:numId w:val="0"/>
                    </w:numPr>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15</w:t>
                  </w:r>
                </w:p>
              </w:tc>
              <w:tc>
                <w:tcPr>
                  <w:tcW w:w="876" w:type="dxa"/>
                  <w:tcBorders>
                    <w:tl2br w:val="nil"/>
                    <w:tr2bl w:val="nil"/>
                  </w:tcBorders>
                  <w:noWrap w:val="0"/>
                  <w:vAlign w:val="center"/>
                </w:tcPr>
                <w:p w14:paraId="169D4AB5">
                  <w:pPr>
                    <w:pStyle w:val="16"/>
                    <w:widowControl w:val="0"/>
                    <w:numPr>
                      <w:ilvl w:val="0"/>
                      <w:numId w:val="0"/>
                    </w:numPr>
                    <w:jc w:val="center"/>
                    <w:rPr>
                      <w:rFonts w:hint="default" w:ascii="Times New Roman" w:hAnsi="Times New Roman" w:eastAsia="宋体" w:cs="Times New Roman"/>
                      <w:b w:val="0"/>
                      <w:bCs w:val="0"/>
                      <w:kern w:val="2"/>
                      <w:sz w:val="21"/>
                      <w:szCs w:val="21"/>
                      <w:vertAlign w:val="baseline"/>
                      <w:lang w:val="en-US" w:eastAsia="zh-CN" w:bidi="ar-SA"/>
                    </w:rPr>
                  </w:pPr>
                  <w:bookmarkStart w:id="12" w:name="OLE_LINK116"/>
                  <w:r>
                    <w:rPr>
                      <w:rFonts w:hint="eastAsia" w:cs="Times New Roman"/>
                      <w:b w:val="0"/>
                      <w:bCs w:val="0"/>
                      <w:kern w:val="2"/>
                      <w:sz w:val="21"/>
                      <w:szCs w:val="21"/>
                      <w:vertAlign w:val="baseline"/>
                      <w:lang w:val="en-US" w:eastAsia="zh-CN" w:bidi="ar-SA"/>
                    </w:rPr>
                    <w:t>0.4</w:t>
                  </w:r>
                  <w:bookmarkEnd w:id="12"/>
                </w:p>
              </w:tc>
              <w:tc>
                <w:tcPr>
                  <w:tcW w:w="775" w:type="dxa"/>
                  <w:tcBorders>
                    <w:tl2br w:val="nil"/>
                    <w:tr2bl w:val="nil"/>
                  </w:tcBorders>
                  <w:noWrap w:val="0"/>
                  <w:vAlign w:val="center"/>
                </w:tcPr>
                <w:p w14:paraId="7A237DAC">
                  <w:pPr>
                    <w:pStyle w:val="16"/>
                    <w:widowControl w:val="0"/>
                    <w:numPr>
                      <w:ilvl w:val="0"/>
                      <w:numId w:val="0"/>
                    </w:numPr>
                    <w:jc w:val="center"/>
                    <w:rPr>
                      <w:rFonts w:hint="default" w:ascii="Times New Roman" w:hAnsi="Times New Roman" w:eastAsia="宋体" w:cs="Times New Roman"/>
                      <w:b w:val="0"/>
                      <w:bCs w:val="0"/>
                      <w:kern w:val="2"/>
                      <w:sz w:val="21"/>
                      <w:szCs w:val="21"/>
                      <w:vertAlign w:val="baseline"/>
                      <w:lang w:val="en-US" w:eastAsia="zh-CN" w:bidi="ar-SA"/>
                    </w:rPr>
                  </w:pPr>
                  <w:r>
                    <w:rPr>
                      <w:rFonts w:hint="eastAsia" w:cs="Times New Roman"/>
                      <w:b w:val="0"/>
                      <w:bCs w:val="0"/>
                      <w:kern w:val="2"/>
                      <w:sz w:val="21"/>
                      <w:szCs w:val="21"/>
                      <w:vertAlign w:val="baseline"/>
                      <w:lang w:val="en-US" w:eastAsia="zh-CN" w:bidi="ar-SA"/>
                    </w:rPr>
                    <w:t>25</w:t>
                  </w:r>
                </w:p>
              </w:tc>
              <w:tc>
                <w:tcPr>
                  <w:tcW w:w="690" w:type="dxa"/>
                  <w:tcBorders>
                    <w:tl2br w:val="nil"/>
                    <w:tr2bl w:val="nil"/>
                  </w:tcBorders>
                  <w:noWrap w:val="0"/>
                  <w:vAlign w:val="center"/>
                </w:tcPr>
                <w:p w14:paraId="1F6E12CC">
                  <w:pPr>
                    <w:pStyle w:val="16"/>
                    <w:widowControl w:val="0"/>
                    <w:numPr>
                      <w:ilvl w:val="0"/>
                      <w:numId w:val="0"/>
                    </w:numPr>
                    <w:jc w:val="center"/>
                    <w:rPr>
                      <w:rFonts w:hint="default" w:ascii="Times New Roman" w:hAnsi="Times New Roman" w:eastAsia="宋体" w:cs="Times New Roman"/>
                      <w:b w:val="0"/>
                      <w:bCs w:val="0"/>
                      <w:kern w:val="2"/>
                      <w:sz w:val="21"/>
                      <w:szCs w:val="21"/>
                      <w:vertAlign w:val="baseline"/>
                      <w:lang w:val="en-US" w:eastAsia="zh-CN" w:bidi="ar-SA"/>
                    </w:rPr>
                  </w:pPr>
                  <w:r>
                    <w:rPr>
                      <w:rFonts w:hint="eastAsia" w:cs="Times New Roman"/>
                      <w:b w:val="0"/>
                      <w:bCs w:val="0"/>
                      <w:kern w:val="2"/>
                      <w:sz w:val="21"/>
                      <w:szCs w:val="21"/>
                      <w:vertAlign w:val="baseline"/>
                      <w:lang w:val="en-US" w:eastAsia="zh-CN" w:bidi="ar-SA"/>
                    </w:rPr>
                    <w:t>11.06</w:t>
                  </w:r>
                </w:p>
              </w:tc>
            </w:tr>
          </w:tbl>
          <w:p w14:paraId="33FBEA1A">
            <w:pPr>
              <w:keepNext w:val="0"/>
              <w:keepLines w:val="0"/>
              <w:pageBreakBefore w:val="0"/>
              <w:widowControl w:val="0"/>
              <w:numPr>
                <w:ilvl w:val="1"/>
                <w:numId w:val="0"/>
              </w:numPr>
              <w:kinsoku/>
              <w:wordWrap/>
              <w:overflowPunct/>
              <w:topLinePunct w:val="0"/>
              <w:autoSpaceDE/>
              <w:autoSpaceDN/>
              <w:bidi w:val="0"/>
              <w:adjustRightInd/>
              <w:snapToGrid w:val="0"/>
              <w:spacing w:before="148" w:beforeLines="50" w:beforeAutospacing="0" w:afterAutospacing="0" w:line="240" w:lineRule="auto"/>
              <w:jc w:val="center"/>
              <w:textAlignment w:val="auto"/>
              <w:rPr>
                <w:rFonts w:hint="default" w:eastAsia="宋体"/>
                <w:color w:val="auto"/>
                <w:lang w:val="en-US" w:eastAsia="zh-CN"/>
              </w:rPr>
            </w:pPr>
            <w:r>
              <w:rPr>
                <w:rFonts w:hint="eastAsia"/>
                <w:b/>
                <w:bCs/>
                <w:color w:val="000000"/>
                <w:szCs w:val="21"/>
              </w:rPr>
              <w:t>表4-</w:t>
            </w:r>
            <w:r>
              <w:rPr>
                <w:rFonts w:hint="eastAsia"/>
                <w:b/>
                <w:bCs/>
                <w:color w:val="000000"/>
                <w:szCs w:val="21"/>
                <w:lang w:val="en-US" w:eastAsia="zh-CN"/>
              </w:rPr>
              <w:t>5</w:t>
            </w:r>
            <w:r>
              <w:rPr>
                <w:rFonts w:hint="eastAsia"/>
                <w:b/>
                <w:bCs/>
                <w:color w:val="000000"/>
                <w:szCs w:val="21"/>
              </w:rPr>
              <w:t xml:space="preserve"> 项目</w:t>
            </w:r>
            <w:r>
              <w:rPr>
                <w:rFonts w:hint="eastAsia"/>
                <w:b/>
                <w:bCs/>
                <w:color w:val="000000"/>
                <w:szCs w:val="21"/>
                <w:lang w:val="en-US" w:eastAsia="zh-CN"/>
              </w:rPr>
              <w:t>无</w:t>
            </w:r>
            <w:r>
              <w:rPr>
                <w:rFonts w:hint="eastAsia"/>
                <w:b/>
                <w:bCs/>
                <w:color w:val="000000"/>
                <w:szCs w:val="21"/>
              </w:rPr>
              <w:t>组织废气</w:t>
            </w:r>
            <w:r>
              <w:rPr>
                <w:rFonts w:hint="eastAsia"/>
                <w:b/>
                <w:bCs/>
                <w:color w:val="000000"/>
                <w:szCs w:val="21"/>
                <w:lang w:val="en-US" w:eastAsia="zh-CN"/>
              </w:rPr>
              <w:t>排放情况表</w:t>
            </w:r>
          </w:p>
          <w:tbl>
            <w:tblPr>
              <w:tblStyle w:val="3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530"/>
              <w:gridCol w:w="1485"/>
              <w:gridCol w:w="1710"/>
              <w:gridCol w:w="1320"/>
              <w:gridCol w:w="1186"/>
            </w:tblGrid>
            <w:tr w14:paraId="7EE9A8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1" w:type="dxa"/>
                  <w:tcBorders>
                    <w:tl2br w:val="nil"/>
                    <w:tr2bl w:val="nil"/>
                  </w:tcBorders>
                  <w:vAlign w:val="center"/>
                </w:tcPr>
                <w:p w14:paraId="54840B3B">
                  <w:pPr>
                    <w:bidi w:val="0"/>
                    <w:jc w:val="center"/>
                    <w:rPr>
                      <w:rFonts w:hint="default"/>
                      <w:b/>
                      <w:bCs/>
                      <w:lang w:val="en-US" w:eastAsia="zh-CN"/>
                    </w:rPr>
                  </w:pPr>
                  <w:r>
                    <w:rPr>
                      <w:rFonts w:hint="default"/>
                      <w:b/>
                      <w:bCs/>
                      <w:lang w:val="en-US" w:eastAsia="zh-CN"/>
                    </w:rPr>
                    <w:t>污染源</w:t>
                  </w:r>
                </w:p>
              </w:tc>
              <w:tc>
                <w:tcPr>
                  <w:tcW w:w="1530" w:type="dxa"/>
                  <w:tcBorders>
                    <w:tl2br w:val="nil"/>
                    <w:tr2bl w:val="nil"/>
                  </w:tcBorders>
                  <w:vAlign w:val="center"/>
                </w:tcPr>
                <w:p w14:paraId="51C1E8A0">
                  <w:pPr>
                    <w:bidi w:val="0"/>
                    <w:jc w:val="center"/>
                    <w:rPr>
                      <w:rFonts w:hint="default"/>
                      <w:b/>
                      <w:bCs/>
                      <w:lang w:val="en-US" w:eastAsia="zh-CN"/>
                    </w:rPr>
                  </w:pPr>
                  <w:r>
                    <w:rPr>
                      <w:rFonts w:hint="default"/>
                      <w:b/>
                      <w:bCs/>
                      <w:lang w:val="en-US" w:eastAsia="zh-CN"/>
                    </w:rPr>
                    <w:t>污染物</w:t>
                  </w:r>
                </w:p>
              </w:tc>
              <w:tc>
                <w:tcPr>
                  <w:tcW w:w="1485" w:type="dxa"/>
                  <w:tcBorders>
                    <w:tl2br w:val="nil"/>
                    <w:tr2bl w:val="nil"/>
                  </w:tcBorders>
                  <w:vAlign w:val="center"/>
                </w:tcPr>
                <w:p w14:paraId="25A1BDD8">
                  <w:pPr>
                    <w:bidi w:val="0"/>
                    <w:jc w:val="center"/>
                    <w:rPr>
                      <w:rFonts w:hint="default"/>
                      <w:b/>
                      <w:bCs/>
                      <w:lang w:val="en-US" w:eastAsia="zh-CN"/>
                    </w:rPr>
                  </w:pPr>
                  <w:r>
                    <w:rPr>
                      <w:rFonts w:hint="eastAsia"/>
                      <w:b/>
                      <w:bCs/>
                      <w:lang w:val="en-US" w:eastAsia="zh-CN"/>
                    </w:rPr>
                    <w:t>排放量（t/a）</w:t>
                  </w:r>
                </w:p>
              </w:tc>
              <w:tc>
                <w:tcPr>
                  <w:tcW w:w="1710" w:type="dxa"/>
                  <w:tcBorders>
                    <w:tl2br w:val="nil"/>
                    <w:tr2bl w:val="nil"/>
                  </w:tcBorders>
                  <w:vAlign w:val="center"/>
                </w:tcPr>
                <w:p w14:paraId="034838A0">
                  <w:pPr>
                    <w:bidi w:val="0"/>
                    <w:jc w:val="center"/>
                    <w:rPr>
                      <w:rFonts w:hint="default"/>
                      <w:b/>
                      <w:bCs/>
                      <w:lang w:val="en-US" w:eastAsia="zh-CN"/>
                    </w:rPr>
                  </w:pPr>
                  <w:r>
                    <w:rPr>
                      <w:rFonts w:hint="eastAsia"/>
                      <w:b/>
                      <w:bCs/>
                      <w:lang w:val="en-US" w:eastAsia="zh-CN"/>
                    </w:rPr>
                    <w:t>排放速率（kg/h）</w:t>
                  </w:r>
                </w:p>
              </w:tc>
              <w:tc>
                <w:tcPr>
                  <w:tcW w:w="1320" w:type="dxa"/>
                  <w:tcBorders>
                    <w:tl2br w:val="nil"/>
                    <w:tr2bl w:val="nil"/>
                  </w:tcBorders>
                  <w:vAlign w:val="center"/>
                </w:tcPr>
                <w:p w14:paraId="1A8FBF81">
                  <w:pPr>
                    <w:bidi w:val="0"/>
                    <w:jc w:val="center"/>
                    <w:rPr>
                      <w:rFonts w:hint="default"/>
                      <w:b/>
                      <w:bCs/>
                      <w:lang w:val="en-US" w:eastAsia="zh-CN"/>
                    </w:rPr>
                  </w:pPr>
                  <w:r>
                    <w:rPr>
                      <w:rFonts w:hint="eastAsia"/>
                      <w:b/>
                      <w:bCs/>
                      <w:lang w:val="en-US" w:eastAsia="zh-CN"/>
                    </w:rPr>
                    <w:t>面源参数（m</w:t>
                  </w:r>
                  <w:r>
                    <w:rPr>
                      <w:rFonts w:hint="default"/>
                      <w:b/>
                      <w:bCs/>
                      <w:lang w:val="en-US" w:eastAsia="zh-CN"/>
                    </w:rPr>
                    <w:t>×</w:t>
                  </w:r>
                  <w:r>
                    <w:rPr>
                      <w:rFonts w:hint="eastAsia"/>
                      <w:b/>
                      <w:bCs/>
                      <w:lang w:val="en-US" w:eastAsia="zh-CN"/>
                    </w:rPr>
                    <w:t>m）</w:t>
                  </w:r>
                </w:p>
              </w:tc>
              <w:tc>
                <w:tcPr>
                  <w:tcW w:w="1186" w:type="dxa"/>
                  <w:tcBorders>
                    <w:tl2br w:val="nil"/>
                    <w:tr2bl w:val="nil"/>
                  </w:tcBorders>
                  <w:vAlign w:val="center"/>
                </w:tcPr>
                <w:p w14:paraId="4485DF2F">
                  <w:pPr>
                    <w:bidi w:val="0"/>
                    <w:jc w:val="center"/>
                    <w:rPr>
                      <w:rFonts w:hint="default"/>
                      <w:b/>
                      <w:bCs/>
                      <w:lang w:val="en-US" w:eastAsia="zh-CN"/>
                    </w:rPr>
                  </w:pPr>
                  <w:r>
                    <w:rPr>
                      <w:rFonts w:hint="eastAsia"/>
                      <w:b/>
                      <w:bCs/>
                      <w:lang w:val="en-US" w:eastAsia="zh-CN"/>
                    </w:rPr>
                    <w:t>面源高度（m）</w:t>
                  </w:r>
                </w:p>
              </w:tc>
            </w:tr>
            <w:tr w14:paraId="6D807C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1" w:type="dxa"/>
                  <w:tcBorders>
                    <w:tl2br w:val="nil"/>
                    <w:tr2bl w:val="nil"/>
                  </w:tcBorders>
                  <w:vAlign w:val="center"/>
                </w:tcPr>
                <w:p w14:paraId="638CC4E8">
                  <w:pPr>
                    <w:bidi w:val="0"/>
                    <w:jc w:val="center"/>
                    <w:rPr>
                      <w:rFonts w:hint="default"/>
                      <w:lang w:val="en-US" w:eastAsia="zh-CN"/>
                    </w:rPr>
                  </w:pPr>
                  <w:r>
                    <w:rPr>
                      <w:rFonts w:hint="eastAsia"/>
                      <w:lang w:val="en-US" w:eastAsia="zh-CN"/>
                    </w:rPr>
                    <w:t>3#厂房</w:t>
                  </w:r>
                </w:p>
              </w:tc>
              <w:tc>
                <w:tcPr>
                  <w:tcW w:w="1530" w:type="dxa"/>
                  <w:tcBorders>
                    <w:tl2br w:val="nil"/>
                    <w:tr2bl w:val="nil"/>
                  </w:tcBorders>
                  <w:vAlign w:val="center"/>
                </w:tcPr>
                <w:p w14:paraId="5437429C">
                  <w:pPr>
                    <w:bidi w:val="0"/>
                    <w:jc w:val="center"/>
                    <w:rPr>
                      <w:rFonts w:hint="default"/>
                      <w:lang w:val="en-US" w:eastAsia="zh-CN"/>
                    </w:rPr>
                  </w:pPr>
                  <w:r>
                    <w:rPr>
                      <w:rFonts w:hint="eastAsia"/>
                      <w:color w:val="auto"/>
                      <w:vertAlign w:val="baseline"/>
                      <w:lang w:val="en-US" w:eastAsia="zh-CN"/>
                    </w:rPr>
                    <w:t>非甲烷总烃</w:t>
                  </w:r>
                </w:p>
              </w:tc>
              <w:tc>
                <w:tcPr>
                  <w:tcW w:w="1485" w:type="dxa"/>
                  <w:tcBorders>
                    <w:tl2br w:val="nil"/>
                    <w:tr2bl w:val="nil"/>
                  </w:tcBorders>
                  <w:vAlign w:val="center"/>
                </w:tcPr>
                <w:p w14:paraId="6D0F17B6">
                  <w:pPr>
                    <w:bidi w:val="0"/>
                    <w:jc w:val="center"/>
                    <w:rPr>
                      <w:rFonts w:hint="default"/>
                      <w:lang w:val="en-US" w:eastAsia="zh-CN"/>
                    </w:rPr>
                  </w:pPr>
                  <w:r>
                    <w:rPr>
                      <w:rFonts w:hint="default"/>
                      <w:lang w:val="en-US" w:eastAsia="zh-CN"/>
                    </w:rPr>
                    <w:t>0.00456</w:t>
                  </w:r>
                </w:p>
              </w:tc>
              <w:tc>
                <w:tcPr>
                  <w:tcW w:w="1710" w:type="dxa"/>
                  <w:tcBorders>
                    <w:tl2br w:val="nil"/>
                    <w:tr2bl w:val="nil"/>
                  </w:tcBorders>
                  <w:vAlign w:val="center"/>
                </w:tcPr>
                <w:p w14:paraId="5E6AF5F7">
                  <w:pPr>
                    <w:bidi w:val="0"/>
                    <w:jc w:val="center"/>
                    <w:rPr>
                      <w:rFonts w:hint="default"/>
                      <w:lang w:val="en-US" w:eastAsia="zh-CN"/>
                    </w:rPr>
                  </w:pPr>
                  <w:r>
                    <w:rPr>
                      <w:rFonts w:hint="eastAsia"/>
                      <w:lang w:val="en-US" w:eastAsia="zh-CN"/>
                    </w:rPr>
                    <w:t>0.00063</w:t>
                  </w:r>
                </w:p>
              </w:tc>
              <w:tc>
                <w:tcPr>
                  <w:tcW w:w="1320" w:type="dxa"/>
                  <w:tcBorders>
                    <w:tl2br w:val="nil"/>
                    <w:tr2bl w:val="nil"/>
                  </w:tcBorders>
                  <w:vAlign w:val="center"/>
                </w:tcPr>
                <w:p w14:paraId="515D4467">
                  <w:pPr>
                    <w:bidi w:val="0"/>
                    <w:jc w:val="center"/>
                    <w:rPr>
                      <w:rFonts w:hint="default"/>
                      <w:lang w:val="en-US" w:eastAsia="zh-CN"/>
                    </w:rPr>
                  </w:pPr>
                  <w:r>
                    <w:rPr>
                      <w:rFonts w:hint="eastAsia"/>
                      <w:b w:val="0"/>
                      <w:bCs w:val="0"/>
                      <w:lang w:val="en-US" w:eastAsia="zh-CN"/>
                    </w:rPr>
                    <w:t>30</w:t>
                  </w:r>
                  <w:r>
                    <w:rPr>
                      <w:rFonts w:hint="default"/>
                      <w:b w:val="0"/>
                      <w:bCs w:val="0"/>
                      <w:lang w:val="en-US" w:eastAsia="zh-CN"/>
                    </w:rPr>
                    <w:t>×</w:t>
                  </w:r>
                  <w:r>
                    <w:rPr>
                      <w:rFonts w:hint="eastAsia"/>
                      <w:b w:val="0"/>
                      <w:bCs w:val="0"/>
                      <w:lang w:val="en-US" w:eastAsia="zh-CN"/>
                    </w:rPr>
                    <w:t>90</w:t>
                  </w:r>
                </w:p>
              </w:tc>
              <w:tc>
                <w:tcPr>
                  <w:tcW w:w="1186" w:type="dxa"/>
                  <w:tcBorders>
                    <w:tl2br w:val="nil"/>
                    <w:tr2bl w:val="nil"/>
                  </w:tcBorders>
                  <w:vAlign w:val="center"/>
                </w:tcPr>
                <w:p w14:paraId="1E85DAE6">
                  <w:pPr>
                    <w:bidi w:val="0"/>
                    <w:jc w:val="center"/>
                    <w:rPr>
                      <w:rFonts w:hint="default"/>
                      <w:lang w:val="en-US" w:eastAsia="zh-CN"/>
                    </w:rPr>
                  </w:pPr>
                  <w:r>
                    <w:rPr>
                      <w:rFonts w:hint="eastAsia"/>
                      <w:lang w:val="en-US" w:eastAsia="zh-CN"/>
                    </w:rPr>
                    <w:t>10</w:t>
                  </w:r>
                </w:p>
              </w:tc>
            </w:tr>
            <w:tr w14:paraId="6152FB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1" w:type="dxa"/>
                  <w:tcBorders>
                    <w:tl2br w:val="nil"/>
                    <w:tr2bl w:val="nil"/>
                  </w:tcBorders>
                  <w:vAlign w:val="center"/>
                </w:tcPr>
                <w:p w14:paraId="53B94B50">
                  <w:pPr>
                    <w:bidi w:val="0"/>
                    <w:jc w:val="center"/>
                    <w:rPr>
                      <w:rFonts w:hint="default"/>
                      <w:lang w:val="en-US" w:eastAsia="zh-CN"/>
                    </w:rPr>
                  </w:pPr>
                  <w:r>
                    <w:rPr>
                      <w:rFonts w:hint="eastAsia"/>
                      <w:lang w:val="en-US" w:eastAsia="zh-CN"/>
                    </w:rPr>
                    <w:t>4#厂房</w:t>
                  </w:r>
                </w:p>
              </w:tc>
              <w:tc>
                <w:tcPr>
                  <w:tcW w:w="1530" w:type="dxa"/>
                  <w:tcBorders>
                    <w:tl2br w:val="nil"/>
                    <w:tr2bl w:val="nil"/>
                  </w:tcBorders>
                  <w:vAlign w:val="center"/>
                </w:tcPr>
                <w:p w14:paraId="602FD824">
                  <w:pPr>
                    <w:bidi w:val="0"/>
                    <w:jc w:val="center"/>
                    <w:rPr>
                      <w:rFonts w:hint="default"/>
                      <w:lang w:val="en-US" w:eastAsia="zh-CN"/>
                    </w:rPr>
                  </w:pPr>
                  <w:r>
                    <w:rPr>
                      <w:rFonts w:hint="eastAsia"/>
                      <w:color w:val="auto"/>
                      <w:vertAlign w:val="baseline"/>
                      <w:lang w:val="en-US" w:eastAsia="zh-CN"/>
                    </w:rPr>
                    <w:t>非甲烷总烃</w:t>
                  </w:r>
                </w:p>
              </w:tc>
              <w:tc>
                <w:tcPr>
                  <w:tcW w:w="1485" w:type="dxa"/>
                  <w:tcBorders>
                    <w:tl2br w:val="nil"/>
                    <w:tr2bl w:val="nil"/>
                  </w:tcBorders>
                  <w:vAlign w:val="center"/>
                </w:tcPr>
                <w:p w14:paraId="77A8DD78">
                  <w:pPr>
                    <w:bidi w:val="0"/>
                    <w:jc w:val="center"/>
                    <w:rPr>
                      <w:rFonts w:hint="default"/>
                      <w:lang w:val="en-US" w:eastAsia="zh-CN"/>
                    </w:rPr>
                  </w:pPr>
                  <w:r>
                    <w:rPr>
                      <w:rFonts w:hint="default"/>
                      <w:lang w:val="en-US" w:eastAsia="zh-CN"/>
                    </w:rPr>
                    <w:t>0.00114</w:t>
                  </w:r>
                </w:p>
              </w:tc>
              <w:tc>
                <w:tcPr>
                  <w:tcW w:w="1710" w:type="dxa"/>
                  <w:tcBorders>
                    <w:tl2br w:val="nil"/>
                    <w:tr2bl w:val="nil"/>
                  </w:tcBorders>
                  <w:vAlign w:val="center"/>
                </w:tcPr>
                <w:p w14:paraId="099CDB72">
                  <w:pPr>
                    <w:bidi w:val="0"/>
                    <w:jc w:val="center"/>
                    <w:rPr>
                      <w:rFonts w:hint="default"/>
                      <w:lang w:val="en-US" w:eastAsia="zh-CN"/>
                    </w:rPr>
                  </w:pPr>
                  <w:r>
                    <w:rPr>
                      <w:rFonts w:hint="eastAsia"/>
                      <w:lang w:val="en-US" w:eastAsia="zh-CN"/>
                    </w:rPr>
                    <w:t>0.00016</w:t>
                  </w:r>
                </w:p>
              </w:tc>
              <w:tc>
                <w:tcPr>
                  <w:tcW w:w="1320" w:type="dxa"/>
                  <w:tcBorders>
                    <w:tl2br w:val="nil"/>
                    <w:tr2bl w:val="nil"/>
                  </w:tcBorders>
                  <w:vAlign w:val="center"/>
                </w:tcPr>
                <w:p w14:paraId="6053BF3F">
                  <w:pPr>
                    <w:bidi w:val="0"/>
                    <w:jc w:val="center"/>
                    <w:rPr>
                      <w:rFonts w:hint="default"/>
                      <w:lang w:val="en-US" w:eastAsia="zh-CN"/>
                    </w:rPr>
                  </w:pPr>
                  <w:r>
                    <w:rPr>
                      <w:rFonts w:hint="eastAsia"/>
                      <w:lang w:val="en-US" w:eastAsia="zh-CN"/>
                    </w:rPr>
                    <w:t>30</w:t>
                  </w:r>
                  <w:r>
                    <w:rPr>
                      <w:rFonts w:hint="default"/>
                      <w:b w:val="0"/>
                      <w:bCs w:val="0"/>
                      <w:lang w:val="en-US" w:eastAsia="zh-CN"/>
                    </w:rPr>
                    <w:t>×</w:t>
                  </w:r>
                  <w:r>
                    <w:rPr>
                      <w:rFonts w:hint="eastAsia"/>
                      <w:b w:val="0"/>
                      <w:bCs w:val="0"/>
                      <w:lang w:val="en-US" w:eastAsia="zh-CN"/>
                    </w:rPr>
                    <w:t>180</w:t>
                  </w:r>
                </w:p>
              </w:tc>
              <w:tc>
                <w:tcPr>
                  <w:tcW w:w="1186" w:type="dxa"/>
                  <w:tcBorders>
                    <w:tl2br w:val="nil"/>
                    <w:tr2bl w:val="nil"/>
                  </w:tcBorders>
                  <w:vAlign w:val="center"/>
                </w:tcPr>
                <w:p w14:paraId="0DCE9AEE">
                  <w:pPr>
                    <w:bidi w:val="0"/>
                    <w:jc w:val="center"/>
                    <w:rPr>
                      <w:rFonts w:hint="default"/>
                      <w:lang w:val="en-US" w:eastAsia="zh-CN"/>
                    </w:rPr>
                  </w:pPr>
                  <w:r>
                    <w:rPr>
                      <w:rFonts w:hint="eastAsia"/>
                      <w:lang w:val="en-US" w:eastAsia="zh-CN"/>
                    </w:rPr>
                    <w:t>10</w:t>
                  </w:r>
                </w:p>
              </w:tc>
            </w:tr>
            <w:tr w14:paraId="11635C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1" w:type="dxa"/>
                  <w:tcBorders>
                    <w:tl2br w:val="nil"/>
                    <w:tr2bl w:val="nil"/>
                  </w:tcBorders>
                  <w:vAlign w:val="center"/>
                </w:tcPr>
                <w:p w14:paraId="7264D68F">
                  <w:pPr>
                    <w:bidi w:val="0"/>
                    <w:jc w:val="center"/>
                    <w:rPr>
                      <w:rFonts w:hint="default"/>
                      <w:lang w:val="en-US" w:eastAsia="zh-CN"/>
                    </w:rPr>
                  </w:pPr>
                  <w:r>
                    <w:rPr>
                      <w:rFonts w:hint="eastAsia"/>
                      <w:lang w:val="en-US" w:eastAsia="zh-CN"/>
                    </w:rPr>
                    <w:t>7#厂房</w:t>
                  </w:r>
                </w:p>
              </w:tc>
              <w:tc>
                <w:tcPr>
                  <w:tcW w:w="1530" w:type="dxa"/>
                  <w:tcBorders>
                    <w:tl2br w:val="nil"/>
                    <w:tr2bl w:val="nil"/>
                  </w:tcBorders>
                  <w:vAlign w:val="center"/>
                </w:tcPr>
                <w:p w14:paraId="222F2B7E">
                  <w:pPr>
                    <w:bidi w:val="0"/>
                    <w:jc w:val="center"/>
                    <w:rPr>
                      <w:rFonts w:hint="default"/>
                      <w:lang w:val="en-US" w:eastAsia="zh-CN"/>
                    </w:rPr>
                  </w:pPr>
                  <w:r>
                    <w:rPr>
                      <w:rFonts w:hint="eastAsia"/>
                      <w:color w:val="auto"/>
                      <w:vertAlign w:val="baseline"/>
                      <w:lang w:val="en-US" w:eastAsia="zh-CN"/>
                    </w:rPr>
                    <w:t>非甲烷总烃</w:t>
                  </w:r>
                </w:p>
              </w:tc>
              <w:tc>
                <w:tcPr>
                  <w:tcW w:w="1485" w:type="dxa"/>
                  <w:tcBorders>
                    <w:tl2br w:val="nil"/>
                    <w:tr2bl w:val="nil"/>
                  </w:tcBorders>
                  <w:vAlign w:val="center"/>
                </w:tcPr>
                <w:p w14:paraId="256238A0">
                  <w:pPr>
                    <w:bidi w:val="0"/>
                    <w:jc w:val="center"/>
                    <w:rPr>
                      <w:rFonts w:hint="default"/>
                      <w:lang w:val="en-US" w:eastAsia="zh-CN"/>
                    </w:rPr>
                  </w:pPr>
                  <w:r>
                    <w:rPr>
                      <w:rFonts w:hint="eastAsia"/>
                      <w:lang w:val="en-US" w:eastAsia="zh-CN"/>
                    </w:rPr>
                    <w:t>0.006</w:t>
                  </w:r>
                </w:p>
              </w:tc>
              <w:tc>
                <w:tcPr>
                  <w:tcW w:w="1710" w:type="dxa"/>
                  <w:tcBorders>
                    <w:tl2br w:val="nil"/>
                    <w:tr2bl w:val="nil"/>
                  </w:tcBorders>
                  <w:vAlign w:val="center"/>
                </w:tcPr>
                <w:p w14:paraId="66B8995C">
                  <w:pPr>
                    <w:bidi w:val="0"/>
                    <w:jc w:val="center"/>
                    <w:rPr>
                      <w:rFonts w:hint="default"/>
                      <w:lang w:val="en-US" w:eastAsia="zh-CN"/>
                    </w:rPr>
                  </w:pPr>
                  <w:r>
                    <w:rPr>
                      <w:rFonts w:hint="eastAsia"/>
                      <w:lang w:val="en-US" w:eastAsia="zh-CN"/>
                    </w:rPr>
                    <w:t>0.00083</w:t>
                  </w:r>
                </w:p>
              </w:tc>
              <w:tc>
                <w:tcPr>
                  <w:tcW w:w="1320" w:type="dxa"/>
                  <w:tcBorders>
                    <w:tl2br w:val="nil"/>
                    <w:tr2bl w:val="nil"/>
                  </w:tcBorders>
                  <w:vAlign w:val="center"/>
                </w:tcPr>
                <w:p w14:paraId="0E6FE404">
                  <w:pPr>
                    <w:bidi w:val="0"/>
                    <w:jc w:val="center"/>
                    <w:rPr>
                      <w:rFonts w:hint="default"/>
                      <w:lang w:val="en-US" w:eastAsia="zh-CN"/>
                    </w:rPr>
                  </w:pPr>
                  <w:r>
                    <w:rPr>
                      <w:rFonts w:hint="eastAsia"/>
                      <w:lang w:val="en-US" w:eastAsia="zh-CN"/>
                    </w:rPr>
                    <w:t>30</w:t>
                  </w:r>
                  <w:r>
                    <w:rPr>
                      <w:rFonts w:hint="default"/>
                      <w:b w:val="0"/>
                      <w:bCs w:val="0"/>
                      <w:lang w:val="en-US" w:eastAsia="zh-CN"/>
                    </w:rPr>
                    <w:t>×</w:t>
                  </w:r>
                  <w:r>
                    <w:rPr>
                      <w:rFonts w:hint="eastAsia"/>
                      <w:b w:val="0"/>
                      <w:bCs w:val="0"/>
                      <w:lang w:val="en-US" w:eastAsia="zh-CN"/>
                    </w:rPr>
                    <w:t>180</w:t>
                  </w:r>
                </w:p>
              </w:tc>
              <w:tc>
                <w:tcPr>
                  <w:tcW w:w="1186" w:type="dxa"/>
                  <w:tcBorders>
                    <w:tl2br w:val="nil"/>
                    <w:tr2bl w:val="nil"/>
                  </w:tcBorders>
                  <w:vAlign w:val="center"/>
                </w:tcPr>
                <w:p w14:paraId="62519E12">
                  <w:pPr>
                    <w:bidi w:val="0"/>
                    <w:jc w:val="center"/>
                    <w:rPr>
                      <w:rFonts w:hint="default"/>
                      <w:lang w:val="en-US" w:eastAsia="zh-CN"/>
                    </w:rPr>
                  </w:pPr>
                  <w:r>
                    <w:rPr>
                      <w:rFonts w:hint="eastAsia"/>
                      <w:lang w:val="en-US" w:eastAsia="zh-CN"/>
                    </w:rPr>
                    <w:t>10</w:t>
                  </w:r>
                </w:p>
              </w:tc>
            </w:tr>
          </w:tbl>
          <w:p w14:paraId="560B1C0B">
            <w:pPr>
              <w:keepNext w:val="0"/>
              <w:keepLines w:val="0"/>
              <w:pageBreakBefore w:val="0"/>
              <w:widowControl w:val="0"/>
              <w:kinsoku/>
              <w:wordWrap/>
              <w:overflowPunct/>
              <w:topLinePunct w:val="0"/>
              <w:autoSpaceDE/>
              <w:autoSpaceDN/>
              <w:bidi w:val="0"/>
              <w:adjustRightInd/>
              <w:snapToGrid w:val="0"/>
              <w:spacing w:before="148" w:beforeLines="50" w:line="360" w:lineRule="auto"/>
              <w:ind w:firstLine="420" w:firstLineChars="200"/>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项目大气污染物排放量核算见</w:t>
            </w:r>
            <w:r>
              <w:rPr>
                <w:rFonts w:hint="eastAsia" w:cs="Times New Roman"/>
                <w:color w:val="auto"/>
                <w:sz w:val="21"/>
                <w:szCs w:val="21"/>
                <w:highlight w:val="none"/>
                <w:lang w:val="en-US" w:eastAsia="zh-CN"/>
              </w:rPr>
              <w:t>下表</w:t>
            </w:r>
            <w:r>
              <w:rPr>
                <w:rFonts w:hint="default" w:ascii="Times New Roman" w:hAnsi="Times New Roman" w:cs="Times New Roman"/>
                <w:color w:val="auto"/>
                <w:sz w:val="21"/>
                <w:szCs w:val="21"/>
                <w:highlight w:val="none"/>
              </w:rPr>
              <w:t>。</w:t>
            </w:r>
          </w:p>
          <w:p w14:paraId="4926E942">
            <w:pPr>
              <w:keepNext w:val="0"/>
              <w:keepLines w:val="0"/>
              <w:pageBreakBefore w:val="0"/>
              <w:widowControl w:val="0"/>
              <w:kinsoku/>
              <w:wordWrap/>
              <w:overflowPunct/>
              <w:topLinePunct w:val="0"/>
              <w:autoSpaceDE/>
              <w:autoSpaceDN/>
              <w:bidi w:val="0"/>
              <w:adjustRightInd/>
              <w:snapToGrid w:val="0"/>
              <w:spacing w:before="157" w:beforeLines="50" w:line="240" w:lineRule="auto"/>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表4</w:t>
            </w:r>
            <w:r>
              <w:rPr>
                <w:rFonts w:hint="eastAsia" w:ascii="Times New Roman" w:hAnsi="Times New Roman" w:cs="Times New Roman"/>
                <w:b/>
                <w:bCs/>
                <w:color w:val="auto"/>
                <w:sz w:val="21"/>
                <w:szCs w:val="21"/>
                <w:highlight w:val="none"/>
                <w:lang w:val="en-US" w:eastAsia="zh-CN"/>
              </w:rPr>
              <w:t>-6</w:t>
            </w:r>
            <w:r>
              <w:rPr>
                <w:rFonts w:hint="default" w:ascii="Times New Roman" w:hAnsi="Times New Roman" w:cs="Times New Roman"/>
                <w:b/>
                <w:bCs/>
                <w:color w:val="auto"/>
                <w:sz w:val="21"/>
                <w:szCs w:val="21"/>
                <w:highlight w:val="none"/>
              </w:rPr>
              <w:t xml:space="preserve"> 本项目大气污染物有组织排放量核算结果一览表</w:t>
            </w:r>
          </w:p>
          <w:tbl>
            <w:tblPr>
              <w:tblStyle w:val="3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5"/>
              <w:gridCol w:w="1353"/>
              <w:gridCol w:w="1484"/>
              <w:gridCol w:w="1778"/>
              <w:gridCol w:w="1541"/>
              <w:gridCol w:w="1542"/>
            </w:tblGrid>
            <w:tr w14:paraId="3396DA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3" w:type="pct"/>
                  <w:noWrap w:val="0"/>
                  <w:vAlign w:val="center"/>
                </w:tcPr>
                <w:p w14:paraId="27D44CCA">
                  <w:pPr>
                    <w:pageBreakBefore w:val="0"/>
                    <w:kinsoku/>
                    <w:wordWrap/>
                    <w:overflowPunct/>
                    <w:topLinePunct w:val="0"/>
                    <w:bidi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序号</w:t>
                  </w:r>
                </w:p>
              </w:tc>
              <w:tc>
                <w:tcPr>
                  <w:tcW w:w="795" w:type="pct"/>
                  <w:noWrap w:val="0"/>
                  <w:vAlign w:val="center"/>
                </w:tcPr>
                <w:p w14:paraId="6ED048BC">
                  <w:pPr>
                    <w:pageBreakBefore w:val="0"/>
                    <w:kinsoku/>
                    <w:wordWrap/>
                    <w:overflowPunct/>
                    <w:topLinePunct w:val="0"/>
                    <w:bidi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排放口编号</w:t>
                  </w:r>
                </w:p>
              </w:tc>
              <w:tc>
                <w:tcPr>
                  <w:tcW w:w="872" w:type="pct"/>
                  <w:noWrap w:val="0"/>
                  <w:vAlign w:val="center"/>
                </w:tcPr>
                <w:p w14:paraId="32C87F04">
                  <w:pPr>
                    <w:pageBreakBefore w:val="0"/>
                    <w:kinsoku/>
                    <w:wordWrap/>
                    <w:overflowPunct/>
                    <w:topLinePunct w:val="0"/>
                    <w:bidi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w:t>
                  </w:r>
                </w:p>
              </w:tc>
              <w:tc>
                <w:tcPr>
                  <w:tcW w:w="1045" w:type="pct"/>
                  <w:noWrap w:val="0"/>
                  <w:vAlign w:val="center"/>
                </w:tcPr>
                <w:p w14:paraId="1FBD5B0B">
                  <w:pPr>
                    <w:pageBreakBefore w:val="0"/>
                    <w:kinsoku/>
                    <w:wordWrap/>
                    <w:overflowPunct/>
                    <w:topLinePunct w:val="0"/>
                    <w:bidi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核算排放浓度/（mg/m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rPr>
                    <w:t>）</w:t>
                  </w:r>
                </w:p>
              </w:tc>
              <w:tc>
                <w:tcPr>
                  <w:tcW w:w="906" w:type="pct"/>
                  <w:noWrap w:val="0"/>
                  <w:vAlign w:val="center"/>
                </w:tcPr>
                <w:p w14:paraId="22919D60">
                  <w:pPr>
                    <w:pageBreakBefore w:val="0"/>
                    <w:kinsoku/>
                    <w:wordWrap/>
                    <w:overflowPunct/>
                    <w:topLinePunct w:val="0"/>
                    <w:bidi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核算排放速率/（kg/h）</w:t>
                  </w:r>
                </w:p>
              </w:tc>
              <w:tc>
                <w:tcPr>
                  <w:tcW w:w="906" w:type="pct"/>
                  <w:noWrap w:val="0"/>
                  <w:vAlign w:val="center"/>
                </w:tcPr>
                <w:p w14:paraId="23E0305A">
                  <w:pPr>
                    <w:pageBreakBefore w:val="0"/>
                    <w:kinsoku/>
                    <w:wordWrap/>
                    <w:overflowPunct/>
                    <w:topLinePunct w:val="0"/>
                    <w:bidi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核算年排放量/（t/a）</w:t>
                  </w:r>
                </w:p>
              </w:tc>
            </w:tr>
            <w:tr w14:paraId="6D7985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6"/>
                  <w:noWrap w:val="0"/>
                  <w:vAlign w:val="center"/>
                </w:tcPr>
                <w:p w14:paraId="2C661A2A">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一般排放口</w:t>
                  </w:r>
                </w:p>
              </w:tc>
            </w:tr>
            <w:tr w14:paraId="02C6CA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3" w:type="pct"/>
                  <w:noWrap w:val="0"/>
                  <w:vAlign w:val="center"/>
                </w:tcPr>
                <w:p w14:paraId="004D2328">
                  <w:pPr>
                    <w:pageBreakBefore w:val="0"/>
                    <w:kinsoku/>
                    <w:wordWrap/>
                    <w:overflowPunct/>
                    <w:topLinePunct w:val="0"/>
                    <w:bidi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1</w:t>
                  </w:r>
                </w:p>
              </w:tc>
              <w:tc>
                <w:tcPr>
                  <w:tcW w:w="795" w:type="pct"/>
                  <w:noWrap w:val="0"/>
                  <w:vAlign w:val="center"/>
                </w:tcPr>
                <w:p w14:paraId="16A24F1E">
                  <w:pPr>
                    <w:pageBreakBefore w:val="0"/>
                    <w:kinsoku/>
                    <w:wordWrap/>
                    <w:overflowPunct/>
                    <w:topLinePunct w:val="0"/>
                    <w:bidi w:val="0"/>
                    <w:snapToGrid w:val="0"/>
                    <w:jc w:val="center"/>
                    <w:rPr>
                      <w:rFonts w:hint="eastAsia"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DA002</w:t>
                  </w:r>
                </w:p>
              </w:tc>
              <w:tc>
                <w:tcPr>
                  <w:tcW w:w="872" w:type="pct"/>
                  <w:noWrap w:val="0"/>
                  <w:vAlign w:val="center"/>
                </w:tcPr>
                <w:p w14:paraId="51EAC256">
                  <w:pPr>
                    <w:keepNext w:val="0"/>
                    <w:keepLines w:val="0"/>
                    <w:pageBreakBefore w:val="0"/>
                    <w:widowControl/>
                    <w:suppressLineNumbers w:val="0"/>
                    <w:kinsoku/>
                    <w:wordWrap/>
                    <w:overflowPunct/>
                    <w:topLinePunct w:val="0"/>
                    <w:bidi w:val="0"/>
                    <w:snapToGrid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非甲烷总烃</w:t>
                  </w:r>
                </w:p>
              </w:tc>
              <w:tc>
                <w:tcPr>
                  <w:tcW w:w="1045" w:type="pct"/>
                  <w:shd w:val="clear" w:color="auto" w:fill="auto"/>
                  <w:noWrap w:val="0"/>
                  <w:vAlign w:val="center"/>
                </w:tcPr>
                <w:p w14:paraId="3E500B25">
                  <w:pPr>
                    <w:bidi w:val="0"/>
                    <w:jc w:val="center"/>
                    <w:rPr>
                      <w:rFonts w:hint="eastAsia" w:ascii="Times New Roman" w:hAnsi="Times New Roman" w:eastAsia="宋体" w:cs="Times New Roman"/>
                      <w:kern w:val="2"/>
                      <w:sz w:val="21"/>
                      <w:szCs w:val="24"/>
                      <w:lang w:val="en-US" w:eastAsia="zh-CN" w:bidi="ar-SA"/>
                    </w:rPr>
                  </w:pPr>
                  <w:r>
                    <w:rPr>
                      <w:rFonts w:hint="eastAsia" w:cs="Times New Roman"/>
                      <w:lang w:val="en-US" w:eastAsia="zh-CN"/>
                    </w:rPr>
                    <w:t>0.24</w:t>
                  </w:r>
                </w:p>
              </w:tc>
              <w:tc>
                <w:tcPr>
                  <w:tcW w:w="906" w:type="pct"/>
                  <w:shd w:val="clear" w:color="auto" w:fill="auto"/>
                  <w:noWrap w:val="0"/>
                  <w:vAlign w:val="center"/>
                </w:tcPr>
                <w:p w14:paraId="2F9034F0">
                  <w:pPr>
                    <w:bidi w:val="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cs="Times New Roman"/>
                      <w:lang w:val="en-US" w:eastAsia="zh-CN"/>
                    </w:rPr>
                    <w:t>0.0012</w:t>
                  </w:r>
                </w:p>
              </w:tc>
              <w:tc>
                <w:tcPr>
                  <w:tcW w:w="906" w:type="pct"/>
                  <w:shd w:val="clear" w:color="auto" w:fill="auto"/>
                  <w:noWrap w:val="0"/>
                  <w:vAlign w:val="center"/>
                </w:tcPr>
                <w:p w14:paraId="194C1D35">
                  <w:pPr>
                    <w:bidi w:val="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cs="Times New Roman"/>
                      <w:lang w:val="en-US" w:eastAsia="zh-CN"/>
                    </w:rPr>
                    <w:t>0.0087</w:t>
                  </w:r>
                </w:p>
              </w:tc>
            </w:tr>
            <w:tr w14:paraId="1ACBE4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3" w:type="pct"/>
                  <w:noWrap w:val="0"/>
                  <w:vAlign w:val="center"/>
                </w:tcPr>
                <w:p w14:paraId="0F0224EF">
                  <w:pPr>
                    <w:pageBreakBefore w:val="0"/>
                    <w:kinsoku/>
                    <w:wordWrap/>
                    <w:overflowPunct/>
                    <w:topLinePunct w:val="0"/>
                    <w:bidi w:val="0"/>
                    <w:snapToGrid w:val="0"/>
                    <w:jc w:val="center"/>
                    <w:rPr>
                      <w:rFonts w:hint="default"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2</w:t>
                  </w:r>
                </w:p>
              </w:tc>
              <w:tc>
                <w:tcPr>
                  <w:tcW w:w="795" w:type="pct"/>
                  <w:noWrap w:val="0"/>
                  <w:vAlign w:val="center"/>
                </w:tcPr>
                <w:p w14:paraId="6606D9A6">
                  <w:pPr>
                    <w:pageBreakBefore w:val="0"/>
                    <w:kinsoku/>
                    <w:wordWrap/>
                    <w:overflowPunct/>
                    <w:topLinePunct w:val="0"/>
                    <w:bidi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DA005</w:t>
                  </w:r>
                </w:p>
              </w:tc>
              <w:tc>
                <w:tcPr>
                  <w:tcW w:w="872" w:type="pct"/>
                  <w:noWrap w:val="0"/>
                  <w:vAlign w:val="center"/>
                </w:tcPr>
                <w:p w14:paraId="1C72AAD5">
                  <w:pPr>
                    <w:keepNext w:val="0"/>
                    <w:keepLines w:val="0"/>
                    <w:pageBreakBefore w:val="0"/>
                    <w:widowControl/>
                    <w:suppressLineNumbers w:val="0"/>
                    <w:kinsoku/>
                    <w:wordWrap/>
                    <w:overflowPunct/>
                    <w:topLinePunct w:val="0"/>
                    <w:bidi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非甲烷总烃</w:t>
                  </w:r>
                </w:p>
              </w:tc>
              <w:tc>
                <w:tcPr>
                  <w:tcW w:w="1045" w:type="pct"/>
                  <w:shd w:val="clear" w:color="auto" w:fill="auto"/>
                  <w:noWrap w:val="0"/>
                  <w:vAlign w:val="center"/>
                </w:tcPr>
                <w:p w14:paraId="649D7E36">
                  <w:pPr>
                    <w:bidi w:val="0"/>
                    <w:jc w:val="center"/>
                    <w:rPr>
                      <w:rFonts w:hint="default" w:ascii="Times New Roman" w:hAnsi="Times New Roman" w:eastAsia="宋体" w:cs="Times New Roman"/>
                      <w:kern w:val="2"/>
                      <w:sz w:val="21"/>
                      <w:szCs w:val="24"/>
                      <w:lang w:val="en-US" w:eastAsia="zh-CN" w:bidi="ar-SA"/>
                    </w:rPr>
                  </w:pPr>
                  <w:r>
                    <w:rPr>
                      <w:rFonts w:hint="eastAsia" w:cs="Times New Roman"/>
                      <w:lang w:val="en-US" w:eastAsia="zh-CN"/>
                    </w:rPr>
                    <w:t>0.06</w:t>
                  </w:r>
                </w:p>
              </w:tc>
              <w:tc>
                <w:tcPr>
                  <w:tcW w:w="906" w:type="pct"/>
                  <w:shd w:val="clear" w:color="auto" w:fill="auto"/>
                  <w:noWrap w:val="0"/>
                  <w:vAlign w:val="center"/>
                </w:tcPr>
                <w:p w14:paraId="0A614827">
                  <w:pPr>
                    <w:bidi w:val="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cs="Times New Roman"/>
                      <w:lang w:val="en-US" w:eastAsia="zh-CN"/>
                    </w:rPr>
                    <w:t>0.0003</w:t>
                  </w:r>
                </w:p>
              </w:tc>
              <w:tc>
                <w:tcPr>
                  <w:tcW w:w="906" w:type="pct"/>
                  <w:shd w:val="clear" w:color="auto" w:fill="auto"/>
                  <w:noWrap w:val="0"/>
                  <w:vAlign w:val="center"/>
                </w:tcPr>
                <w:p w14:paraId="2B5D540C">
                  <w:pPr>
                    <w:bidi w:val="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cs="Times New Roman"/>
                      <w:lang w:val="en-US" w:eastAsia="zh-CN"/>
                    </w:rPr>
                    <w:t>0.0022</w:t>
                  </w:r>
                </w:p>
              </w:tc>
            </w:tr>
            <w:tr w14:paraId="6CC23F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6"/>
                  <w:noWrap w:val="0"/>
                  <w:vAlign w:val="center"/>
                </w:tcPr>
                <w:p w14:paraId="7C801780">
                  <w:pPr>
                    <w:pageBreakBefore w:val="0"/>
                    <w:kinsoku/>
                    <w:wordWrap/>
                    <w:overflowPunct/>
                    <w:topLinePunct w:val="0"/>
                    <w:bidi w:val="0"/>
                    <w:snapToGrid w:val="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有组织排放总计</w:t>
                  </w:r>
                </w:p>
              </w:tc>
            </w:tr>
            <w:tr w14:paraId="2F6928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68" w:type="pct"/>
                  <w:gridSpan w:val="2"/>
                  <w:noWrap w:val="0"/>
                  <w:vAlign w:val="center"/>
                </w:tcPr>
                <w:p w14:paraId="523034C8">
                  <w:pPr>
                    <w:pageBreakBefore w:val="0"/>
                    <w:kinsoku/>
                    <w:wordWrap/>
                    <w:overflowPunct/>
                    <w:topLinePunct w:val="0"/>
                    <w:bidi w:val="0"/>
                    <w:snapToGrid w:val="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有组织排放总计</w:t>
                  </w:r>
                </w:p>
              </w:tc>
              <w:tc>
                <w:tcPr>
                  <w:tcW w:w="2824" w:type="pct"/>
                  <w:gridSpan w:val="3"/>
                  <w:noWrap w:val="0"/>
                  <w:vAlign w:val="center"/>
                </w:tcPr>
                <w:p w14:paraId="15DD1E5E">
                  <w:pPr>
                    <w:keepNext w:val="0"/>
                    <w:keepLines w:val="0"/>
                    <w:pageBreakBefore w:val="0"/>
                    <w:widowControl/>
                    <w:suppressLineNumbers w:val="0"/>
                    <w:kinsoku/>
                    <w:wordWrap/>
                    <w:overflowPunct/>
                    <w:topLinePunct w:val="0"/>
                    <w:bidi w:val="0"/>
                    <w:snapToGrid w:val="0"/>
                    <w:jc w:val="center"/>
                    <w:textAlignment w:val="center"/>
                    <w:rPr>
                      <w:rFonts w:hint="default" w:ascii="Times New Roman" w:hAnsi="Times New Roman" w:cs="Times New Roman"/>
                      <w:color w:val="auto"/>
                      <w:kern w:val="2"/>
                      <w:sz w:val="21"/>
                      <w:szCs w:val="21"/>
                      <w:highlight w:val="none"/>
                      <w:lang w:val="en-US" w:eastAsia="zh-CN" w:bidi="ar-SA"/>
                    </w:rPr>
                  </w:pPr>
                  <w:r>
                    <w:rPr>
                      <w:rFonts w:hint="eastAsia" w:cs="Times New Roman"/>
                      <w:i w:val="0"/>
                      <w:iCs w:val="0"/>
                      <w:color w:val="auto"/>
                      <w:kern w:val="0"/>
                      <w:sz w:val="21"/>
                      <w:szCs w:val="21"/>
                      <w:highlight w:val="none"/>
                      <w:u w:val="none"/>
                      <w:lang w:val="en-US" w:eastAsia="zh-CN" w:bidi="ar"/>
                    </w:rPr>
                    <w:t>VOCs（以非甲烷总烃计）</w:t>
                  </w:r>
                </w:p>
              </w:tc>
              <w:tc>
                <w:tcPr>
                  <w:tcW w:w="906" w:type="pct"/>
                  <w:noWrap w:val="0"/>
                  <w:vAlign w:val="center"/>
                </w:tcPr>
                <w:p w14:paraId="7E354938">
                  <w:pPr>
                    <w:keepNext w:val="0"/>
                    <w:keepLines w:val="0"/>
                    <w:pageBreakBefore w:val="0"/>
                    <w:widowControl/>
                    <w:suppressLineNumbers w:val="0"/>
                    <w:kinsoku/>
                    <w:wordWrap/>
                    <w:overflowPunct/>
                    <w:topLinePunct w:val="0"/>
                    <w:bidi w:val="0"/>
                    <w:snapToGrid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i w:val="0"/>
                      <w:iCs w:val="0"/>
                      <w:color w:val="auto"/>
                      <w:kern w:val="0"/>
                      <w:sz w:val="21"/>
                      <w:szCs w:val="21"/>
                      <w:u w:val="none"/>
                      <w:lang w:val="en-US" w:eastAsia="zh-CN" w:bidi="ar"/>
                    </w:rPr>
                    <w:t>0.0109</w:t>
                  </w:r>
                </w:p>
              </w:tc>
            </w:tr>
          </w:tbl>
          <w:p w14:paraId="0DA7ECC4">
            <w:pPr>
              <w:keepNext w:val="0"/>
              <w:keepLines w:val="0"/>
              <w:pageBreakBefore w:val="0"/>
              <w:widowControl w:val="0"/>
              <w:kinsoku/>
              <w:wordWrap/>
              <w:overflowPunct/>
              <w:topLinePunct w:val="0"/>
              <w:autoSpaceDE/>
              <w:autoSpaceDN/>
              <w:bidi w:val="0"/>
              <w:adjustRightInd/>
              <w:snapToGrid w:val="0"/>
              <w:spacing w:before="157" w:beforeLines="50" w:line="240" w:lineRule="auto"/>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表4-</w:t>
            </w:r>
            <w:r>
              <w:rPr>
                <w:rFonts w:hint="eastAsia" w:cs="Times New Roman"/>
                <w:b/>
                <w:bCs/>
                <w:color w:val="auto"/>
                <w:sz w:val="21"/>
                <w:szCs w:val="21"/>
                <w:highlight w:val="none"/>
                <w:lang w:val="en-US" w:eastAsia="zh-CN"/>
              </w:rPr>
              <w:t>7</w:t>
            </w:r>
            <w:r>
              <w:rPr>
                <w:rFonts w:hint="default" w:ascii="Times New Roman" w:hAnsi="Times New Roman" w:cs="Times New Roman"/>
                <w:b/>
                <w:bCs/>
                <w:color w:val="auto"/>
                <w:sz w:val="21"/>
                <w:szCs w:val="21"/>
                <w:highlight w:val="none"/>
              </w:rPr>
              <w:t xml:space="preserve"> 本项目大气污染物无组织排放量核算结果一览表</w:t>
            </w:r>
          </w:p>
          <w:tbl>
            <w:tblPr>
              <w:tblStyle w:val="3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22"/>
              <w:gridCol w:w="855"/>
              <w:gridCol w:w="1020"/>
              <w:gridCol w:w="1110"/>
              <w:gridCol w:w="1075"/>
              <w:gridCol w:w="1932"/>
              <w:gridCol w:w="1051"/>
              <w:gridCol w:w="938"/>
            </w:tblGrid>
            <w:tr w14:paraId="56A217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6" w:type="pct"/>
                  <w:vMerge w:val="restart"/>
                  <w:noWrap w:val="0"/>
                  <w:vAlign w:val="center"/>
                </w:tcPr>
                <w:p w14:paraId="7FC4C8CD">
                  <w:pPr>
                    <w:pageBreakBefore w:val="0"/>
                    <w:kinsoku/>
                    <w:wordWrap/>
                    <w:overflowPunct/>
                    <w:topLinePunct w:val="0"/>
                    <w:bidi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序号</w:t>
                  </w:r>
                </w:p>
              </w:tc>
              <w:tc>
                <w:tcPr>
                  <w:tcW w:w="502" w:type="pct"/>
                  <w:vMerge w:val="restart"/>
                  <w:noWrap w:val="0"/>
                  <w:vAlign w:val="center"/>
                </w:tcPr>
                <w:p w14:paraId="06E24C08">
                  <w:pPr>
                    <w:pageBreakBefore w:val="0"/>
                    <w:kinsoku/>
                    <w:wordWrap/>
                    <w:overflowPunct/>
                    <w:topLinePunct w:val="0"/>
                    <w:bidi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排放口编号</w:t>
                  </w:r>
                </w:p>
              </w:tc>
              <w:tc>
                <w:tcPr>
                  <w:tcW w:w="599" w:type="pct"/>
                  <w:vMerge w:val="restart"/>
                  <w:noWrap w:val="0"/>
                  <w:tcMar>
                    <w:left w:w="0" w:type="dxa"/>
                    <w:right w:w="0" w:type="dxa"/>
                  </w:tcMar>
                  <w:vAlign w:val="center"/>
                </w:tcPr>
                <w:p w14:paraId="089F92EE">
                  <w:pPr>
                    <w:pageBreakBefore w:val="0"/>
                    <w:kinsoku/>
                    <w:wordWrap/>
                    <w:overflowPunct/>
                    <w:topLinePunct w:val="0"/>
                    <w:bidi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产污环节</w:t>
                  </w:r>
                </w:p>
              </w:tc>
              <w:tc>
                <w:tcPr>
                  <w:tcW w:w="652" w:type="pct"/>
                  <w:vMerge w:val="restart"/>
                  <w:noWrap w:val="0"/>
                  <w:tcMar>
                    <w:left w:w="0" w:type="dxa"/>
                    <w:right w:w="0" w:type="dxa"/>
                  </w:tcMar>
                  <w:vAlign w:val="center"/>
                </w:tcPr>
                <w:p w14:paraId="0D3B459D">
                  <w:pPr>
                    <w:pageBreakBefore w:val="0"/>
                    <w:kinsoku/>
                    <w:wordWrap/>
                    <w:overflowPunct/>
                    <w:topLinePunct w:val="0"/>
                    <w:bidi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w:t>
                  </w:r>
                </w:p>
              </w:tc>
              <w:tc>
                <w:tcPr>
                  <w:tcW w:w="632" w:type="pct"/>
                  <w:vMerge w:val="restart"/>
                  <w:noWrap w:val="0"/>
                  <w:vAlign w:val="center"/>
                </w:tcPr>
                <w:p w14:paraId="6F84D778">
                  <w:pPr>
                    <w:pageBreakBefore w:val="0"/>
                    <w:kinsoku/>
                    <w:wordWrap/>
                    <w:overflowPunct/>
                    <w:topLinePunct w:val="0"/>
                    <w:bidi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主要污染防治措施</w:t>
                  </w:r>
                </w:p>
              </w:tc>
              <w:tc>
                <w:tcPr>
                  <w:tcW w:w="1754" w:type="pct"/>
                  <w:gridSpan w:val="2"/>
                  <w:noWrap w:val="0"/>
                  <w:vAlign w:val="center"/>
                </w:tcPr>
                <w:p w14:paraId="589EB80F">
                  <w:pPr>
                    <w:pageBreakBefore w:val="0"/>
                    <w:kinsoku/>
                    <w:wordWrap/>
                    <w:overflowPunct/>
                    <w:topLinePunct w:val="0"/>
                    <w:bidi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国家或地方污染物排放标准</w:t>
                  </w:r>
                </w:p>
              </w:tc>
              <w:tc>
                <w:tcPr>
                  <w:tcW w:w="551" w:type="pct"/>
                  <w:vMerge w:val="restart"/>
                  <w:noWrap w:val="0"/>
                  <w:tcMar>
                    <w:left w:w="0" w:type="dxa"/>
                    <w:right w:w="0" w:type="dxa"/>
                  </w:tcMar>
                  <w:vAlign w:val="center"/>
                </w:tcPr>
                <w:p w14:paraId="1D9B415A">
                  <w:pPr>
                    <w:pageBreakBefore w:val="0"/>
                    <w:kinsoku/>
                    <w:wordWrap/>
                    <w:overflowPunct/>
                    <w:topLinePunct w:val="0"/>
                    <w:bidi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年排放量/（t/a）</w:t>
                  </w:r>
                </w:p>
              </w:tc>
            </w:tr>
            <w:tr w14:paraId="427585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64" w:hRule="atLeast"/>
                <w:jc w:val="center"/>
              </w:trPr>
              <w:tc>
                <w:tcPr>
                  <w:tcW w:w="306" w:type="pct"/>
                  <w:vMerge w:val="continue"/>
                  <w:noWrap w:val="0"/>
                  <w:vAlign w:val="center"/>
                </w:tcPr>
                <w:p w14:paraId="71BA8531">
                  <w:pPr>
                    <w:pageBreakBefore w:val="0"/>
                    <w:kinsoku/>
                    <w:wordWrap/>
                    <w:overflowPunct/>
                    <w:topLinePunct w:val="0"/>
                    <w:bidi w:val="0"/>
                    <w:snapToGrid w:val="0"/>
                    <w:jc w:val="center"/>
                    <w:rPr>
                      <w:rFonts w:hint="default" w:ascii="Times New Roman" w:hAnsi="Times New Roman" w:cs="Times New Roman"/>
                      <w:b/>
                      <w:bCs/>
                      <w:color w:val="auto"/>
                      <w:sz w:val="21"/>
                      <w:szCs w:val="21"/>
                      <w:highlight w:val="none"/>
                    </w:rPr>
                  </w:pPr>
                </w:p>
              </w:tc>
              <w:tc>
                <w:tcPr>
                  <w:tcW w:w="502" w:type="pct"/>
                  <w:vMerge w:val="continue"/>
                  <w:noWrap w:val="0"/>
                  <w:vAlign w:val="center"/>
                </w:tcPr>
                <w:p w14:paraId="59E2AA33">
                  <w:pPr>
                    <w:pageBreakBefore w:val="0"/>
                    <w:kinsoku/>
                    <w:wordWrap/>
                    <w:overflowPunct/>
                    <w:topLinePunct w:val="0"/>
                    <w:bidi w:val="0"/>
                    <w:snapToGrid w:val="0"/>
                    <w:jc w:val="center"/>
                    <w:rPr>
                      <w:rFonts w:hint="default" w:ascii="Times New Roman" w:hAnsi="Times New Roman" w:cs="Times New Roman"/>
                      <w:b/>
                      <w:bCs/>
                      <w:color w:val="auto"/>
                      <w:sz w:val="21"/>
                      <w:szCs w:val="21"/>
                      <w:highlight w:val="none"/>
                    </w:rPr>
                  </w:pPr>
                </w:p>
              </w:tc>
              <w:tc>
                <w:tcPr>
                  <w:tcW w:w="599" w:type="pct"/>
                  <w:vMerge w:val="continue"/>
                  <w:noWrap w:val="0"/>
                  <w:vAlign w:val="center"/>
                </w:tcPr>
                <w:p w14:paraId="35B615D5">
                  <w:pPr>
                    <w:pageBreakBefore w:val="0"/>
                    <w:kinsoku/>
                    <w:wordWrap/>
                    <w:overflowPunct/>
                    <w:topLinePunct w:val="0"/>
                    <w:bidi w:val="0"/>
                    <w:snapToGrid w:val="0"/>
                    <w:jc w:val="center"/>
                    <w:rPr>
                      <w:rFonts w:hint="default" w:ascii="Times New Roman" w:hAnsi="Times New Roman" w:cs="Times New Roman"/>
                      <w:b/>
                      <w:bCs/>
                      <w:color w:val="auto"/>
                      <w:sz w:val="21"/>
                      <w:szCs w:val="21"/>
                      <w:highlight w:val="none"/>
                    </w:rPr>
                  </w:pPr>
                </w:p>
              </w:tc>
              <w:tc>
                <w:tcPr>
                  <w:tcW w:w="652" w:type="pct"/>
                  <w:vMerge w:val="continue"/>
                  <w:noWrap w:val="0"/>
                  <w:vAlign w:val="center"/>
                </w:tcPr>
                <w:p w14:paraId="2E9DD142">
                  <w:pPr>
                    <w:pageBreakBefore w:val="0"/>
                    <w:kinsoku/>
                    <w:wordWrap/>
                    <w:overflowPunct/>
                    <w:topLinePunct w:val="0"/>
                    <w:bidi w:val="0"/>
                    <w:snapToGrid w:val="0"/>
                    <w:jc w:val="center"/>
                    <w:rPr>
                      <w:rFonts w:hint="default" w:ascii="Times New Roman" w:hAnsi="Times New Roman" w:cs="Times New Roman"/>
                      <w:b/>
                      <w:bCs/>
                      <w:color w:val="auto"/>
                      <w:sz w:val="21"/>
                      <w:szCs w:val="21"/>
                      <w:highlight w:val="none"/>
                    </w:rPr>
                  </w:pPr>
                </w:p>
              </w:tc>
              <w:tc>
                <w:tcPr>
                  <w:tcW w:w="632" w:type="pct"/>
                  <w:vMerge w:val="continue"/>
                  <w:noWrap w:val="0"/>
                  <w:vAlign w:val="center"/>
                </w:tcPr>
                <w:p w14:paraId="0A4ECA84">
                  <w:pPr>
                    <w:pageBreakBefore w:val="0"/>
                    <w:kinsoku/>
                    <w:wordWrap/>
                    <w:overflowPunct/>
                    <w:topLinePunct w:val="0"/>
                    <w:bidi w:val="0"/>
                    <w:snapToGrid w:val="0"/>
                    <w:jc w:val="center"/>
                    <w:rPr>
                      <w:rFonts w:hint="default" w:ascii="Times New Roman" w:hAnsi="Times New Roman" w:cs="Times New Roman"/>
                      <w:b/>
                      <w:bCs/>
                      <w:color w:val="auto"/>
                      <w:sz w:val="21"/>
                      <w:szCs w:val="21"/>
                      <w:highlight w:val="none"/>
                    </w:rPr>
                  </w:pPr>
                </w:p>
              </w:tc>
              <w:tc>
                <w:tcPr>
                  <w:tcW w:w="1136" w:type="pct"/>
                  <w:noWrap w:val="0"/>
                  <w:vAlign w:val="center"/>
                </w:tcPr>
                <w:p w14:paraId="6A84C8EF">
                  <w:pPr>
                    <w:pageBreakBefore w:val="0"/>
                    <w:kinsoku/>
                    <w:wordWrap/>
                    <w:overflowPunct/>
                    <w:topLinePunct w:val="0"/>
                    <w:bidi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标准名称</w:t>
                  </w:r>
                </w:p>
              </w:tc>
              <w:tc>
                <w:tcPr>
                  <w:tcW w:w="618" w:type="pct"/>
                  <w:noWrap w:val="0"/>
                  <w:tcMar>
                    <w:left w:w="0" w:type="dxa"/>
                    <w:right w:w="0" w:type="dxa"/>
                  </w:tcMar>
                  <w:vAlign w:val="center"/>
                </w:tcPr>
                <w:p w14:paraId="23D49DAE">
                  <w:pPr>
                    <w:pageBreakBefore w:val="0"/>
                    <w:kinsoku/>
                    <w:wordWrap/>
                    <w:overflowPunct/>
                    <w:topLinePunct w:val="0"/>
                    <w:bidi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浓度限值</w:t>
                  </w:r>
                </w:p>
                <w:p w14:paraId="7255FCF9">
                  <w:pPr>
                    <w:pageBreakBefore w:val="0"/>
                    <w:kinsoku/>
                    <w:wordWrap/>
                    <w:overflowPunct/>
                    <w:topLinePunct w:val="0"/>
                    <w:bidi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（mg/m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rPr>
                    <w:t>）</w:t>
                  </w:r>
                </w:p>
              </w:tc>
              <w:tc>
                <w:tcPr>
                  <w:tcW w:w="551" w:type="pct"/>
                  <w:vMerge w:val="continue"/>
                  <w:noWrap w:val="0"/>
                  <w:vAlign w:val="center"/>
                </w:tcPr>
                <w:p w14:paraId="739D3366">
                  <w:pPr>
                    <w:pageBreakBefore w:val="0"/>
                    <w:kinsoku/>
                    <w:wordWrap/>
                    <w:overflowPunct/>
                    <w:topLinePunct w:val="0"/>
                    <w:bidi w:val="0"/>
                    <w:snapToGrid w:val="0"/>
                    <w:jc w:val="center"/>
                    <w:rPr>
                      <w:rFonts w:hint="default" w:ascii="Times New Roman" w:hAnsi="Times New Roman" w:cs="Times New Roman"/>
                      <w:b/>
                      <w:bCs/>
                      <w:color w:val="auto"/>
                      <w:sz w:val="21"/>
                      <w:szCs w:val="21"/>
                      <w:highlight w:val="none"/>
                    </w:rPr>
                  </w:pPr>
                </w:p>
              </w:tc>
            </w:tr>
            <w:tr w14:paraId="68A6B1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6" w:type="pct"/>
                  <w:noWrap w:val="0"/>
                  <w:vAlign w:val="center"/>
                </w:tcPr>
                <w:p w14:paraId="0BF90106">
                  <w:pPr>
                    <w:pageBreakBefore w:val="0"/>
                    <w:kinsoku/>
                    <w:wordWrap/>
                    <w:overflowPunct/>
                    <w:topLinePunct w:val="0"/>
                    <w:bidi w:val="0"/>
                    <w:snapToGrid w:val="0"/>
                    <w:jc w:val="center"/>
                    <w:rPr>
                      <w:rFonts w:hint="eastAsia"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1</w:t>
                  </w:r>
                </w:p>
              </w:tc>
              <w:tc>
                <w:tcPr>
                  <w:tcW w:w="502" w:type="pct"/>
                  <w:noWrap w:val="0"/>
                  <w:vAlign w:val="center"/>
                </w:tcPr>
                <w:p w14:paraId="0EFEF073">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3#</w:t>
                  </w:r>
                  <w:r>
                    <w:rPr>
                      <w:rFonts w:hint="default" w:ascii="Times New Roman" w:hAnsi="Times New Roman" w:cs="Times New Roman"/>
                      <w:color w:val="auto"/>
                      <w:sz w:val="21"/>
                      <w:szCs w:val="21"/>
                      <w:highlight w:val="none"/>
                    </w:rPr>
                    <w:t>厂房</w:t>
                  </w:r>
                </w:p>
              </w:tc>
              <w:tc>
                <w:tcPr>
                  <w:tcW w:w="599" w:type="pct"/>
                  <w:noWrap w:val="0"/>
                  <w:vAlign w:val="center"/>
                </w:tcPr>
                <w:p w14:paraId="016CB7A4">
                  <w:pPr>
                    <w:pageBreakBefore w:val="0"/>
                    <w:kinsoku/>
                    <w:wordWrap/>
                    <w:overflowPunct/>
                    <w:topLinePunct w:val="0"/>
                    <w:bidi w:val="0"/>
                    <w:snapToGrid w:val="0"/>
                    <w:jc w:val="center"/>
                    <w:rPr>
                      <w:rFonts w:hint="default" w:ascii="Times New Roman" w:hAnsi="Times New Roman" w:eastAsia="宋体" w:cs="Times New Roman"/>
                      <w:color w:val="auto"/>
                      <w:sz w:val="21"/>
                      <w:szCs w:val="21"/>
                      <w:highlight w:val="none"/>
                      <w:lang w:val="en-US" w:eastAsia="zh-CN"/>
                    </w:rPr>
                  </w:pPr>
                  <w:r>
                    <w:rPr>
                      <w:rFonts w:hint="eastAsia"/>
                      <w:color w:val="auto"/>
                      <w:sz w:val="21"/>
                      <w:szCs w:val="21"/>
                      <w:highlight w:val="none"/>
                      <w:lang w:val="en-US" w:eastAsia="zh-CN"/>
                    </w:rPr>
                    <w:t>直印</w:t>
                  </w:r>
                </w:p>
              </w:tc>
              <w:tc>
                <w:tcPr>
                  <w:tcW w:w="652" w:type="pct"/>
                  <w:noWrap w:val="0"/>
                  <w:tcMar>
                    <w:left w:w="0" w:type="dxa"/>
                    <w:right w:w="0" w:type="dxa"/>
                  </w:tcMar>
                  <w:vAlign w:val="center"/>
                </w:tcPr>
                <w:p w14:paraId="7C54C922">
                  <w:pPr>
                    <w:pageBreakBefore w:val="0"/>
                    <w:kinsoku/>
                    <w:wordWrap/>
                    <w:overflowPunct/>
                    <w:topLinePunct w:val="0"/>
                    <w:bidi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非甲烷总烃</w:t>
                  </w:r>
                </w:p>
              </w:tc>
              <w:tc>
                <w:tcPr>
                  <w:tcW w:w="632" w:type="pct"/>
                  <w:vMerge w:val="restart"/>
                  <w:noWrap w:val="0"/>
                  <w:vAlign w:val="center"/>
                </w:tcPr>
                <w:p w14:paraId="7DBDD554">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强化废气收集处理，提高收集效率</w:t>
                  </w:r>
                </w:p>
              </w:tc>
              <w:tc>
                <w:tcPr>
                  <w:tcW w:w="1136" w:type="pct"/>
                  <w:vMerge w:val="restart"/>
                  <w:noWrap w:val="0"/>
                  <w:vAlign w:val="center"/>
                </w:tcPr>
                <w:p w14:paraId="0C82F1CE">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《大气污染物综合排放标准》（DB32/4041-2021）</w:t>
                  </w:r>
                </w:p>
              </w:tc>
              <w:tc>
                <w:tcPr>
                  <w:tcW w:w="618" w:type="pct"/>
                  <w:vMerge w:val="restart"/>
                  <w:noWrap w:val="0"/>
                  <w:vAlign w:val="center"/>
                </w:tcPr>
                <w:p w14:paraId="0B5A07A6">
                  <w:pPr>
                    <w:pageBreakBefore w:val="0"/>
                    <w:kinsoku/>
                    <w:wordWrap/>
                    <w:overflowPunct/>
                    <w:topLinePunct w:val="0"/>
                    <w:bidi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4.0</w:t>
                  </w:r>
                </w:p>
              </w:tc>
              <w:tc>
                <w:tcPr>
                  <w:tcW w:w="551" w:type="pct"/>
                  <w:shd w:val="clear" w:color="auto" w:fill="auto"/>
                  <w:noWrap w:val="0"/>
                  <w:vAlign w:val="center"/>
                </w:tcPr>
                <w:p w14:paraId="3FADE70E">
                  <w:pPr>
                    <w:bidi w:val="0"/>
                    <w:jc w:val="center"/>
                    <w:rPr>
                      <w:rFonts w:hint="default" w:ascii="Times New Roman" w:hAnsi="Times New Roman" w:eastAsia="宋体" w:cs="Times New Roman"/>
                      <w:kern w:val="2"/>
                      <w:sz w:val="21"/>
                      <w:szCs w:val="24"/>
                      <w:lang w:val="en-US" w:eastAsia="zh-CN" w:bidi="ar-SA"/>
                    </w:rPr>
                  </w:pPr>
                  <w:r>
                    <w:rPr>
                      <w:rFonts w:hint="default"/>
                      <w:lang w:val="en-US" w:eastAsia="zh-CN"/>
                    </w:rPr>
                    <w:t>0.00456</w:t>
                  </w:r>
                </w:p>
              </w:tc>
            </w:tr>
            <w:tr w14:paraId="17EEAF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6" w:type="pct"/>
                  <w:noWrap w:val="0"/>
                  <w:vAlign w:val="center"/>
                </w:tcPr>
                <w:p w14:paraId="3C6E496F">
                  <w:pPr>
                    <w:pageBreakBefore w:val="0"/>
                    <w:kinsoku/>
                    <w:wordWrap/>
                    <w:overflowPunct/>
                    <w:topLinePunct w:val="0"/>
                    <w:bidi w:val="0"/>
                    <w:snapToGrid w:val="0"/>
                    <w:jc w:val="center"/>
                    <w:rPr>
                      <w:rFonts w:hint="default"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w:t>
                  </w:r>
                </w:p>
              </w:tc>
              <w:tc>
                <w:tcPr>
                  <w:tcW w:w="502" w:type="pct"/>
                  <w:noWrap w:val="0"/>
                  <w:vAlign w:val="center"/>
                </w:tcPr>
                <w:p w14:paraId="39B0474D">
                  <w:pPr>
                    <w:pageBreakBefore w:val="0"/>
                    <w:kinsoku/>
                    <w:wordWrap/>
                    <w:overflowPunct/>
                    <w:topLinePunct w:val="0"/>
                    <w:bidi w:val="0"/>
                    <w:snapToGrid w:val="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4#厂房</w:t>
                  </w:r>
                </w:p>
              </w:tc>
              <w:tc>
                <w:tcPr>
                  <w:tcW w:w="599" w:type="pct"/>
                  <w:noWrap w:val="0"/>
                  <w:vAlign w:val="center"/>
                </w:tcPr>
                <w:p w14:paraId="1193DFD8">
                  <w:pPr>
                    <w:pageBreakBefore w:val="0"/>
                    <w:kinsoku/>
                    <w:wordWrap/>
                    <w:overflowPunct/>
                    <w:topLinePunct w:val="0"/>
                    <w:bidi w:val="0"/>
                    <w:snapToGrid w:val="0"/>
                    <w:jc w:val="center"/>
                    <w:rPr>
                      <w:rFonts w:hint="default"/>
                      <w:color w:val="auto"/>
                      <w:sz w:val="21"/>
                      <w:szCs w:val="21"/>
                      <w:highlight w:val="none"/>
                      <w:lang w:val="en-US" w:eastAsia="zh-CN"/>
                    </w:rPr>
                  </w:pPr>
                  <w:r>
                    <w:rPr>
                      <w:rFonts w:hint="eastAsia"/>
                      <w:color w:val="auto"/>
                      <w:sz w:val="21"/>
                      <w:szCs w:val="21"/>
                      <w:highlight w:val="none"/>
                      <w:lang w:val="en-US" w:eastAsia="zh-CN"/>
                    </w:rPr>
                    <w:t>直印</w:t>
                  </w:r>
                </w:p>
              </w:tc>
              <w:tc>
                <w:tcPr>
                  <w:tcW w:w="652" w:type="pct"/>
                  <w:noWrap w:val="0"/>
                  <w:tcMar>
                    <w:left w:w="0" w:type="dxa"/>
                    <w:right w:w="0" w:type="dxa"/>
                  </w:tcMar>
                  <w:vAlign w:val="center"/>
                </w:tcPr>
                <w:p w14:paraId="6F9A4EF6">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非甲烷总烃</w:t>
                  </w:r>
                </w:p>
              </w:tc>
              <w:tc>
                <w:tcPr>
                  <w:tcW w:w="632" w:type="pct"/>
                  <w:vMerge w:val="continue"/>
                  <w:noWrap w:val="0"/>
                  <w:vAlign w:val="center"/>
                </w:tcPr>
                <w:p w14:paraId="5122E8DE">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p>
              </w:tc>
              <w:tc>
                <w:tcPr>
                  <w:tcW w:w="1136" w:type="pct"/>
                  <w:vMerge w:val="continue"/>
                  <w:noWrap w:val="0"/>
                  <w:vAlign w:val="center"/>
                </w:tcPr>
                <w:p w14:paraId="40BAA59A">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p>
              </w:tc>
              <w:tc>
                <w:tcPr>
                  <w:tcW w:w="618" w:type="pct"/>
                  <w:vMerge w:val="continue"/>
                  <w:noWrap w:val="0"/>
                  <w:vAlign w:val="center"/>
                </w:tcPr>
                <w:p w14:paraId="2E3725BD">
                  <w:pPr>
                    <w:pageBreakBefore w:val="0"/>
                    <w:kinsoku/>
                    <w:wordWrap/>
                    <w:overflowPunct/>
                    <w:topLinePunct w:val="0"/>
                    <w:bidi w:val="0"/>
                    <w:snapToGrid w:val="0"/>
                    <w:jc w:val="center"/>
                    <w:rPr>
                      <w:rFonts w:hint="eastAsia" w:cs="Times New Roman"/>
                      <w:color w:val="auto"/>
                      <w:sz w:val="21"/>
                      <w:szCs w:val="21"/>
                      <w:highlight w:val="none"/>
                      <w:lang w:val="en-US" w:eastAsia="zh-CN"/>
                    </w:rPr>
                  </w:pPr>
                </w:p>
              </w:tc>
              <w:tc>
                <w:tcPr>
                  <w:tcW w:w="551" w:type="pct"/>
                  <w:shd w:val="clear" w:color="auto" w:fill="auto"/>
                  <w:noWrap w:val="0"/>
                  <w:vAlign w:val="center"/>
                </w:tcPr>
                <w:p w14:paraId="44E5241A">
                  <w:pPr>
                    <w:bidi w:val="0"/>
                    <w:jc w:val="center"/>
                    <w:rPr>
                      <w:rFonts w:hint="default" w:ascii="Times New Roman" w:hAnsi="Times New Roman" w:eastAsia="宋体" w:cs="Times New Roman"/>
                      <w:kern w:val="2"/>
                      <w:sz w:val="21"/>
                      <w:szCs w:val="24"/>
                      <w:lang w:val="en-US" w:eastAsia="zh-CN" w:bidi="ar-SA"/>
                    </w:rPr>
                  </w:pPr>
                  <w:r>
                    <w:rPr>
                      <w:rFonts w:hint="default"/>
                      <w:lang w:val="en-US" w:eastAsia="zh-CN"/>
                    </w:rPr>
                    <w:t>0.00114</w:t>
                  </w:r>
                </w:p>
              </w:tc>
            </w:tr>
            <w:tr w14:paraId="78A699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6" w:type="pct"/>
                  <w:noWrap w:val="0"/>
                  <w:vAlign w:val="center"/>
                </w:tcPr>
                <w:p w14:paraId="54ED43B7">
                  <w:pPr>
                    <w:pageBreakBefore w:val="0"/>
                    <w:kinsoku/>
                    <w:wordWrap/>
                    <w:overflowPunct/>
                    <w:topLinePunct w:val="0"/>
                    <w:bidi w:val="0"/>
                    <w:snapToGrid w:val="0"/>
                    <w:jc w:val="center"/>
                    <w:rPr>
                      <w:rFonts w:hint="default"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w:t>
                  </w:r>
                </w:p>
              </w:tc>
              <w:tc>
                <w:tcPr>
                  <w:tcW w:w="502" w:type="pct"/>
                  <w:noWrap w:val="0"/>
                  <w:vAlign w:val="center"/>
                </w:tcPr>
                <w:p w14:paraId="5575AC43">
                  <w:pPr>
                    <w:pageBreakBefore w:val="0"/>
                    <w:kinsoku/>
                    <w:wordWrap/>
                    <w:overflowPunct/>
                    <w:topLinePunct w:val="0"/>
                    <w:bidi w:val="0"/>
                    <w:snapToGrid w:val="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7#厂房</w:t>
                  </w:r>
                </w:p>
              </w:tc>
              <w:tc>
                <w:tcPr>
                  <w:tcW w:w="599" w:type="pct"/>
                  <w:noWrap w:val="0"/>
                  <w:vAlign w:val="center"/>
                </w:tcPr>
                <w:p w14:paraId="1C1BD9C2">
                  <w:pPr>
                    <w:pageBreakBefore w:val="0"/>
                    <w:kinsoku/>
                    <w:wordWrap/>
                    <w:overflowPunct/>
                    <w:topLinePunct w:val="0"/>
                    <w:bidi w:val="0"/>
                    <w:snapToGrid w:val="0"/>
                    <w:jc w:val="center"/>
                    <w:rPr>
                      <w:rFonts w:hint="default"/>
                      <w:color w:val="auto"/>
                      <w:sz w:val="21"/>
                      <w:szCs w:val="21"/>
                      <w:highlight w:val="none"/>
                      <w:lang w:val="en-US" w:eastAsia="zh-CN"/>
                    </w:rPr>
                  </w:pPr>
                  <w:r>
                    <w:rPr>
                      <w:rFonts w:hint="eastAsia"/>
                      <w:color w:val="auto"/>
                      <w:sz w:val="21"/>
                      <w:szCs w:val="21"/>
                      <w:highlight w:val="none"/>
                      <w:lang w:val="en-US" w:eastAsia="zh-CN"/>
                    </w:rPr>
                    <w:t>激光内雕</w:t>
                  </w:r>
                </w:p>
              </w:tc>
              <w:tc>
                <w:tcPr>
                  <w:tcW w:w="652" w:type="pct"/>
                  <w:noWrap w:val="0"/>
                  <w:tcMar>
                    <w:left w:w="0" w:type="dxa"/>
                    <w:right w:w="0" w:type="dxa"/>
                  </w:tcMar>
                  <w:vAlign w:val="center"/>
                </w:tcPr>
                <w:p w14:paraId="105CB4DF">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非甲烷总烃</w:t>
                  </w:r>
                </w:p>
              </w:tc>
              <w:tc>
                <w:tcPr>
                  <w:tcW w:w="632" w:type="pct"/>
                  <w:vMerge w:val="continue"/>
                  <w:noWrap w:val="0"/>
                  <w:vAlign w:val="center"/>
                </w:tcPr>
                <w:p w14:paraId="51053A70">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p>
              </w:tc>
              <w:tc>
                <w:tcPr>
                  <w:tcW w:w="1136" w:type="pct"/>
                  <w:vMerge w:val="continue"/>
                  <w:noWrap w:val="0"/>
                  <w:vAlign w:val="center"/>
                </w:tcPr>
                <w:p w14:paraId="1DB4A660">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p>
              </w:tc>
              <w:tc>
                <w:tcPr>
                  <w:tcW w:w="618" w:type="pct"/>
                  <w:vMerge w:val="continue"/>
                  <w:noWrap w:val="0"/>
                  <w:vAlign w:val="center"/>
                </w:tcPr>
                <w:p w14:paraId="6A169A5B">
                  <w:pPr>
                    <w:pageBreakBefore w:val="0"/>
                    <w:kinsoku/>
                    <w:wordWrap/>
                    <w:overflowPunct/>
                    <w:topLinePunct w:val="0"/>
                    <w:bidi w:val="0"/>
                    <w:snapToGrid w:val="0"/>
                    <w:jc w:val="center"/>
                    <w:rPr>
                      <w:rFonts w:hint="eastAsia" w:cs="Times New Roman"/>
                      <w:color w:val="auto"/>
                      <w:sz w:val="21"/>
                      <w:szCs w:val="21"/>
                      <w:highlight w:val="none"/>
                      <w:lang w:val="en-US" w:eastAsia="zh-CN"/>
                    </w:rPr>
                  </w:pPr>
                </w:p>
              </w:tc>
              <w:tc>
                <w:tcPr>
                  <w:tcW w:w="551" w:type="pct"/>
                  <w:shd w:val="clear" w:color="auto" w:fill="auto"/>
                  <w:noWrap w:val="0"/>
                  <w:vAlign w:val="center"/>
                </w:tcPr>
                <w:p w14:paraId="61710A51">
                  <w:pPr>
                    <w:bidi w:val="0"/>
                    <w:jc w:val="center"/>
                    <w:rPr>
                      <w:rFonts w:hint="default" w:ascii="Times New Roman" w:hAnsi="Times New Roman" w:eastAsia="宋体" w:cs="Times New Roman"/>
                      <w:kern w:val="2"/>
                      <w:sz w:val="21"/>
                      <w:szCs w:val="24"/>
                      <w:lang w:val="en-US" w:eastAsia="zh-CN" w:bidi="ar-SA"/>
                    </w:rPr>
                  </w:pPr>
                  <w:r>
                    <w:rPr>
                      <w:rFonts w:hint="eastAsia"/>
                      <w:lang w:val="en-US" w:eastAsia="zh-CN"/>
                    </w:rPr>
                    <w:t>0.006</w:t>
                  </w:r>
                </w:p>
              </w:tc>
            </w:tr>
            <w:tr w14:paraId="17666A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00" w:type="pct"/>
                  <w:gridSpan w:val="8"/>
                  <w:noWrap w:val="0"/>
                  <w:vAlign w:val="center"/>
                </w:tcPr>
                <w:p w14:paraId="0BD5D19E">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无组织排放总计</w:t>
                  </w:r>
                </w:p>
              </w:tc>
            </w:tr>
            <w:tr w14:paraId="4F2E88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062" w:type="pct"/>
                  <w:gridSpan w:val="4"/>
                  <w:noWrap w:val="0"/>
                  <w:vAlign w:val="center"/>
                </w:tcPr>
                <w:p w14:paraId="3853C908">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无组织排放总计</w:t>
                  </w:r>
                </w:p>
              </w:tc>
              <w:tc>
                <w:tcPr>
                  <w:tcW w:w="1768" w:type="pct"/>
                  <w:gridSpan w:val="2"/>
                  <w:noWrap w:val="0"/>
                  <w:vAlign w:val="center"/>
                </w:tcPr>
                <w:p w14:paraId="38F3DADC">
                  <w:pPr>
                    <w:pageBreakBefore w:val="0"/>
                    <w:kinsoku/>
                    <w:wordWrap/>
                    <w:overflowPunct/>
                    <w:topLinePunct w:val="0"/>
                    <w:bidi w:val="0"/>
                    <w:snapToGrid w:val="0"/>
                    <w:jc w:val="center"/>
                    <w:rPr>
                      <w:rFonts w:hint="default" w:ascii="Times New Roman" w:hAnsi="Times New Roman" w:eastAsia="宋体" w:cs="Times New Roman"/>
                      <w:b/>
                      <w:bCs/>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VOCs（以非甲烷总烃计）</w:t>
                  </w:r>
                </w:p>
              </w:tc>
              <w:tc>
                <w:tcPr>
                  <w:tcW w:w="1169" w:type="pct"/>
                  <w:gridSpan w:val="2"/>
                  <w:noWrap w:val="0"/>
                  <w:vAlign w:val="center"/>
                </w:tcPr>
                <w:p w14:paraId="14114F0F">
                  <w:pPr>
                    <w:keepNext w:val="0"/>
                    <w:keepLines w:val="0"/>
                    <w:pageBreakBefore w:val="0"/>
                    <w:widowControl/>
                    <w:suppressLineNumbers w:val="0"/>
                    <w:kinsoku/>
                    <w:wordWrap/>
                    <w:overflowPunct/>
                    <w:topLinePunct w:val="0"/>
                    <w:bidi w:val="0"/>
                    <w:snapToGrid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0.0117</w:t>
                  </w:r>
                </w:p>
              </w:tc>
            </w:tr>
          </w:tbl>
          <w:p w14:paraId="5DF8F7A9">
            <w:pPr>
              <w:keepNext w:val="0"/>
              <w:keepLines w:val="0"/>
              <w:pageBreakBefore w:val="0"/>
              <w:widowControl w:val="0"/>
              <w:numPr>
                <w:ilvl w:val="1"/>
                <w:numId w:val="0"/>
              </w:numPr>
              <w:kinsoku/>
              <w:wordWrap/>
              <w:overflowPunct/>
              <w:topLinePunct w:val="0"/>
              <w:autoSpaceDE/>
              <w:autoSpaceDN/>
              <w:bidi w:val="0"/>
              <w:adjustRightInd/>
              <w:snapToGrid w:val="0"/>
              <w:spacing w:before="148" w:beforeLines="50" w:line="360" w:lineRule="auto"/>
              <w:textAlignment w:val="auto"/>
              <w:rPr>
                <w:rFonts w:hint="default" w:eastAsia="宋体"/>
                <w:b/>
                <w:bCs/>
                <w:color w:val="auto"/>
                <w:lang w:val="en-US" w:eastAsia="zh-CN"/>
              </w:rPr>
            </w:pPr>
            <w:r>
              <w:rPr>
                <w:rFonts w:hint="eastAsia"/>
                <w:b/>
                <w:bCs/>
                <w:color w:val="auto"/>
                <w:lang w:val="en-US" w:eastAsia="zh-CN"/>
              </w:rPr>
              <w:t>1.2废气处理措施可行性分析</w:t>
            </w:r>
          </w:p>
          <w:p w14:paraId="13ABF462">
            <w:pPr>
              <w:keepNext w:val="0"/>
              <w:keepLines w:val="0"/>
              <w:pageBreakBefore w:val="0"/>
              <w:widowControl w:val="0"/>
              <w:numPr>
                <w:ilvl w:val="1"/>
                <w:numId w:val="0"/>
              </w:numPr>
              <w:kinsoku/>
              <w:wordWrap/>
              <w:overflowPunct/>
              <w:topLinePunct w:val="0"/>
              <w:autoSpaceDE/>
              <w:autoSpaceDN/>
              <w:bidi w:val="0"/>
              <w:snapToGrid w:val="0"/>
              <w:spacing w:line="360" w:lineRule="auto"/>
              <w:ind w:left="0" w:leftChars="0" w:firstLine="420" w:firstLineChars="200"/>
              <w:textAlignment w:val="auto"/>
              <w:rPr>
                <w:rFonts w:hint="eastAsia" w:ascii="Times New Roman" w:hAnsi="Times New Roman"/>
                <w:color w:val="auto"/>
                <w:szCs w:val="21"/>
              </w:rPr>
            </w:pPr>
            <w:r>
              <w:rPr>
                <w:rFonts w:hint="eastAsia" w:ascii="Times New Roman" w:hAnsi="Times New Roman"/>
                <w:color w:val="auto"/>
                <w:szCs w:val="21"/>
              </w:rPr>
              <w:t>（</w:t>
            </w:r>
            <w:r>
              <w:rPr>
                <w:rFonts w:hint="eastAsia" w:ascii="Times New Roman" w:hAnsi="Times New Roman"/>
                <w:color w:val="auto"/>
                <w:szCs w:val="21"/>
                <w:lang w:val="en-US" w:eastAsia="zh-CN"/>
              </w:rPr>
              <w:t>1</w:t>
            </w:r>
            <w:r>
              <w:rPr>
                <w:rFonts w:hint="eastAsia" w:ascii="Times New Roman" w:hAnsi="Times New Roman"/>
                <w:color w:val="auto"/>
                <w:szCs w:val="21"/>
              </w:rPr>
              <w:t>）</w:t>
            </w:r>
            <w:r>
              <w:rPr>
                <w:rFonts w:ascii="Times New Roman" w:hAnsi="Times New Roman"/>
                <w:color w:val="auto"/>
                <w:szCs w:val="21"/>
              </w:rPr>
              <w:t>排气筒设置的合理性分析</w:t>
            </w:r>
          </w:p>
          <w:p w14:paraId="631299ED">
            <w:pPr>
              <w:pStyle w:val="10"/>
              <w:keepNext w:val="0"/>
              <w:keepLines w:val="0"/>
              <w:pageBreakBefore w:val="0"/>
              <w:kinsoku/>
              <w:wordWrap/>
              <w:overflowPunct/>
              <w:topLinePunct w:val="0"/>
              <w:autoSpaceDE/>
              <w:autoSpaceDN/>
              <w:bidi w:val="0"/>
              <w:adjustRightInd/>
              <w:snapToGrid w:val="0"/>
              <w:spacing w:before="0" w:after="0" w:line="360" w:lineRule="auto"/>
              <w:ind w:right="0" w:firstLine="420" w:firstLineChars="200"/>
              <w:textAlignment w:val="auto"/>
              <w:rPr>
                <w:rFonts w:hint="eastAsia"/>
                <w:color w:val="auto"/>
                <w:sz w:val="21"/>
                <w:szCs w:val="21"/>
                <w:lang w:val="en-US" w:eastAsia="zh-CN"/>
              </w:rPr>
            </w:pPr>
            <w:r>
              <w:rPr>
                <w:rFonts w:hint="eastAsia"/>
                <w:color w:val="auto"/>
                <w:sz w:val="21"/>
                <w:szCs w:val="21"/>
                <w:lang w:val="en-US" w:eastAsia="zh-CN"/>
              </w:rPr>
              <w:t>①排气筒依托可行性分析</w:t>
            </w:r>
          </w:p>
          <w:p w14:paraId="04087436">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default"/>
                <w:lang w:val="en-US" w:eastAsia="zh-CN"/>
              </w:rPr>
            </w:pPr>
            <w:r>
              <w:rPr>
                <w:rFonts w:hint="eastAsia"/>
                <w:lang w:val="en-US" w:eastAsia="zh-CN"/>
              </w:rPr>
              <w:t>DA002现有污染物为非甲烷总烃和颗粒物，本项目排放污染物为非甲烷总烃，与DA002排放的现有污染物类型相似，风机设计总风量为25000</w:t>
            </w:r>
            <w:r>
              <w:rPr>
                <w:rFonts w:hint="eastAsia" w:cs="Times New Roman"/>
                <w:color w:val="auto"/>
                <w:sz w:val="21"/>
                <w:szCs w:val="21"/>
                <w:lang w:val="en-US" w:eastAsia="zh-CN"/>
              </w:rPr>
              <w:t>m</w:t>
            </w:r>
            <w:r>
              <w:rPr>
                <w:rFonts w:hint="eastAsia" w:cs="Times New Roman"/>
                <w:color w:val="auto"/>
                <w:sz w:val="21"/>
                <w:szCs w:val="21"/>
                <w:vertAlign w:val="superscript"/>
                <w:lang w:val="en-US" w:eastAsia="zh-CN"/>
              </w:rPr>
              <w:t>3</w:t>
            </w:r>
            <w:r>
              <w:rPr>
                <w:rFonts w:hint="eastAsia" w:cs="Times New Roman"/>
                <w:color w:val="auto"/>
                <w:sz w:val="21"/>
                <w:szCs w:val="21"/>
                <w:lang w:val="en-US" w:eastAsia="zh-CN"/>
              </w:rPr>
              <w:t>/h。根据建设单位提供资料可知，现有项目生产线已用风量约为8660m</w:t>
            </w:r>
            <w:r>
              <w:rPr>
                <w:rFonts w:hint="eastAsia" w:cs="Times New Roman"/>
                <w:color w:val="auto"/>
                <w:sz w:val="21"/>
                <w:szCs w:val="21"/>
                <w:vertAlign w:val="superscript"/>
                <w:lang w:val="en-US" w:eastAsia="zh-CN"/>
              </w:rPr>
              <w:t>3</w:t>
            </w:r>
            <w:r>
              <w:rPr>
                <w:rFonts w:hint="eastAsia" w:cs="Times New Roman"/>
                <w:color w:val="auto"/>
                <w:sz w:val="21"/>
                <w:szCs w:val="21"/>
                <w:lang w:val="en-US" w:eastAsia="zh-CN"/>
              </w:rPr>
              <w:t>/h，剩余风量为16340m</w:t>
            </w:r>
            <w:r>
              <w:rPr>
                <w:rFonts w:hint="eastAsia" w:cs="Times New Roman"/>
                <w:color w:val="auto"/>
                <w:sz w:val="21"/>
                <w:szCs w:val="21"/>
                <w:vertAlign w:val="superscript"/>
                <w:lang w:val="en-US" w:eastAsia="zh-CN"/>
              </w:rPr>
              <w:t>3</w:t>
            </w:r>
            <w:r>
              <w:rPr>
                <w:rFonts w:hint="eastAsia" w:cs="Times New Roman"/>
                <w:color w:val="auto"/>
                <w:sz w:val="21"/>
                <w:szCs w:val="21"/>
                <w:lang w:val="en-US" w:eastAsia="zh-CN"/>
              </w:rPr>
              <w:t>/h，本项目设计风量为5000m</w:t>
            </w:r>
            <w:r>
              <w:rPr>
                <w:rFonts w:hint="eastAsia" w:cs="Times New Roman"/>
                <w:color w:val="auto"/>
                <w:sz w:val="21"/>
                <w:szCs w:val="21"/>
                <w:vertAlign w:val="superscript"/>
                <w:lang w:val="en-US" w:eastAsia="zh-CN"/>
              </w:rPr>
              <w:t>3</w:t>
            </w:r>
            <w:r>
              <w:rPr>
                <w:rFonts w:hint="eastAsia" w:cs="Times New Roman"/>
                <w:color w:val="auto"/>
                <w:sz w:val="21"/>
                <w:szCs w:val="21"/>
                <w:lang w:val="en-US" w:eastAsia="zh-CN"/>
              </w:rPr>
              <w:t>/h，现有排气筒DA002配套风机风量能够满足本项目废气收集需要。</w:t>
            </w:r>
          </w:p>
          <w:p w14:paraId="431D9170">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lang w:val="en-US" w:eastAsia="zh-CN"/>
              </w:rPr>
            </w:pPr>
            <w:r>
              <w:rPr>
                <w:rFonts w:hint="eastAsia"/>
                <w:lang w:val="en-US" w:eastAsia="zh-CN"/>
              </w:rPr>
              <w:t>②排气筒设置合理性分析</w:t>
            </w:r>
          </w:p>
          <w:p w14:paraId="62F39E01">
            <w:pPr>
              <w:keepNext w:val="0"/>
              <w:keepLines w:val="0"/>
              <w:pageBreakBefore w:val="0"/>
              <w:widowControl w:val="0"/>
              <w:kinsoku/>
              <w:wordWrap/>
              <w:overflowPunct/>
              <w:topLinePunct w:val="0"/>
              <w:autoSpaceDE/>
              <w:autoSpaceDN/>
              <w:bidi w:val="0"/>
              <w:adjustRightInd/>
              <w:snapToGrid w:val="0"/>
              <w:spacing w:line="360" w:lineRule="auto"/>
              <w:ind w:left="0" w:leftChars="0" w:firstLine="420" w:firstLineChars="200"/>
              <w:textAlignment w:val="auto"/>
              <w:rPr>
                <w:rFonts w:hint="default"/>
                <w:sz w:val="21"/>
                <w:szCs w:val="21"/>
                <w:lang w:val="en-US" w:eastAsia="zh-CN"/>
              </w:rPr>
            </w:pPr>
            <w:bookmarkStart w:id="13" w:name="OLE_LINK26"/>
            <w:bookmarkStart w:id="14" w:name="OLE_LINK42"/>
            <w:r>
              <w:rPr>
                <w:rFonts w:hint="default"/>
                <w:color w:val="auto"/>
                <w:sz w:val="21"/>
                <w:szCs w:val="21"/>
                <w:lang w:val="en-US" w:eastAsia="zh-CN"/>
              </w:rPr>
              <w:t>排气筒高度分析</w:t>
            </w:r>
            <w:bookmarkEnd w:id="13"/>
            <w:r>
              <w:rPr>
                <w:rFonts w:hint="default"/>
                <w:color w:val="auto"/>
                <w:sz w:val="21"/>
                <w:szCs w:val="21"/>
                <w:lang w:val="en-US" w:eastAsia="zh-CN"/>
              </w:rPr>
              <w:t>：根据</w:t>
            </w:r>
            <w:r>
              <w:rPr>
                <w:rFonts w:hint="default"/>
                <w:sz w:val="21"/>
                <w:szCs w:val="21"/>
                <w:lang w:val="en-US" w:eastAsia="zh-CN"/>
              </w:rPr>
              <w:t>《</w:t>
            </w:r>
            <w:bookmarkStart w:id="15" w:name="OLE_LINK53"/>
            <w:r>
              <w:rPr>
                <w:rFonts w:hint="default"/>
                <w:sz w:val="21"/>
                <w:szCs w:val="21"/>
                <w:lang w:val="en-US" w:eastAsia="zh-CN"/>
              </w:rPr>
              <w:t>大气污染物综合排放标准</w:t>
            </w:r>
            <w:bookmarkEnd w:id="15"/>
            <w:r>
              <w:rPr>
                <w:rFonts w:hint="default"/>
                <w:sz w:val="21"/>
                <w:szCs w:val="21"/>
                <w:lang w:val="en-US" w:eastAsia="zh-CN"/>
              </w:rPr>
              <w:t>》</w:t>
            </w:r>
            <w:r>
              <w:rPr>
                <w:rFonts w:hint="eastAsia"/>
                <w:sz w:val="21"/>
                <w:szCs w:val="21"/>
                <w:lang w:val="en-US" w:eastAsia="zh-CN"/>
              </w:rPr>
              <w:t>（DB32/4041-2021）</w:t>
            </w:r>
            <w:r>
              <w:rPr>
                <w:rFonts w:hint="default"/>
                <w:sz w:val="21"/>
                <w:szCs w:val="21"/>
                <w:lang w:val="en-US" w:eastAsia="zh-CN"/>
              </w:rPr>
              <w:t>：</w:t>
            </w:r>
            <w:r>
              <w:rPr>
                <w:rFonts w:hint="eastAsia"/>
                <w:sz w:val="21"/>
                <w:szCs w:val="21"/>
                <w:lang w:val="en-US" w:eastAsia="zh-CN"/>
              </w:rPr>
              <w:t>“排气筒高度不低于15m”</w:t>
            </w:r>
            <w:r>
              <w:rPr>
                <w:rFonts w:hint="default"/>
                <w:sz w:val="21"/>
                <w:szCs w:val="21"/>
                <w:lang w:val="en-US" w:eastAsia="zh-CN"/>
              </w:rPr>
              <w:t>本项目的排气筒高度均为15m可满足要求。</w:t>
            </w:r>
          </w:p>
          <w:p w14:paraId="1D04F716">
            <w:pPr>
              <w:pStyle w:val="10"/>
              <w:keepNext w:val="0"/>
              <w:keepLines w:val="0"/>
              <w:pageBreakBefore w:val="0"/>
              <w:widowControl/>
              <w:kinsoku/>
              <w:wordWrap/>
              <w:overflowPunct/>
              <w:topLinePunct w:val="0"/>
              <w:autoSpaceDE/>
              <w:autoSpaceDN/>
              <w:bidi w:val="0"/>
              <w:adjustRightInd/>
              <w:snapToGrid w:val="0"/>
              <w:spacing w:before="0" w:after="0" w:line="360" w:lineRule="auto"/>
              <w:ind w:right="113" w:firstLine="420" w:firstLineChars="200"/>
              <w:textAlignment w:val="auto"/>
              <w:rPr>
                <w:rFonts w:hint="default"/>
                <w:sz w:val="21"/>
                <w:szCs w:val="21"/>
                <w:lang w:val="en-US" w:eastAsia="zh-CN"/>
              </w:rPr>
            </w:pPr>
            <w:r>
              <w:rPr>
                <w:rFonts w:hint="default"/>
                <w:sz w:val="21"/>
                <w:szCs w:val="21"/>
                <w:lang w:val="en-US" w:eastAsia="zh-CN"/>
              </w:rPr>
              <w:t>排气筒流速分析：根据《大气污染治理工程技术导则》HJ2000-2010之5.3污染气体的排放之5.3.5</w:t>
            </w:r>
            <w:r>
              <w:rPr>
                <w:rFonts w:hint="eastAsia"/>
                <w:sz w:val="21"/>
                <w:szCs w:val="21"/>
                <w:lang w:val="en-US" w:eastAsia="zh-CN"/>
              </w:rPr>
              <w:t>“</w:t>
            </w:r>
            <w:r>
              <w:rPr>
                <w:rFonts w:hint="default"/>
                <w:sz w:val="21"/>
                <w:szCs w:val="21"/>
                <w:lang w:val="en-US" w:eastAsia="zh-CN"/>
              </w:rPr>
              <w:t>排气筒的出口直径应根据出口流速确定，流速宜取15m/s左右</w:t>
            </w:r>
            <w:r>
              <w:rPr>
                <w:rFonts w:hint="eastAsia"/>
                <w:sz w:val="21"/>
                <w:szCs w:val="21"/>
                <w:lang w:val="en-US" w:eastAsia="zh-CN"/>
              </w:rPr>
              <w:t>”</w:t>
            </w:r>
            <w:r>
              <w:rPr>
                <w:rFonts w:hint="default"/>
                <w:sz w:val="21"/>
                <w:szCs w:val="21"/>
                <w:lang w:val="en-US" w:eastAsia="zh-CN"/>
              </w:rPr>
              <w:t>。本项目各排气筒流速见表4-</w:t>
            </w:r>
            <w:r>
              <w:rPr>
                <w:rFonts w:hint="eastAsia"/>
                <w:sz w:val="21"/>
                <w:szCs w:val="21"/>
                <w:lang w:val="en-US" w:eastAsia="zh-CN"/>
              </w:rPr>
              <w:t>5</w:t>
            </w:r>
            <w:r>
              <w:rPr>
                <w:rFonts w:hint="default"/>
                <w:sz w:val="21"/>
                <w:szCs w:val="21"/>
                <w:lang w:val="en-US" w:eastAsia="zh-CN"/>
              </w:rPr>
              <w:t>，流速均在15m/s左右，可满足标准要求。</w:t>
            </w:r>
            <w:bookmarkEnd w:id="14"/>
          </w:p>
          <w:p w14:paraId="41D9323F">
            <w:pPr>
              <w:keepNext w:val="0"/>
              <w:keepLines w:val="0"/>
              <w:pageBreakBefore w:val="0"/>
              <w:kinsoku/>
              <w:wordWrap/>
              <w:overflowPunct/>
              <w:topLinePunct w:val="0"/>
              <w:autoSpaceDE/>
              <w:autoSpaceDN/>
              <w:bidi w:val="0"/>
              <w:adjustRightInd/>
              <w:snapToGrid w:val="0"/>
              <w:spacing w:line="360" w:lineRule="auto"/>
              <w:ind w:right="0" w:firstLine="420" w:firstLineChars="200"/>
              <w:textAlignment w:val="auto"/>
              <w:rPr>
                <w:rFonts w:hint="eastAsia" w:ascii="Times New Roman" w:hAnsi="Times New Roman" w:eastAsia="宋体"/>
                <w:color w:val="auto"/>
                <w:sz w:val="21"/>
                <w:szCs w:val="21"/>
                <w:lang w:eastAsia="zh-CN"/>
              </w:rPr>
            </w:pPr>
            <w:r>
              <w:rPr>
                <w:rFonts w:hint="eastAsia"/>
                <w:color w:val="auto"/>
                <w:sz w:val="21"/>
                <w:szCs w:val="21"/>
                <w:lang w:eastAsia="zh-CN"/>
              </w:rPr>
              <w:t>（</w:t>
            </w:r>
            <w:r>
              <w:rPr>
                <w:rFonts w:hint="eastAsia"/>
                <w:color w:val="auto"/>
                <w:sz w:val="21"/>
                <w:szCs w:val="21"/>
                <w:lang w:val="en-US" w:eastAsia="zh-CN"/>
              </w:rPr>
              <w:t>2</w:t>
            </w:r>
            <w:r>
              <w:rPr>
                <w:rFonts w:hint="eastAsia"/>
                <w:color w:val="auto"/>
                <w:sz w:val="21"/>
                <w:szCs w:val="21"/>
                <w:lang w:eastAsia="zh-CN"/>
              </w:rPr>
              <w:t>）</w:t>
            </w:r>
            <w:r>
              <w:rPr>
                <w:rFonts w:hint="eastAsia"/>
                <w:color w:val="auto"/>
                <w:szCs w:val="21"/>
              </w:rPr>
              <w:t>收集、处理措施可行性分析</w:t>
            </w:r>
          </w:p>
          <w:p w14:paraId="2029595E">
            <w:pPr>
              <w:keepNext w:val="0"/>
              <w:keepLines w:val="0"/>
              <w:pageBreakBefore w:val="0"/>
              <w:kinsoku/>
              <w:wordWrap/>
              <w:overflowPunct/>
              <w:topLinePunct w:val="0"/>
              <w:autoSpaceDE/>
              <w:autoSpaceDN/>
              <w:bidi w:val="0"/>
              <w:adjustRightInd/>
              <w:snapToGrid w:val="0"/>
              <w:spacing w:line="360" w:lineRule="auto"/>
              <w:ind w:right="0" w:firstLine="420" w:firstLineChars="200"/>
              <w:textAlignment w:val="auto"/>
              <w:rPr>
                <w:rFonts w:hint="eastAsia" w:eastAsia="宋体"/>
                <w:color w:val="auto"/>
                <w:szCs w:val="21"/>
                <w:lang w:val="en-US" w:eastAsia="zh-CN"/>
              </w:rPr>
            </w:pPr>
            <w:r>
              <w:rPr>
                <w:rFonts w:hint="eastAsia"/>
                <w:color w:val="auto"/>
                <w:szCs w:val="21"/>
                <w:lang w:val="en-US" w:eastAsia="zh-CN"/>
              </w:rPr>
              <w:t>A.</w:t>
            </w:r>
            <w:r>
              <w:rPr>
                <w:rFonts w:hint="eastAsia"/>
                <w:color w:val="auto"/>
                <w:szCs w:val="21"/>
              </w:rPr>
              <w:t>收集措施可行性</w:t>
            </w:r>
            <w:r>
              <w:rPr>
                <w:rFonts w:hint="eastAsia"/>
                <w:color w:val="auto"/>
                <w:szCs w:val="21"/>
                <w:lang w:val="en-US" w:eastAsia="zh-CN"/>
              </w:rPr>
              <w:t>分析</w:t>
            </w:r>
          </w:p>
          <w:p w14:paraId="18EB1CF0">
            <w:pPr>
              <w:keepNext w:val="0"/>
              <w:keepLines w:val="0"/>
              <w:pageBreakBefore w:val="0"/>
              <w:kinsoku/>
              <w:wordWrap/>
              <w:overflowPunct/>
              <w:topLinePunct w:val="0"/>
              <w:autoSpaceDE/>
              <w:autoSpaceDN/>
              <w:bidi w:val="0"/>
              <w:adjustRightInd/>
              <w:snapToGrid w:val="0"/>
              <w:spacing w:line="360" w:lineRule="auto"/>
              <w:ind w:right="0" w:firstLine="420" w:firstLineChars="200"/>
              <w:textAlignment w:val="auto"/>
              <w:rPr>
                <w:rFonts w:hint="default"/>
                <w:color w:val="auto"/>
                <w:szCs w:val="21"/>
                <w:lang w:val="en-US"/>
              </w:rPr>
            </w:pPr>
            <w:r>
              <w:rPr>
                <w:rFonts w:hint="eastAsia" w:cs="Times New Roman"/>
                <w:color w:val="auto"/>
                <w:sz w:val="21"/>
                <w:szCs w:val="21"/>
                <w:lang w:val="en-US" w:eastAsia="zh-CN"/>
              </w:rPr>
              <w:t>本项目直印工序在密闭空间内进行，废气通过管道密闭收集，管道风量根据“Q=3600×A×V”计算，式中A为管道横截面积，本项目有机废气收集主管道横截面积约为0.12m</w:t>
            </w:r>
            <w:r>
              <w:rPr>
                <w:rFonts w:hint="eastAsia" w:cs="Times New Roman"/>
                <w:color w:val="auto"/>
                <w:sz w:val="21"/>
                <w:szCs w:val="21"/>
                <w:vertAlign w:val="superscript"/>
                <w:lang w:val="en-US" w:eastAsia="zh-CN"/>
              </w:rPr>
              <w:t>2</w:t>
            </w:r>
            <w:r>
              <w:rPr>
                <w:rFonts w:hint="eastAsia" w:cs="Times New Roman"/>
                <w:color w:val="auto"/>
                <w:sz w:val="21"/>
                <w:szCs w:val="21"/>
                <w:lang w:val="en-US" w:eastAsia="zh-CN"/>
              </w:rPr>
              <w:t>，V为风速，本项目取10m/s，经计算，本项目单个直印工序嗦需风量为4320m</w:t>
            </w:r>
            <w:r>
              <w:rPr>
                <w:rFonts w:hint="eastAsia" w:cs="Times New Roman"/>
                <w:color w:val="auto"/>
                <w:sz w:val="21"/>
                <w:szCs w:val="21"/>
                <w:vertAlign w:val="superscript"/>
                <w:lang w:val="en-US" w:eastAsia="zh-CN"/>
              </w:rPr>
              <w:t>3</w:t>
            </w:r>
            <w:r>
              <w:rPr>
                <w:rFonts w:hint="eastAsia" w:cs="Times New Roman"/>
                <w:color w:val="auto"/>
                <w:sz w:val="21"/>
                <w:szCs w:val="21"/>
                <w:lang w:val="en-US" w:eastAsia="zh-CN"/>
              </w:rPr>
              <w:t>/h，考虑到风量损失，</w:t>
            </w:r>
            <w:r>
              <w:rPr>
                <w:rFonts w:hint="eastAsia" w:eastAsia="宋体"/>
                <w:color w:val="auto"/>
                <w:szCs w:val="21"/>
                <w:lang w:val="en-US" w:eastAsia="zh-CN"/>
              </w:rPr>
              <w:t>风机风量取</w:t>
            </w:r>
            <w:r>
              <w:rPr>
                <w:rFonts w:hint="eastAsia" w:cs="Times New Roman"/>
                <w:color w:val="auto"/>
                <w:sz w:val="21"/>
                <w:szCs w:val="21"/>
                <w:lang w:val="en-US" w:eastAsia="zh-CN"/>
              </w:rPr>
              <w:t>5000m</w:t>
            </w:r>
            <w:r>
              <w:rPr>
                <w:rFonts w:hint="eastAsia" w:cs="Times New Roman"/>
                <w:color w:val="auto"/>
                <w:sz w:val="21"/>
                <w:szCs w:val="21"/>
                <w:vertAlign w:val="superscript"/>
                <w:lang w:val="en-US" w:eastAsia="zh-CN"/>
              </w:rPr>
              <w:t>3</w:t>
            </w:r>
            <w:r>
              <w:rPr>
                <w:rFonts w:hint="eastAsia" w:cs="Times New Roman"/>
                <w:color w:val="auto"/>
                <w:sz w:val="21"/>
                <w:szCs w:val="21"/>
                <w:lang w:val="en-US" w:eastAsia="zh-CN"/>
              </w:rPr>
              <w:t>/h合理。</w:t>
            </w:r>
          </w:p>
          <w:p w14:paraId="7B946385">
            <w:pPr>
              <w:keepNext w:val="0"/>
              <w:keepLines w:val="0"/>
              <w:pageBreakBefore w:val="0"/>
              <w:kinsoku/>
              <w:wordWrap/>
              <w:overflowPunct/>
              <w:topLinePunct w:val="0"/>
              <w:autoSpaceDE/>
              <w:autoSpaceDN/>
              <w:bidi w:val="0"/>
              <w:adjustRightInd/>
              <w:snapToGrid w:val="0"/>
              <w:spacing w:line="360" w:lineRule="auto"/>
              <w:ind w:right="0" w:firstLine="420" w:firstLineChars="200"/>
              <w:textAlignment w:val="auto"/>
              <w:rPr>
                <w:rFonts w:hint="eastAsia"/>
                <w:color w:val="auto"/>
                <w:szCs w:val="21"/>
              </w:rPr>
            </w:pPr>
            <w:r>
              <w:rPr>
                <w:rFonts w:hint="eastAsia"/>
                <w:color w:val="auto"/>
                <w:kern w:val="2"/>
                <w:sz w:val="21"/>
                <w:szCs w:val="21"/>
                <w:lang w:val="en-US" w:eastAsia="zh-CN" w:bidi="ar-SA"/>
              </w:rPr>
              <w:t>B.</w:t>
            </w:r>
            <w:r>
              <w:rPr>
                <w:rFonts w:hint="eastAsia"/>
                <w:color w:val="auto"/>
                <w:szCs w:val="21"/>
              </w:rPr>
              <w:t>处理措施可行性分析</w:t>
            </w:r>
          </w:p>
          <w:p w14:paraId="1BF8311D">
            <w:pPr>
              <w:pStyle w:val="10"/>
              <w:keepNext w:val="0"/>
              <w:keepLines w:val="0"/>
              <w:pageBreakBefore w:val="0"/>
              <w:kinsoku/>
              <w:wordWrap/>
              <w:overflowPunct/>
              <w:topLinePunct w:val="0"/>
              <w:autoSpaceDE/>
              <w:autoSpaceDN/>
              <w:bidi w:val="0"/>
              <w:adjustRightInd/>
              <w:snapToGrid w:val="0"/>
              <w:spacing w:before="0" w:after="0" w:line="360" w:lineRule="auto"/>
              <w:ind w:right="0" w:firstLine="420" w:firstLineChars="200"/>
              <w:textAlignment w:val="auto"/>
              <w:rPr>
                <w:rFonts w:hint="eastAsia"/>
                <w:color w:val="auto"/>
                <w:sz w:val="21"/>
                <w:szCs w:val="21"/>
                <w:lang w:val="en-US" w:eastAsia="zh-CN"/>
              </w:rPr>
            </w:pPr>
            <w:r>
              <w:rPr>
                <w:rFonts w:hint="eastAsia"/>
                <w:color w:val="auto"/>
                <w:sz w:val="21"/>
                <w:szCs w:val="21"/>
                <w:lang w:val="en-US" w:eastAsia="zh-CN"/>
              </w:rPr>
              <w:t>①活性炭吸附脱附+催化燃烧</w:t>
            </w:r>
          </w:p>
          <w:p w14:paraId="3B9D8CB6">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参考《排污许可证申请与核发技术规范 印刷工业》</w:t>
            </w:r>
            <w:r>
              <w:rPr>
                <w:rFonts w:hint="eastAsia" w:eastAsia="宋体" w:cs="Times New Roman"/>
                <w:color w:val="auto"/>
                <w:szCs w:val="21"/>
                <w:lang w:eastAsia="zh-CN"/>
              </w:rPr>
              <w:t>（</w:t>
            </w:r>
            <w:r>
              <w:rPr>
                <w:rFonts w:hint="eastAsia" w:ascii="Times New Roman" w:hAnsi="Times New Roman" w:eastAsia="宋体" w:cs="Times New Roman"/>
                <w:color w:val="auto"/>
                <w:szCs w:val="21"/>
              </w:rPr>
              <w:t>HJ1066-2019</w:t>
            </w:r>
            <w:r>
              <w:rPr>
                <w:rFonts w:hint="eastAsia" w:eastAsia="宋体" w:cs="Times New Roman"/>
                <w:color w:val="auto"/>
                <w:szCs w:val="21"/>
                <w:lang w:eastAsia="zh-CN"/>
              </w:rPr>
              <w:t>）</w:t>
            </w:r>
            <w:r>
              <w:rPr>
                <w:rFonts w:hint="eastAsia" w:ascii="Times New Roman" w:hAnsi="Times New Roman" w:eastAsia="宋体" w:cs="Times New Roman"/>
                <w:color w:val="auto"/>
                <w:szCs w:val="21"/>
              </w:rPr>
              <w:t>附录A污染防治可行技术参考表，印刷产生的挥发性有机废气治理推荐可行技术</w:t>
            </w:r>
            <w:r>
              <w:rPr>
                <w:rFonts w:hint="eastAsia" w:eastAsia="宋体" w:cs="Times New Roman"/>
                <w:color w:val="auto"/>
                <w:szCs w:val="21"/>
                <w:lang w:val="en-US" w:eastAsia="zh-CN"/>
              </w:rPr>
              <w:t>含</w:t>
            </w:r>
            <w:r>
              <w:rPr>
                <w:rFonts w:hint="eastAsia" w:ascii="Times New Roman" w:hAnsi="Times New Roman" w:eastAsia="宋体" w:cs="Times New Roman"/>
                <w:color w:val="auto"/>
                <w:szCs w:val="21"/>
              </w:rPr>
              <w:t>浓缩+热力</w:t>
            </w:r>
            <w:r>
              <w:rPr>
                <w:rFonts w:hint="eastAsia" w:eastAsia="宋体" w:cs="Times New Roman"/>
                <w:color w:val="auto"/>
                <w:szCs w:val="21"/>
                <w:lang w:eastAsia="zh-CN"/>
              </w:rPr>
              <w:t>（</w:t>
            </w:r>
            <w:r>
              <w:rPr>
                <w:rFonts w:hint="eastAsia" w:eastAsia="宋体" w:cs="Times New Roman"/>
                <w:color w:val="auto"/>
                <w:szCs w:val="21"/>
                <w:lang w:val="en-US" w:eastAsia="zh-CN"/>
              </w:rPr>
              <w:t>催化</w:t>
            </w:r>
            <w:r>
              <w:rPr>
                <w:rFonts w:hint="eastAsia" w:eastAsia="宋体" w:cs="Times New Roman"/>
                <w:color w:val="auto"/>
                <w:szCs w:val="21"/>
                <w:lang w:eastAsia="zh-CN"/>
              </w:rPr>
              <w:t>）</w:t>
            </w:r>
            <w:r>
              <w:rPr>
                <w:rFonts w:hint="eastAsia" w:ascii="Times New Roman" w:hAnsi="Times New Roman" w:eastAsia="宋体" w:cs="Times New Roman"/>
                <w:color w:val="auto"/>
                <w:szCs w:val="21"/>
              </w:rPr>
              <w:t>氧化，因此本项目</w:t>
            </w:r>
            <w:r>
              <w:rPr>
                <w:rFonts w:hint="eastAsia" w:eastAsia="宋体" w:cs="Times New Roman"/>
                <w:color w:val="auto"/>
                <w:szCs w:val="21"/>
                <w:lang w:val="en-US" w:eastAsia="zh-CN"/>
              </w:rPr>
              <w:t>3#厂房印刷废气</w:t>
            </w:r>
            <w:r>
              <w:rPr>
                <w:rFonts w:hint="eastAsia" w:ascii="Times New Roman" w:hAnsi="Times New Roman" w:eastAsia="宋体" w:cs="Times New Roman"/>
                <w:color w:val="auto"/>
                <w:szCs w:val="21"/>
              </w:rPr>
              <w:t>依托现有项目的</w:t>
            </w:r>
            <w:r>
              <w:rPr>
                <w:rFonts w:hint="eastAsia" w:eastAsia="宋体" w:cs="Times New Roman"/>
                <w:color w:val="auto"/>
                <w:szCs w:val="21"/>
                <w:lang w:eastAsia="zh-CN"/>
              </w:rPr>
              <w:t>“</w:t>
            </w:r>
            <w:r>
              <w:rPr>
                <w:rFonts w:hint="eastAsia" w:eastAsia="宋体" w:cs="Times New Roman"/>
                <w:color w:val="auto"/>
                <w:szCs w:val="21"/>
                <w:lang w:val="en-US" w:eastAsia="zh-CN"/>
              </w:rPr>
              <w:t>活性炭吸附脱附+催化燃烧</w:t>
            </w:r>
            <w:r>
              <w:rPr>
                <w:rFonts w:hint="eastAsia" w:eastAsia="宋体" w:cs="Times New Roman"/>
                <w:color w:val="auto"/>
                <w:szCs w:val="21"/>
                <w:lang w:eastAsia="zh-CN"/>
              </w:rPr>
              <w:t>”</w:t>
            </w:r>
            <w:r>
              <w:rPr>
                <w:rFonts w:hint="eastAsia" w:ascii="Times New Roman" w:hAnsi="Times New Roman" w:eastAsia="宋体" w:cs="Times New Roman"/>
                <w:color w:val="auto"/>
                <w:szCs w:val="21"/>
              </w:rPr>
              <w:t>处理措施可行。</w:t>
            </w:r>
          </w:p>
          <w:p w14:paraId="6167736C">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根据生态环境部大气环境司所著的《挥发性有机物治理实用手册》表3</w:t>
            </w:r>
            <w:r>
              <w:rPr>
                <w:rFonts w:hint="eastAsia" w:ascii="Times New Roman" w:hAnsi="Times New Roman" w:eastAsia="宋体" w:cs="Times New Roman"/>
                <w:color w:val="auto"/>
                <w:szCs w:val="21"/>
                <w:lang w:val="en-US" w:eastAsia="zh-CN"/>
              </w:rPr>
              <w:t>-1</w:t>
            </w:r>
            <w:r>
              <w:rPr>
                <w:rFonts w:hint="eastAsia" w:ascii="Times New Roman" w:hAnsi="Times New Roman" w:eastAsia="宋体" w:cs="Times New Roman"/>
                <w:color w:val="auto"/>
                <w:szCs w:val="21"/>
              </w:rPr>
              <w:t>可知，“活性炭吸附脱附+CO”组合技术的净化效率较高（≥90%），因此本项目采用“活性炭吸附脱附+CO炉”对有机废气进行处理，去除效率达到90%是可行的。</w:t>
            </w:r>
          </w:p>
          <w:p w14:paraId="15620350">
            <w:pPr>
              <w:pStyle w:val="10"/>
              <w:keepNext w:val="0"/>
              <w:keepLines w:val="0"/>
              <w:pageBreakBefore w:val="0"/>
              <w:kinsoku/>
              <w:wordWrap/>
              <w:overflowPunct/>
              <w:topLinePunct w:val="0"/>
              <w:autoSpaceDE/>
              <w:autoSpaceDN/>
              <w:bidi w:val="0"/>
              <w:adjustRightInd/>
              <w:snapToGrid w:val="0"/>
              <w:spacing w:before="0" w:after="0" w:line="360" w:lineRule="auto"/>
              <w:ind w:right="0" w:firstLine="420" w:firstLineChars="200"/>
              <w:textAlignment w:val="auto"/>
              <w:rPr>
                <w:rFonts w:hint="default" w:eastAsia="宋体"/>
                <w:color w:val="auto"/>
                <w:sz w:val="21"/>
                <w:szCs w:val="21"/>
                <w:lang w:val="en-US" w:eastAsia="zh-CN"/>
              </w:rPr>
            </w:pPr>
            <w:r>
              <w:rPr>
                <w:rFonts w:hint="eastAsia"/>
                <w:color w:val="auto"/>
                <w:sz w:val="21"/>
                <w:szCs w:val="21"/>
                <w:lang w:val="en-US" w:eastAsia="zh-CN"/>
              </w:rPr>
              <w:t>②二级活性炭吸附</w:t>
            </w:r>
          </w:p>
          <w:p w14:paraId="68DC0CEA">
            <w:pPr>
              <w:pageBreakBefore w:val="0"/>
              <w:kinsoku/>
              <w:wordWrap/>
              <w:overflowPunct/>
              <w:topLinePunct w:val="0"/>
              <w:bidi w:val="0"/>
              <w:snapToGrid w:val="0"/>
              <w:spacing w:line="360" w:lineRule="auto"/>
              <w:ind w:firstLine="420" w:firstLineChars="200"/>
              <w:rPr>
                <w:color w:val="auto"/>
                <w:szCs w:val="21"/>
              </w:rPr>
            </w:pPr>
            <w:r>
              <w:rPr>
                <w:color w:val="auto"/>
                <w:szCs w:val="21"/>
              </w:rPr>
              <w:t>活性炭是一种具有非极性表面、疏水性、亲有机物的吸附剂。所以活性炭常常被用来吸附回收空气中的有机溶剂和恶臭物质，它可以根据需要制成不同性状和粒度，如粉末活性炭、颗粒活性炭及柱状活性炭。活性炭是由各种含碳物质（如木材、泥煤、果核、椰壳等原料）在高温下炭化后，再用水蒸气或化学药品（如氯化锌、氯化锰、氯化钙和磷酸等）进行活化处理，然后制成的孔隙十分丰富的吸附剂，其孔径平均为（10~40）×10</w:t>
            </w:r>
            <w:r>
              <w:rPr>
                <w:color w:val="auto"/>
                <w:szCs w:val="21"/>
                <w:vertAlign w:val="superscript"/>
              </w:rPr>
              <w:t>-8</w:t>
            </w:r>
            <w:r>
              <w:rPr>
                <w:color w:val="auto"/>
                <w:szCs w:val="21"/>
              </w:rPr>
              <w:t>cm，比表面积一般在600~1500m</w:t>
            </w:r>
            <w:r>
              <w:rPr>
                <w:color w:val="auto"/>
                <w:szCs w:val="21"/>
                <w:vertAlign w:val="superscript"/>
              </w:rPr>
              <w:t>2</w:t>
            </w:r>
            <w:r>
              <w:rPr>
                <w:color w:val="auto"/>
                <w:szCs w:val="21"/>
              </w:rPr>
              <w:t>/g范围内，具有优良的吸附能力。工业上应用活性炭还要求机械强度大、耐磨性能好，它的结构力求稳定，吸附所需能量小，以有利于再生。活性炭用于油脂、饮料、食品、饮用水的脱色、脱味，气体分离、溶剂回收和空气调节，用作催化剂载体和防毒面具的吸附剂。随着时间的延长，活性炭细孔中吸附质浓度的不断增大，吸附速度会不断减慢，直到活性炭达到饱和状态。此时，吸附速度和解吸速度达到动态平衡，气、固相之间的传递相等。</w:t>
            </w:r>
          </w:p>
          <w:p w14:paraId="7C21107D">
            <w:pPr>
              <w:keepNext w:val="0"/>
              <w:keepLines w:val="0"/>
              <w:pageBreakBefore w:val="0"/>
              <w:widowControl w:val="0"/>
              <w:kinsoku/>
              <w:wordWrap/>
              <w:overflowPunct/>
              <w:topLinePunct w:val="0"/>
              <w:autoSpaceDE/>
              <w:autoSpaceDN/>
              <w:bidi w:val="0"/>
              <w:adjustRightInd/>
              <w:snapToGrid w:val="0"/>
              <w:spacing w:line="360" w:lineRule="auto"/>
              <w:ind w:right="0" w:firstLine="420" w:firstLineChars="200"/>
              <w:textAlignment w:val="auto"/>
              <w:rPr>
                <w:rFonts w:hint="eastAsia"/>
                <w:color w:val="auto"/>
                <w:sz w:val="21"/>
                <w:szCs w:val="21"/>
              </w:rPr>
            </w:pPr>
            <w:r>
              <w:rPr>
                <w:color w:val="auto"/>
                <w:szCs w:val="21"/>
              </w:rPr>
              <w:t>根据相关论文：活性炭吸附治理多组分有机废气的研究，谢裕坛，浙江大学硕士学位论文，2002.3，活性炭吸附是处理有机废气的成熟工艺，两级活性炭吸附处理设施在活性炭更换充分的情况下，处理效果良好，活性炭吸附处理装置对烃类物质废气的去除效率在90%以上。</w:t>
            </w:r>
            <w:r>
              <w:rPr>
                <w:rFonts w:hint="eastAsia"/>
                <w:color w:val="auto"/>
                <w:szCs w:val="21"/>
              </w:rPr>
              <w:t>所以</w:t>
            </w:r>
            <w:r>
              <w:rPr>
                <w:color w:val="auto"/>
                <w:szCs w:val="21"/>
              </w:rPr>
              <w:t>本项目采用二级活性炭</w:t>
            </w:r>
            <w:r>
              <w:rPr>
                <w:rFonts w:hint="eastAsia"/>
                <w:color w:val="auto"/>
                <w:szCs w:val="21"/>
              </w:rPr>
              <w:t>吸附</w:t>
            </w:r>
            <w:r>
              <w:rPr>
                <w:color w:val="auto"/>
                <w:szCs w:val="21"/>
              </w:rPr>
              <w:t>工艺处理处理</w:t>
            </w:r>
            <w:r>
              <w:rPr>
                <w:rFonts w:hint="eastAsia"/>
                <w:color w:val="auto"/>
                <w:szCs w:val="21"/>
                <w:lang w:val="en-US" w:eastAsia="zh-CN"/>
              </w:rPr>
              <w:t>4#厂房有机</w:t>
            </w:r>
            <w:r>
              <w:rPr>
                <w:rFonts w:hint="eastAsia"/>
                <w:color w:val="auto"/>
                <w:szCs w:val="21"/>
              </w:rPr>
              <w:t>废气可行</w:t>
            </w:r>
            <w:r>
              <w:rPr>
                <w:color w:val="auto"/>
                <w:szCs w:val="21"/>
              </w:rPr>
              <w:t>，处理效率</w:t>
            </w:r>
            <w:r>
              <w:rPr>
                <w:rFonts w:hint="eastAsia"/>
                <w:color w:val="auto"/>
                <w:szCs w:val="21"/>
              </w:rPr>
              <w:t>取值</w:t>
            </w:r>
            <w:r>
              <w:rPr>
                <w:color w:val="auto"/>
                <w:szCs w:val="21"/>
              </w:rPr>
              <w:t>90%</w:t>
            </w:r>
            <w:r>
              <w:rPr>
                <w:rFonts w:hint="eastAsia"/>
                <w:color w:val="auto"/>
                <w:szCs w:val="21"/>
              </w:rPr>
              <w:t>是合理的</w:t>
            </w:r>
            <w:r>
              <w:rPr>
                <w:color w:val="auto"/>
                <w:szCs w:val="21"/>
              </w:rPr>
              <w:t>。企业要按照《吸附法工业有机废气治理工程技术规范》（HJ 2026-2013）、《关于深入开展涉VOCs治理重点工作核查的通知》（苏环办〔2022〕218号）等文件中的相关要求，规范运行活性炭吸附装置，确保活性炭吸附装置的去除效率。</w:t>
            </w:r>
          </w:p>
          <w:p w14:paraId="07E46A54">
            <w:pPr>
              <w:keepNext w:val="0"/>
              <w:keepLines w:val="0"/>
              <w:pageBreakBefore w:val="0"/>
              <w:widowControl w:val="0"/>
              <w:numPr>
                <w:ilvl w:val="1"/>
                <w:numId w:val="0"/>
              </w:numPr>
              <w:kinsoku/>
              <w:wordWrap/>
              <w:overflowPunct/>
              <w:topLinePunct w:val="0"/>
              <w:autoSpaceDE/>
              <w:autoSpaceDN/>
              <w:bidi w:val="0"/>
              <w:adjustRightInd/>
              <w:snapToGrid w:val="0"/>
              <w:spacing w:line="360" w:lineRule="auto"/>
              <w:ind w:left="0" w:leftChars="0" w:firstLine="0" w:firstLineChars="0"/>
              <w:textAlignment w:val="auto"/>
              <w:rPr>
                <w:b/>
                <w:color w:val="auto"/>
              </w:rPr>
            </w:pPr>
            <w:r>
              <w:rPr>
                <w:rFonts w:hint="default" w:ascii="Times New Roman" w:hAnsi="Times New Roman" w:eastAsia="宋体" w:cs="Times New Roman"/>
                <w:b/>
                <w:color w:val="auto"/>
                <w:kern w:val="2"/>
                <w:sz w:val="21"/>
                <w:szCs w:val="21"/>
                <w:lang w:val="en-US" w:eastAsia="zh-CN" w:bidi="ar-SA"/>
              </w:rPr>
              <w:t>1.</w:t>
            </w:r>
            <w:r>
              <w:rPr>
                <w:rFonts w:hint="eastAsia" w:cs="Times New Roman"/>
                <w:b/>
                <w:color w:val="auto"/>
                <w:kern w:val="2"/>
                <w:sz w:val="21"/>
                <w:szCs w:val="21"/>
                <w:lang w:val="en-US" w:eastAsia="zh-CN" w:bidi="ar-SA"/>
              </w:rPr>
              <w:t>3</w:t>
            </w:r>
            <w:r>
              <w:rPr>
                <w:rFonts w:hint="eastAsia"/>
                <w:b/>
                <w:color w:val="auto"/>
                <w:szCs w:val="21"/>
              </w:rPr>
              <w:t>废气污染物排放达标分析</w:t>
            </w:r>
          </w:p>
          <w:p w14:paraId="79ED92A1">
            <w:pPr>
              <w:pStyle w:val="16"/>
              <w:pageBreakBefore w:val="0"/>
              <w:numPr>
                <w:ilvl w:val="0"/>
                <w:numId w:val="0"/>
              </w:numPr>
              <w:kinsoku/>
              <w:wordWrap/>
              <w:overflowPunct/>
              <w:topLinePunct w:val="0"/>
              <w:bidi w:val="0"/>
              <w:snapToGrid w:val="0"/>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本项目有组织排放达标分析情况见</w:t>
            </w:r>
            <w:r>
              <w:rPr>
                <w:rFonts w:hint="eastAsia" w:cs="Times New Roman"/>
                <w:color w:val="auto"/>
                <w:sz w:val="21"/>
                <w:szCs w:val="21"/>
                <w:highlight w:val="none"/>
                <w:lang w:val="en-US" w:eastAsia="zh-CN"/>
              </w:rPr>
              <w:t>下表</w:t>
            </w:r>
            <w:r>
              <w:rPr>
                <w:rFonts w:hint="default" w:ascii="Times New Roman" w:hAnsi="Times New Roman" w:cs="Times New Roman"/>
                <w:color w:val="auto"/>
                <w:sz w:val="21"/>
                <w:szCs w:val="21"/>
                <w:highlight w:val="none"/>
              </w:rPr>
              <w:t>。</w:t>
            </w:r>
          </w:p>
          <w:p w14:paraId="523AAADA">
            <w:pPr>
              <w:keepNext w:val="0"/>
              <w:keepLines w:val="0"/>
              <w:pageBreakBefore w:val="0"/>
              <w:widowControl w:val="0"/>
              <w:kinsoku/>
              <w:wordWrap/>
              <w:overflowPunct/>
              <w:topLinePunct w:val="0"/>
              <w:autoSpaceDE/>
              <w:autoSpaceDN/>
              <w:bidi w:val="0"/>
              <w:adjustRightInd/>
              <w:snapToGrid w:val="0"/>
              <w:spacing w:before="157" w:beforeLines="50" w:line="240" w:lineRule="auto"/>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表4-</w:t>
            </w:r>
            <w:r>
              <w:rPr>
                <w:rFonts w:hint="eastAsia" w:cs="Times New Roman"/>
                <w:b/>
                <w:bCs/>
                <w:color w:val="auto"/>
                <w:sz w:val="21"/>
                <w:szCs w:val="21"/>
                <w:highlight w:val="none"/>
                <w:lang w:val="en-US" w:eastAsia="zh-CN"/>
              </w:rPr>
              <w:t>8</w:t>
            </w:r>
            <w:r>
              <w:rPr>
                <w:rFonts w:hint="default" w:ascii="Times New Roman" w:hAnsi="Times New Roman" w:cs="Times New Roman"/>
                <w:b/>
                <w:bCs/>
                <w:color w:val="auto"/>
                <w:sz w:val="21"/>
                <w:szCs w:val="21"/>
                <w:highlight w:val="none"/>
              </w:rPr>
              <w:t xml:space="preserve"> 本项目有组织废气排放达标分析情况表</w:t>
            </w:r>
          </w:p>
          <w:tbl>
            <w:tblPr>
              <w:tblStyle w:val="30"/>
              <w:tblW w:w="5002"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619"/>
              <w:gridCol w:w="722"/>
              <w:gridCol w:w="750"/>
              <w:gridCol w:w="956"/>
              <w:gridCol w:w="731"/>
              <w:gridCol w:w="901"/>
              <w:gridCol w:w="777"/>
              <w:gridCol w:w="778"/>
              <w:gridCol w:w="470"/>
              <w:gridCol w:w="1803"/>
            </w:tblGrid>
            <w:tr w14:paraId="798C7F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63" w:type="pct"/>
                  <w:vMerge w:val="restart"/>
                  <w:noWrap w:val="0"/>
                  <w:tcMar>
                    <w:left w:w="0" w:type="dxa"/>
                    <w:right w:w="0" w:type="dxa"/>
                  </w:tcMar>
                  <w:vAlign w:val="center"/>
                </w:tcPr>
                <w:p w14:paraId="3A33B9CC">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产物工段</w:t>
                  </w:r>
                </w:p>
              </w:tc>
              <w:tc>
                <w:tcPr>
                  <w:tcW w:w="424" w:type="pct"/>
                  <w:vMerge w:val="restart"/>
                  <w:noWrap w:val="0"/>
                  <w:tcMar>
                    <w:left w:w="0" w:type="dxa"/>
                    <w:right w:w="0" w:type="dxa"/>
                  </w:tcMar>
                  <w:vAlign w:val="center"/>
                </w:tcPr>
                <w:p w14:paraId="3B2651D1">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排气筒编号</w:t>
                  </w:r>
                </w:p>
              </w:tc>
              <w:tc>
                <w:tcPr>
                  <w:tcW w:w="440" w:type="pct"/>
                  <w:vMerge w:val="restart"/>
                  <w:noWrap w:val="0"/>
                  <w:tcMar>
                    <w:left w:w="0" w:type="dxa"/>
                    <w:right w:w="0" w:type="dxa"/>
                  </w:tcMar>
                  <w:vAlign w:val="center"/>
                </w:tcPr>
                <w:p w14:paraId="66A59D06">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污染物名称</w:t>
                  </w:r>
                </w:p>
              </w:tc>
              <w:tc>
                <w:tcPr>
                  <w:tcW w:w="991" w:type="pct"/>
                  <w:gridSpan w:val="2"/>
                  <w:noWrap w:val="0"/>
                  <w:vAlign w:val="center"/>
                </w:tcPr>
                <w:p w14:paraId="2FE003A7">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执行标准</w:t>
                  </w:r>
                </w:p>
              </w:tc>
              <w:tc>
                <w:tcPr>
                  <w:tcW w:w="1443" w:type="pct"/>
                  <w:gridSpan w:val="3"/>
                  <w:noWrap w:val="0"/>
                  <w:vAlign w:val="center"/>
                </w:tcPr>
                <w:p w14:paraId="3ED60AE9">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污染物排放</w:t>
                  </w:r>
                </w:p>
              </w:tc>
              <w:tc>
                <w:tcPr>
                  <w:tcW w:w="276" w:type="pct"/>
                  <w:vMerge w:val="restart"/>
                  <w:noWrap w:val="0"/>
                  <w:tcMar>
                    <w:left w:w="0" w:type="dxa"/>
                    <w:right w:w="0" w:type="dxa"/>
                  </w:tcMar>
                  <w:vAlign w:val="center"/>
                </w:tcPr>
                <w:p w14:paraId="1BA8CA42">
                  <w:pPr>
                    <w:pageBreakBefore w:val="0"/>
                    <w:kinsoku/>
                    <w:wordWrap/>
                    <w:overflowPunct/>
                    <w:topLinePunct w:val="0"/>
                    <w:bidi w:val="0"/>
                    <w:snapToGrid w:val="0"/>
                    <w:jc w:val="center"/>
                    <w:rPr>
                      <w:rFonts w:hint="default" w:ascii="Times New Roman" w:hAnsi="Times New Roman" w:cs="Times New Roman"/>
                      <w:color w:val="auto"/>
                      <w:spacing w:val="-6"/>
                      <w:sz w:val="21"/>
                      <w:szCs w:val="21"/>
                      <w:highlight w:val="none"/>
                    </w:rPr>
                  </w:pPr>
                  <w:r>
                    <w:rPr>
                      <w:rFonts w:hint="default" w:ascii="Times New Roman" w:hAnsi="Times New Roman" w:cs="Times New Roman"/>
                      <w:b/>
                      <w:bCs/>
                      <w:color w:val="auto"/>
                      <w:spacing w:val="-6"/>
                      <w:sz w:val="21"/>
                      <w:szCs w:val="21"/>
                      <w:highlight w:val="none"/>
                    </w:rPr>
                    <w:t>达标判定</w:t>
                  </w:r>
                </w:p>
              </w:tc>
              <w:tc>
                <w:tcPr>
                  <w:tcW w:w="1059" w:type="pct"/>
                  <w:vMerge w:val="restart"/>
                  <w:noWrap w:val="0"/>
                  <w:vAlign w:val="center"/>
                </w:tcPr>
                <w:p w14:paraId="17488CDB">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标准来源</w:t>
                  </w:r>
                </w:p>
              </w:tc>
            </w:tr>
            <w:tr w14:paraId="3E6E7D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63" w:type="pct"/>
                  <w:vMerge w:val="continue"/>
                  <w:noWrap w:val="0"/>
                  <w:vAlign w:val="center"/>
                </w:tcPr>
                <w:p w14:paraId="08DD6E05">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p>
              </w:tc>
              <w:tc>
                <w:tcPr>
                  <w:tcW w:w="424" w:type="pct"/>
                  <w:vMerge w:val="continue"/>
                  <w:noWrap w:val="0"/>
                  <w:vAlign w:val="center"/>
                </w:tcPr>
                <w:p w14:paraId="496A3FED">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p>
              </w:tc>
              <w:tc>
                <w:tcPr>
                  <w:tcW w:w="440" w:type="pct"/>
                  <w:vMerge w:val="continue"/>
                  <w:noWrap w:val="0"/>
                  <w:vAlign w:val="center"/>
                </w:tcPr>
                <w:p w14:paraId="4BA0EA14">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p>
              </w:tc>
              <w:tc>
                <w:tcPr>
                  <w:tcW w:w="561" w:type="pct"/>
                  <w:noWrap w:val="0"/>
                  <w:tcMar>
                    <w:left w:w="0" w:type="dxa"/>
                    <w:right w:w="0" w:type="dxa"/>
                  </w:tcMar>
                  <w:vAlign w:val="center"/>
                </w:tcPr>
                <w:p w14:paraId="74344B10">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浓度（mg/m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rPr>
                    <w:t>）</w:t>
                  </w:r>
                </w:p>
              </w:tc>
              <w:tc>
                <w:tcPr>
                  <w:tcW w:w="429" w:type="pct"/>
                  <w:noWrap w:val="0"/>
                  <w:tcMar>
                    <w:left w:w="0" w:type="dxa"/>
                    <w:right w:w="0" w:type="dxa"/>
                  </w:tcMar>
                  <w:vAlign w:val="center"/>
                </w:tcPr>
                <w:p w14:paraId="7F8661A6">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速率（kg/h）</w:t>
                  </w:r>
                </w:p>
              </w:tc>
              <w:tc>
                <w:tcPr>
                  <w:tcW w:w="529" w:type="pct"/>
                  <w:noWrap w:val="0"/>
                  <w:tcMar>
                    <w:left w:w="0" w:type="dxa"/>
                    <w:right w:w="0" w:type="dxa"/>
                  </w:tcMar>
                  <w:vAlign w:val="center"/>
                </w:tcPr>
                <w:p w14:paraId="03D22327">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浓度</w:t>
                  </w:r>
                  <w:r>
                    <w:rPr>
                      <w:rFonts w:hint="default" w:ascii="Times New Roman" w:hAnsi="Times New Roman" w:cs="Times New Roman"/>
                      <w:b/>
                      <w:bCs/>
                      <w:color w:val="auto"/>
                      <w:spacing w:val="-6"/>
                      <w:sz w:val="21"/>
                      <w:szCs w:val="21"/>
                      <w:highlight w:val="none"/>
                    </w:rPr>
                    <w:t>（mg/m</w:t>
                  </w:r>
                  <w:r>
                    <w:rPr>
                      <w:rFonts w:hint="default" w:ascii="Times New Roman" w:hAnsi="Times New Roman" w:cs="Times New Roman"/>
                      <w:b/>
                      <w:bCs/>
                      <w:color w:val="auto"/>
                      <w:spacing w:val="-6"/>
                      <w:sz w:val="21"/>
                      <w:szCs w:val="21"/>
                      <w:highlight w:val="none"/>
                      <w:vertAlign w:val="superscript"/>
                    </w:rPr>
                    <w:t>3</w:t>
                  </w:r>
                  <w:r>
                    <w:rPr>
                      <w:rFonts w:hint="default" w:ascii="Times New Roman" w:hAnsi="Times New Roman" w:cs="Times New Roman"/>
                      <w:b/>
                      <w:bCs/>
                      <w:color w:val="auto"/>
                      <w:spacing w:val="-6"/>
                      <w:sz w:val="21"/>
                      <w:szCs w:val="21"/>
                      <w:highlight w:val="none"/>
                    </w:rPr>
                    <w:t>）</w:t>
                  </w:r>
                </w:p>
              </w:tc>
              <w:tc>
                <w:tcPr>
                  <w:tcW w:w="456" w:type="pct"/>
                  <w:noWrap w:val="0"/>
                  <w:tcMar>
                    <w:left w:w="0" w:type="dxa"/>
                    <w:right w:w="0" w:type="dxa"/>
                  </w:tcMar>
                  <w:vAlign w:val="center"/>
                </w:tcPr>
                <w:p w14:paraId="1B9F2060">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pacing w:val="-6"/>
                      <w:sz w:val="21"/>
                      <w:szCs w:val="21"/>
                      <w:highlight w:val="none"/>
                    </w:rPr>
                    <w:t>速率</w:t>
                  </w:r>
                  <w:r>
                    <w:rPr>
                      <w:rFonts w:hint="default" w:ascii="Times New Roman" w:hAnsi="Times New Roman" w:cs="Times New Roman"/>
                      <w:b/>
                      <w:bCs/>
                      <w:color w:val="auto"/>
                      <w:sz w:val="21"/>
                      <w:szCs w:val="21"/>
                      <w:highlight w:val="none"/>
                    </w:rPr>
                    <w:t>（kg/h）</w:t>
                  </w:r>
                </w:p>
              </w:tc>
              <w:tc>
                <w:tcPr>
                  <w:tcW w:w="457" w:type="pct"/>
                  <w:noWrap w:val="0"/>
                  <w:tcMar>
                    <w:left w:w="0" w:type="dxa"/>
                    <w:right w:w="0" w:type="dxa"/>
                  </w:tcMar>
                  <w:vAlign w:val="center"/>
                </w:tcPr>
                <w:p w14:paraId="650FB411">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排放量（t/a）</w:t>
                  </w:r>
                </w:p>
              </w:tc>
              <w:tc>
                <w:tcPr>
                  <w:tcW w:w="276" w:type="pct"/>
                  <w:vMerge w:val="continue"/>
                  <w:noWrap w:val="0"/>
                  <w:vAlign w:val="center"/>
                </w:tcPr>
                <w:p w14:paraId="0006B968">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p>
              </w:tc>
              <w:tc>
                <w:tcPr>
                  <w:tcW w:w="1059" w:type="pct"/>
                  <w:vMerge w:val="continue"/>
                  <w:noWrap w:val="0"/>
                  <w:vAlign w:val="center"/>
                </w:tcPr>
                <w:p w14:paraId="3E8C07C1">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p>
              </w:tc>
            </w:tr>
            <w:tr w14:paraId="3F1AC9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63" w:type="pct"/>
                  <w:noWrap w:val="0"/>
                  <w:vAlign w:val="center"/>
                </w:tcPr>
                <w:p w14:paraId="0A12A5D1">
                  <w:pPr>
                    <w:pageBreakBefore w:val="0"/>
                    <w:kinsoku/>
                    <w:wordWrap/>
                    <w:overflowPunct/>
                    <w:topLinePunct w:val="0"/>
                    <w:bidi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直印</w:t>
                  </w:r>
                </w:p>
              </w:tc>
              <w:tc>
                <w:tcPr>
                  <w:tcW w:w="424" w:type="pct"/>
                  <w:noWrap w:val="0"/>
                  <w:vAlign w:val="center"/>
                </w:tcPr>
                <w:p w14:paraId="61AF87C5">
                  <w:pPr>
                    <w:pageBreakBefore w:val="0"/>
                    <w:kinsoku/>
                    <w:wordWrap/>
                    <w:overflowPunct/>
                    <w:topLinePunct w:val="0"/>
                    <w:bidi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DA00</w:t>
                  </w:r>
                  <w:r>
                    <w:rPr>
                      <w:rFonts w:hint="eastAsia" w:cs="Times New Roman"/>
                      <w:color w:val="auto"/>
                      <w:sz w:val="21"/>
                      <w:szCs w:val="21"/>
                      <w:highlight w:val="none"/>
                      <w:lang w:val="en-US" w:eastAsia="zh-CN"/>
                    </w:rPr>
                    <w:t>2</w:t>
                  </w:r>
                </w:p>
              </w:tc>
              <w:tc>
                <w:tcPr>
                  <w:tcW w:w="440" w:type="pct"/>
                  <w:noWrap w:val="0"/>
                  <w:vAlign w:val="center"/>
                </w:tcPr>
                <w:p w14:paraId="51B13832">
                  <w:pPr>
                    <w:keepNext w:val="0"/>
                    <w:keepLines w:val="0"/>
                    <w:pageBreakBefore w:val="0"/>
                    <w:widowControl/>
                    <w:suppressLineNumbers w:val="0"/>
                    <w:kinsoku/>
                    <w:wordWrap/>
                    <w:overflowPunct/>
                    <w:topLinePunct w:val="0"/>
                    <w:bidi w:val="0"/>
                    <w:snapToGrid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i w:val="0"/>
                      <w:iCs w:val="0"/>
                      <w:color w:val="auto"/>
                      <w:kern w:val="0"/>
                      <w:sz w:val="21"/>
                      <w:szCs w:val="21"/>
                      <w:highlight w:val="none"/>
                      <w:u w:val="none"/>
                      <w:lang w:val="en-US" w:eastAsia="zh-CN" w:bidi="ar"/>
                    </w:rPr>
                    <w:t>非甲烷总烃</w:t>
                  </w:r>
                </w:p>
              </w:tc>
              <w:tc>
                <w:tcPr>
                  <w:tcW w:w="561" w:type="pct"/>
                  <w:noWrap w:val="0"/>
                  <w:vAlign w:val="center"/>
                </w:tcPr>
                <w:p w14:paraId="33BD1CC4">
                  <w:pPr>
                    <w:pStyle w:val="29"/>
                    <w:keepNext w:val="0"/>
                    <w:keepLines w:val="0"/>
                    <w:pageBreakBefore w:val="0"/>
                    <w:widowControl/>
                    <w:kinsoku/>
                    <w:wordWrap/>
                    <w:overflowPunct/>
                    <w:topLinePunct w:val="0"/>
                    <w:autoSpaceDE/>
                    <w:autoSpaceDN/>
                    <w:bidi w:val="0"/>
                    <w:adjustRightInd/>
                    <w:snapToGrid w:val="0"/>
                    <w:spacing w:before="0" w:after="0" w:line="240" w:lineRule="auto"/>
                    <w:ind w:right="0" w:rightChars="0" w:firstLine="0" w:firstLineChars="0"/>
                    <w:jc w:val="center"/>
                    <w:textAlignment w:val="auto"/>
                    <w:rPr>
                      <w:rFonts w:hint="default" w:ascii="Times New Roman" w:hAnsi="Times New Roman" w:eastAsia="宋体" w:cs="Times New Roman"/>
                      <w:b w:val="0"/>
                      <w:bCs w:val="0"/>
                      <w:color w:val="auto"/>
                      <w:kern w:val="0"/>
                      <w:sz w:val="21"/>
                      <w:szCs w:val="21"/>
                      <w:vertAlign w:val="baseline"/>
                      <w:lang w:val="en-US" w:eastAsia="zh-CN" w:bidi="ar-SA"/>
                    </w:rPr>
                  </w:pPr>
                  <w:r>
                    <w:rPr>
                      <w:rFonts w:hint="eastAsia" w:ascii="Times New Roman" w:hAnsi="Times New Roman" w:eastAsia="宋体" w:cs="Times New Roman"/>
                      <w:b w:val="0"/>
                      <w:bCs w:val="0"/>
                      <w:color w:val="auto"/>
                      <w:kern w:val="0"/>
                      <w:sz w:val="21"/>
                      <w:szCs w:val="21"/>
                      <w:vertAlign w:val="baseline"/>
                      <w:lang w:val="en-US" w:eastAsia="zh-CN" w:bidi="ar-SA"/>
                    </w:rPr>
                    <w:t>50</w:t>
                  </w:r>
                </w:p>
              </w:tc>
              <w:tc>
                <w:tcPr>
                  <w:tcW w:w="429" w:type="pct"/>
                  <w:noWrap w:val="0"/>
                  <w:vAlign w:val="center"/>
                </w:tcPr>
                <w:p w14:paraId="49B72928">
                  <w:pPr>
                    <w:keepNext w:val="0"/>
                    <w:keepLines w:val="0"/>
                    <w:pageBreakBefore w:val="0"/>
                    <w:widowControl/>
                    <w:suppressLineNumbers w:val="0"/>
                    <w:kinsoku/>
                    <w:wordWrap/>
                    <w:overflowPunct/>
                    <w:topLinePunct w:val="0"/>
                    <w:bidi w:val="0"/>
                    <w:snapToGrid w:val="0"/>
                    <w:jc w:val="center"/>
                    <w:textAlignment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eastAsia" w:ascii="Times New Roman" w:hAnsi="Times New Roman" w:cs="Times New Roman"/>
                      <w:b w:val="0"/>
                      <w:bCs w:val="0"/>
                      <w:color w:val="auto"/>
                      <w:kern w:val="0"/>
                      <w:sz w:val="21"/>
                      <w:szCs w:val="21"/>
                      <w:vertAlign w:val="baseline"/>
                      <w:lang w:val="en-US" w:eastAsia="zh-CN" w:bidi="ar-SA"/>
                    </w:rPr>
                    <w:t>1.8</w:t>
                  </w:r>
                </w:p>
              </w:tc>
              <w:tc>
                <w:tcPr>
                  <w:tcW w:w="529" w:type="pct"/>
                  <w:shd w:val="clear" w:color="auto" w:fill="auto"/>
                  <w:noWrap w:val="0"/>
                  <w:vAlign w:val="center"/>
                </w:tcPr>
                <w:p w14:paraId="16019271">
                  <w:pPr>
                    <w:jc w:val="center"/>
                    <w:rPr>
                      <w:rFonts w:hint="default" w:ascii="Times New Roman" w:hAnsi="Times New Roman" w:eastAsia="宋体" w:cs="Times New Roman"/>
                      <w:b w:val="0"/>
                      <w:bCs w:val="0"/>
                      <w:kern w:val="2"/>
                      <w:sz w:val="21"/>
                      <w:szCs w:val="24"/>
                      <w:vertAlign w:val="baseline"/>
                      <w:lang w:val="en-US" w:eastAsia="zh-CN" w:bidi="ar-SA"/>
                    </w:rPr>
                  </w:pPr>
                  <w:r>
                    <w:rPr>
                      <w:rFonts w:hint="eastAsia"/>
                      <w:b w:val="0"/>
                      <w:bCs w:val="0"/>
                      <w:vertAlign w:val="baseline"/>
                      <w:lang w:val="en-US" w:eastAsia="zh-CN"/>
                    </w:rPr>
                    <w:t>5.05</w:t>
                  </w:r>
                </w:p>
              </w:tc>
              <w:tc>
                <w:tcPr>
                  <w:tcW w:w="456" w:type="pct"/>
                  <w:shd w:val="clear" w:color="auto" w:fill="auto"/>
                  <w:noWrap w:val="0"/>
                  <w:vAlign w:val="center"/>
                </w:tcPr>
                <w:p w14:paraId="72849706">
                  <w:pPr>
                    <w:jc w:val="center"/>
                    <w:rPr>
                      <w:rFonts w:hint="default" w:ascii="Times New Roman" w:hAnsi="Times New Roman" w:eastAsia="宋体" w:cs="Times New Roman"/>
                      <w:b w:val="0"/>
                      <w:bCs w:val="0"/>
                      <w:kern w:val="2"/>
                      <w:sz w:val="21"/>
                      <w:szCs w:val="24"/>
                      <w:vertAlign w:val="baseline"/>
                      <w:lang w:val="en-US" w:eastAsia="zh-CN" w:bidi="ar-SA"/>
                    </w:rPr>
                  </w:pPr>
                  <w:r>
                    <w:rPr>
                      <w:rFonts w:hint="eastAsia"/>
                      <w:b w:val="0"/>
                      <w:bCs w:val="0"/>
                      <w:vertAlign w:val="baseline"/>
                      <w:lang w:val="en-US" w:eastAsia="zh-CN"/>
                    </w:rPr>
                    <w:t>0.069</w:t>
                  </w:r>
                </w:p>
              </w:tc>
              <w:tc>
                <w:tcPr>
                  <w:tcW w:w="457" w:type="pct"/>
                  <w:shd w:val="clear" w:color="auto" w:fill="auto"/>
                  <w:noWrap w:val="0"/>
                  <w:vAlign w:val="center"/>
                </w:tcPr>
                <w:p w14:paraId="2C64293C">
                  <w:pPr>
                    <w:jc w:val="center"/>
                    <w:rPr>
                      <w:rFonts w:hint="default" w:ascii="Times New Roman" w:hAnsi="Times New Roman" w:eastAsia="宋体" w:cs="Times New Roman"/>
                      <w:b w:val="0"/>
                      <w:bCs w:val="0"/>
                      <w:kern w:val="2"/>
                      <w:sz w:val="21"/>
                      <w:szCs w:val="24"/>
                      <w:vertAlign w:val="baseline"/>
                      <w:lang w:val="en-US" w:eastAsia="zh-CN" w:bidi="ar-SA"/>
                    </w:rPr>
                  </w:pPr>
                  <w:r>
                    <w:rPr>
                      <w:rFonts w:hint="eastAsia"/>
                      <w:b w:val="0"/>
                      <w:bCs w:val="0"/>
                      <w:vertAlign w:val="baseline"/>
                      <w:lang w:val="en-US" w:eastAsia="zh-CN"/>
                    </w:rPr>
                    <w:t>0.494</w:t>
                  </w:r>
                </w:p>
              </w:tc>
              <w:tc>
                <w:tcPr>
                  <w:tcW w:w="276" w:type="pct"/>
                  <w:noWrap w:val="0"/>
                  <w:tcMar>
                    <w:left w:w="0" w:type="dxa"/>
                    <w:right w:w="0" w:type="dxa"/>
                  </w:tcMar>
                  <w:vAlign w:val="center"/>
                </w:tcPr>
                <w:p w14:paraId="612C918A">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达标</w:t>
                  </w:r>
                </w:p>
              </w:tc>
              <w:tc>
                <w:tcPr>
                  <w:tcW w:w="1059" w:type="pct"/>
                  <w:vMerge w:val="restart"/>
                  <w:noWrap w:val="0"/>
                  <w:tcMar>
                    <w:left w:w="0" w:type="dxa"/>
                    <w:right w:w="0" w:type="dxa"/>
                  </w:tcMar>
                  <w:vAlign w:val="center"/>
                </w:tcPr>
                <w:p w14:paraId="3965C301">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《印刷工业大气污染物排放标准》（DB32/4438-2022）</w:t>
                  </w:r>
                </w:p>
              </w:tc>
            </w:tr>
            <w:tr w14:paraId="3524EA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63" w:type="pct"/>
                  <w:noWrap w:val="0"/>
                  <w:vAlign w:val="center"/>
                </w:tcPr>
                <w:p w14:paraId="67AA89D4">
                  <w:pPr>
                    <w:jc w:val="center"/>
                    <w:textAlignment w:val="center"/>
                    <w:rPr>
                      <w:rFonts w:hint="eastAsia" w:eastAsia="宋体"/>
                      <w:color w:val="auto"/>
                      <w:kern w:val="2"/>
                      <w:sz w:val="21"/>
                      <w:szCs w:val="21"/>
                      <w:lang w:val="en-US" w:eastAsia="zh-CN" w:bidi="ar-SA"/>
                    </w:rPr>
                  </w:pPr>
                  <w:r>
                    <w:rPr>
                      <w:rFonts w:hint="eastAsia"/>
                      <w:color w:val="auto"/>
                      <w:szCs w:val="21"/>
                      <w:lang w:val="en-US" w:eastAsia="zh-CN"/>
                    </w:rPr>
                    <w:t>直印</w:t>
                  </w:r>
                </w:p>
              </w:tc>
              <w:tc>
                <w:tcPr>
                  <w:tcW w:w="424" w:type="pct"/>
                  <w:noWrap w:val="0"/>
                  <w:vAlign w:val="center"/>
                </w:tcPr>
                <w:p w14:paraId="30EC51C4">
                  <w:pPr>
                    <w:pageBreakBefore w:val="0"/>
                    <w:kinsoku/>
                    <w:wordWrap/>
                    <w:overflowPunct/>
                    <w:topLinePunct w:val="0"/>
                    <w:bidi w:val="0"/>
                    <w:snapToGrid w:val="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DA005</w:t>
                  </w:r>
                </w:p>
              </w:tc>
              <w:tc>
                <w:tcPr>
                  <w:tcW w:w="440" w:type="pct"/>
                  <w:noWrap w:val="0"/>
                  <w:vAlign w:val="center"/>
                </w:tcPr>
                <w:p w14:paraId="1263FE99">
                  <w:pPr>
                    <w:keepNext w:val="0"/>
                    <w:keepLines w:val="0"/>
                    <w:pageBreakBefore w:val="0"/>
                    <w:widowControl/>
                    <w:suppressLineNumbers w:val="0"/>
                    <w:kinsoku/>
                    <w:wordWrap/>
                    <w:overflowPunct/>
                    <w:topLinePunct w:val="0"/>
                    <w:bidi w:val="0"/>
                    <w:snapToGrid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eastAsia" w:ascii="Times New Roman" w:hAnsi="Times New Roman" w:cs="Times New Roman"/>
                      <w:i w:val="0"/>
                      <w:iCs w:val="0"/>
                      <w:color w:val="auto"/>
                      <w:kern w:val="0"/>
                      <w:sz w:val="21"/>
                      <w:szCs w:val="21"/>
                      <w:highlight w:val="none"/>
                      <w:u w:val="none"/>
                      <w:lang w:val="en-US" w:eastAsia="zh-CN" w:bidi="ar"/>
                    </w:rPr>
                    <w:t>非甲烷总烃</w:t>
                  </w:r>
                </w:p>
              </w:tc>
              <w:tc>
                <w:tcPr>
                  <w:tcW w:w="561" w:type="pct"/>
                  <w:shd w:val="clear" w:color="auto" w:fill="auto"/>
                  <w:noWrap w:val="0"/>
                  <w:vAlign w:val="center"/>
                </w:tcPr>
                <w:p w14:paraId="47DBD51A">
                  <w:pPr>
                    <w:pStyle w:val="29"/>
                    <w:keepNext w:val="0"/>
                    <w:keepLines w:val="0"/>
                    <w:pageBreakBefore w:val="0"/>
                    <w:widowControl/>
                    <w:kinsoku/>
                    <w:wordWrap/>
                    <w:overflowPunct/>
                    <w:topLinePunct w:val="0"/>
                    <w:autoSpaceDE/>
                    <w:autoSpaceDN/>
                    <w:bidi w:val="0"/>
                    <w:adjustRightInd/>
                    <w:snapToGrid w:val="0"/>
                    <w:spacing w:before="0" w:after="0" w:line="240" w:lineRule="auto"/>
                    <w:ind w:right="0" w:rightChars="0" w:firstLine="0" w:firstLineChars="0"/>
                    <w:jc w:val="center"/>
                    <w:textAlignment w:val="auto"/>
                    <w:rPr>
                      <w:rFonts w:hint="eastAsia" w:ascii="Times New Roman" w:hAnsi="Times New Roman" w:eastAsia="宋体" w:cs="Times New Roman"/>
                      <w:b w:val="0"/>
                      <w:bCs w:val="0"/>
                      <w:color w:val="auto"/>
                      <w:kern w:val="0"/>
                      <w:sz w:val="21"/>
                      <w:szCs w:val="21"/>
                      <w:vertAlign w:val="baseline"/>
                      <w:lang w:val="en-US" w:eastAsia="zh-CN" w:bidi="ar-SA"/>
                    </w:rPr>
                  </w:pPr>
                  <w:r>
                    <w:rPr>
                      <w:rFonts w:hint="eastAsia" w:ascii="Times New Roman" w:hAnsi="Times New Roman" w:eastAsia="宋体" w:cs="Times New Roman"/>
                      <w:b w:val="0"/>
                      <w:bCs w:val="0"/>
                      <w:color w:val="auto"/>
                      <w:kern w:val="0"/>
                      <w:sz w:val="21"/>
                      <w:szCs w:val="21"/>
                      <w:vertAlign w:val="baseline"/>
                      <w:lang w:val="en-US" w:eastAsia="zh-CN" w:bidi="ar-SA"/>
                    </w:rPr>
                    <w:t>50</w:t>
                  </w:r>
                </w:p>
              </w:tc>
              <w:tc>
                <w:tcPr>
                  <w:tcW w:w="429" w:type="pct"/>
                  <w:shd w:val="clear" w:color="auto" w:fill="auto"/>
                  <w:noWrap w:val="0"/>
                  <w:vAlign w:val="center"/>
                </w:tcPr>
                <w:p w14:paraId="4455E3F3">
                  <w:pPr>
                    <w:keepNext w:val="0"/>
                    <w:keepLines w:val="0"/>
                    <w:pageBreakBefore w:val="0"/>
                    <w:widowControl/>
                    <w:suppressLineNumbers w:val="0"/>
                    <w:kinsoku/>
                    <w:wordWrap/>
                    <w:overflowPunct/>
                    <w:topLinePunct w:val="0"/>
                    <w:bidi w:val="0"/>
                    <w:snapToGrid w:val="0"/>
                    <w:jc w:val="center"/>
                    <w:textAlignment w:val="center"/>
                    <w:rPr>
                      <w:rFonts w:hint="eastAsia" w:ascii="Times New Roman" w:hAnsi="Times New Roman" w:eastAsia="宋体" w:cs="Times New Roman"/>
                      <w:b w:val="0"/>
                      <w:bCs w:val="0"/>
                      <w:color w:val="auto"/>
                      <w:kern w:val="0"/>
                      <w:sz w:val="21"/>
                      <w:szCs w:val="21"/>
                      <w:vertAlign w:val="baseline"/>
                      <w:lang w:val="en-US" w:eastAsia="zh-CN" w:bidi="ar-SA"/>
                    </w:rPr>
                  </w:pPr>
                  <w:r>
                    <w:rPr>
                      <w:rFonts w:hint="eastAsia" w:ascii="Times New Roman" w:hAnsi="Times New Roman" w:cs="Times New Roman"/>
                      <w:b w:val="0"/>
                      <w:bCs w:val="0"/>
                      <w:color w:val="auto"/>
                      <w:kern w:val="0"/>
                      <w:sz w:val="21"/>
                      <w:szCs w:val="21"/>
                      <w:vertAlign w:val="baseline"/>
                      <w:lang w:val="en-US" w:eastAsia="zh-CN" w:bidi="ar-SA"/>
                    </w:rPr>
                    <w:t>1.8</w:t>
                  </w:r>
                </w:p>
              </w:tc>
              <w:tc>
                <w:tcPr>
                  <w:tcW w:w="529" w:type="pct"/>
                  <w:shd w:val="clear" w:color="auto" w:fill="auto"/>
                  <w:noWrap w:val="0"/>
                  <w:vAlign w:val="center"/>
                </w:tcPr>
                <w:p w14:paraId="3108EB31">
                  <w:pPr>
                    <w:bidi w:val="0"/>
                    <w:jc w:val="center"/>
                    <w:rPr>
                      <w:rFonts w:hint="eastAsia" w:ascii="Times New Roman" w:hAnsi="Times New Roman" w:eastAsia="宋体" w:cs="Times New Roman"/>
                      <w:kern w:val="2"/>
                      <w:sz w:val="21"/>
                      <w:szCs w:val="24"/>
                      <w:lang w:val="en-US" w:eastAsia="zh-CN" w:bidi="ar-SA"/>
                    </w:rPr>
                  </w:pPr>
                  <w:r>
                    <w:rPr>
                      <w:rFonts w:hint="eastAsia" w:cs="Times New Roman"/>
                      <w:lang w:val="en-US" w:eastAsia="zh-CN"/>
                    </w:rPr>
                    <w:t>0.06</w:t>
                  </w:r>
                </w:p>
              </w:tc>
              <w:tc>
                <w:tcPr>
                  <w:tcW w:w="456" w:type="pct"/>
                  <w:shd w:val="clear" w:color="auto" w:fill="auto"/>
                  <w:noWrap w:val="0"/>
                  <w:vAlign w:val="center"/>
                </w:tcPr>
                <w:p w14:paraId="48863B63">
                  <w:pPr>
                    <w:bidi w:val="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cs="Times New Roman"/>
                      <w:lang w:val="en-US" w:eastAsia="zh-CN"/>
                    </w:rPr>
                    <w:t>0.0003</w:t>
                  </w:r>
                </w:p>
              </w:tc>
              <w:tc>
                <w:tcPr>
                  <w:tcW w:w="457" w:type="pct"/>
                  <w:shd w:val="clear" w:color="auto" w:fill="auto"/>
                  <w:noWrap w:val="0"/>
                  <w:vAlign w:val="center"/>
                </w:tcPr>
                <w:p w14:paraId="60260263">
                  <w:pPr>
                    <w:bidi w:val="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cs="Times New Roman"/>
                      <w:lang w:val="en-US" w:eastAsia="zh-CN"/>
                    </w:rPr>
                    <w:t>0.0022</w:t>
                  </w:r>
                </w:p>
              </w:tc>
              <w:tc>
                <w:tcPr>
                  <w:tcW w:w="276" w:type="pct"/>
                  <w:noWrap w:val="0"/>
                  <w:tcMar>
                    <w:left w:w="0" w:type="dxa"/>
                    <w:right w:w="0" w:type="dxa"/>
                  </w:tcMar>
                  <w:vAlign w:val="center"/>
                </w:tcPr>
                <w:p w14:paraId="4C34DFE8">
                  <w:pPr>
                    <w:pageBreakBefore w:val="0"/>
                    <w:kinsoku/>
                    <w:wordWrap/>
                    <w:overflowPunct/>
                    <w:topLinePunct w:val="0"/>
                    <w:bidi w:val="0"/>
                    <w:snapToGrid w:val="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达标</w:t>
                  </w:r>
                </w:p>
              </w:tc>
              <w:tc>
                <w:tcPr>
                  <w:tcW w:w="1059" w:type="pct"/>
                  <w:vMerge w:val="continue"/>
                  <w:noWrap w:val="0"/>
                  <w:tcMar>
                    <w:left w:w="0" w:type="dxa"/>
                    <w:right w:w="0" w:type="dxa"/>
                  </w:tcMar>
                  <w:vAlign w:val="center"/>
                </w:tcPr>
                <w:p w14:paraId="49224DF5">
                  <w:pPr>
                    <w:pageBreakBefore w:val="0"/>
                    <w:kinsoku/>
                    <w:wordWrap/>
                    <w:overflowPunct/>
                    <w:topLinePunct w:val="0"/>
                    <w:bidi w:val="0"/>
                    <w:snapToGrid w:val="0"/>
                    <w:jc w:val="center"/>
                    <w:rPr>
                      <w:rFonts w:hint="default" w:ascii="Times New Roman" w:hAnsi="Times New Roman" w:cs="Times New Roman"/>
                      <w:color w:val="auto"/>
                      <w:sz w:val="21"/>
                      <w:szCs w:val="21"/>
                      <w:highlight w:val="none"/>
                    </w:rPr>
                  </w:pPr>
                </w:p>
              </w:tc>
            </w:tr>
            <w:tr w14:paraId="5485BE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00" w:type="pct"/>
                  <w:gridSpan w:val="10"/>
                  <w:noWrap w:val="0"/>
                  <w:vAlign w:val="center"/>
                </w:tcPr>
                <w:p w14:paraId="0C98F048">
                  <w:pPr>
                    <w:pageBreakBefore w:val="0"/>
                    <w:kinsoku/>
                    <w:wordWrap/>
                    <w:overflowPunct/>
                    <w:topLinePunct w:val="0"/>
                    <w:bidi w:val="0"/>
                    <w:snapToGrid w:val="0"/>
                    <w:jc w:val="both"/>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注：DA002排气筒为叠加相同污染源后，有组织废气排放达标情况</w:t>
                  </w:r>
                </w:p>
              </w:tc>
            </w:tr>
          </w:tbl>
          <w:p w14:paraId="5E4A4F5C">
            <w:pPr>
              <w:keepNext w:val="0"/>
              <w:keepLines w:val="0"/>
              <w:pageBreakBefore w:val="0"/>
              <w:widowControl w:val="0"/>
              <w:numPr>
                <w:ilvl w:val="1"/>
                <w:numId w:val="0"/>
              </w:numPr>
              <w:kinsoku/>
              <w:wordWrap/>
              <w:overflowPunct/>
              <w:topLinePunct w:val="0"/>
              <w:autoSpaceDE/>
              <w:autoSpaceDN/>
              <w:bidi w:val="0"/>
              <w:adjustRightInd/>
              <w:snapToGrid w:val="0"/>
              <w:spacing w:before="148" w:beforeLines="50" w:line="360" w:lineRule="auto"/>
              <w:ind w:left="0" w:leftChars="0" w:firstLine="0" w:firstLineChars="0"/>
              <w:textAlignment w:val="auto"/>
              <w:rPr>
                <w:b/>
                <w:bCs/>
                <w:color w:val="auto"/>
                <w:szCs w:val="21"/>
              </w:rPr>
            </w:pPr>
            <w:r>
              <w:rPr>
                <w:rFonts w:hint="default" w:ascii="Times New Roman" w:hAnsi="Times New Roman" w:eastAsia="宋体" w:cs="Times New Roman"/>
                <w:b/>
                <w:bCs/>
                <w:color w:val="auto"/>
                <w:kern w:val="2"/>
                <w:sz w:val="21"/>
                <w:szCs w:val="21"/>
                <w:lang w:val="en-US" w:eastAsia="zh-CN" w:bidi="ar-SA"/>
              </w:rPr>
              <w:t>1.</w:t>
            </w:r>
            <w:r>
              <w:rPr>
                <w:rFonts w:hint="eastAsia" w:cs="Times New Roman"/>
                <w:b/>
                <w:bCs/>
                <w:color w:val="auto"/>
                <w:kern w:val="2"/>
                <w:sz w:val="21"/>
                <w:szCs w:val="21"/>
                <w:lang w:val="en-US" w:eastAsia="zh-CN" w:bidi="ar-SA"/>
              </w:rPr>
              <w:t>4</w:t>
            </w:r>
            <w:r>
              <w:rPr>
                <w:b/>
                <w:bCs/>
                <w:color w:val="auto"/>
                <w:szCs w:val="21"/>
              </w:rPr>
              <w:t>卫生防护距离计算</w:t>
            </w:r>
          </w:p>
          <w:p w14:paraId="78F42E6C">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auto"/>
              <w:rPr>
                <w:color w:val="auto"/>
                <w:szCs w:val="21"/>
              </w:rPr>
            </w:pPr>
            <w:r>
              <w:rPr>
                <w:color w:val="auto"/>
                <w:szCs w:val="21"/>
              </w:rPr>
              <w:t>卫生防护距离是指工厂在正常生产状况下，由无组织排放源散发的有害物质对工厂周围居民健康不致造成危害的最小距离。为防止企业有害气体无组织排放对居住区造成污染和危害，保护人体健康，必须在企业与居住区之间设置一定的卫生防护距离。卫生防护距离内宜绿化或设置其它生产性厂房、仓库，但不宜作为长久居住和办公使用。</w:t>
            </w:r>
          </w:p>
          <w:p w14:paraId="0DCB8EE7">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auto"/>
                <w:szCs w:val="21"/>
              </w:rPr>
            </w:pPr>
            <w:r>
              <w:rPr>
                <w:rFonts w:hint="eastAsia" w:ascii="Times New Roman" w:hAnsi="Times New Roman"/>
                <w:color w:val="auto"/>
                <w:szCs w:val="21"/>
              </w:rPr>
              <w:t>（1）行业主要特征大气有害物质</w:t>
            </w:r>
          </w:p>
          <w:p w14:paraId="356E8369">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宋体" w:hAnsi="宋体" w:cs="宋体"/>
                <w:color w:val="auto"/>
                <w:szCs w:val="20"/>
              </w:rPr>
            </w:pPr>
            <w:r>
              <w:rPr>
                <w:rFonts w:hint="eastAsia" w:ascii="宋体" w:hAnsi="宋体" w:cs="宋体"/>
                <w:color w:val="auto"/>
                <w:szCs w:val="20"/>
              </w:rPr>
              <w:t>根据《大气有害物质无组织排放卫生防护距离推导技术导则》（</w:t>
            </w:r>
            <w:r>
              <w:rPr>
                <w:color w:val="auto"/>
                <w:szCs w:val="20"/>
              </w:rPr>
              <w:t>GB/T39499-2020</w:t>
            </w:r>
            <w:r>
              <w:rPr>
                <w:rFonts w:hint="eastAsia" w:ascii="宋体" w:hAnsi="宋体" w:cs="宋体"/>
                <w:color w:val="auto"/>
                <w:szCs w:val="20"/>
              </w:rPr>
              <w:t>）中第</w:t>
            </w:r>
            <w:r>
              <w:rPr>
                <w:color w:val="auto"/>
                <w:szCs w:val="20"/>
              </w:rPr>
              <w:t>4</w:t>
            </w:r>
            <w:r>
              <w:rPr>
                <w:rFonts w:hint="eastAsia" w:ascii="宋体" w:hAnsi="宋体" w:cs="宋体"/>
                <w:color w:val="auto"/>
                <w:szCs w:val="20"/>
              </w:rPr>
              <w:t>章，“在选取特征大气有害物质时，应首先考虑其对人体健康损害毒性特点，并根据目标行业企业的产品产量及其原辅材料、工艺特征、中间产物、产排污特点等情况，确定单个大气有害物质的无组织排放量及等标排放量（</w:t>
            </w:r>
            <w:r>
              <w:rPr>
                <w:color w:val="auto"/>
                <w:szCs w:val="20"/>
              </w:rPr>
              <w:t>Qc/</w:t>
            </w:r>
            <w:r>
              <w:rPr>
                <w:rFonts w:hint="eastAsia"/>
                <w:color w:val="auto"/>
                <w:szCs w:val="20"/>
              </w:rPr>
              <w:t>C</w:t>
            </w:r>
            <w:r>
              <w:rPr>
                <w:color w:val="auto"/>
                <w:szCs w:val="20"/>
              </w:rPr>
              <w:t>m</w:t>
            </w:r>
            <w:r>
              <w:rPr>
                <w:rFonts w:hint="eastAsia" w:ascii="宋体" w:hAnsi="宋体" w:cs="宋体"/>
                <w:color w:val="auto"/>
                <w:szCs w:val="20"/>
              </w:rPr>
              <w:t>），最终确定卫生防护距离相关的主要特征大气有害物质</w:t>
            </w:r>
            <w:r>
              <w:rPr>
                <w:color w:val="auto"/>
                <w:szCs w:val="20"/>
              </w:rPr>
              <w:t>1</w:t>
            </w:r>
            <w:r>
              <w:rPr>
                <w:rFonts w:hint="eastAsia" w:ascii="宋体" w:hAnsi="宋体" w:cs="宋体"/>
                <w:color w:val="auto"/>
                <w:szCs w:val="20"/>
              </w:rPr>
              <w:t>种～</w:t>
            </w:r>
            <w:r>
              <w:rPr>
                <w:color w:val="auto"/>
                <w:szCs w:val="20"/>
              </w:rPr>
              <w:t>2</w:t>
            </w:r>
            <w:r>
              <w:rPr>
                <w:rFonts w:hint="eastAsia" w:ascii="宋体" w:hAnsi="宋体" w:cs="宋体"/>
                <w:color w:val="auto"/>
                <w:szCs w:val="20"/>
              </w:rPr>
              <w:t>种”。</w:t>
            </w:r>
          </w:p>
          <w:p w14:paraId="2D3A2D28">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宋体" w:hAnsi="宋体" w:cs="宋体"/>
                <w:color w:val="auto"/>
                <w:szCs w:val="20"/>
              </w:rPr>
            </w:pPr>
            <w:r>
              <w:rPr>
                <w:rFonts w:hint="eastAsia" w:ascii="宋体" w:hAnsi="宋体" w:cs="宋体"/>
                <w:color w:val="auto"/>
                <w:szCs w:val="20"/>
              </w:rPr>
              <w:t>当目标企业无组织排放存在多种有毒有害污染物时，基于单个污染物的等标排放量计算结果，优先选择等标排放量最大的污染物为企业无组织排放的主要特征大气有害物质。当前两种污染物的等标排放量相差在</w:t>
            </w:r>
            <w:r>
              <w:rPr>
                <w:color w:val="auto"/>
                <w:szCs w:val="20"/>
              </w:rPr>
              <w:t>10%</w:t>
            </w:r>
            <w:r>
              <w:rPr>
                <w:rFonts w:hint="eastAsia" w:ascii="宋体" w:hAnsi="宋体" w:cs="宋体"/>
                <w:color w:val="auto"/>
                <w:szCs w:val="20"/>
              </w:rPr>
              <w:t>以内时，要同时选择这两种特征大气有害物质分别计算卫生防护距离初值。</w:t>
            </w:r>
          </w:p>
          <w:p w14:paraId="33C91E3B">
            <w:pPr>
              <w:keepNext w:val="0"/>
              <w:keepLines w:val="0"/>
              <w:pageBreakBefore w:val="0"/>
              <w:kinsoku/>
              <w:wordWrap/>
              <w:overflowPunct/>
              <w:topLinePunct w:val="0"/>
              <w:bidi w:val="0"/>
              <w:snapToGrid w:val="0"/>
              <w:spacing w:line="360" w:lineRule="auto"/>
              <w:ind w:firstLine="420" w:firstLineChars="200"/>
              <w:rPr>
                <w:rFonts w:hint="eastAsia" w:ascii="宋体" w:hAnsi="宋体" w:cs="宋体"/>
                <w:color w:val="auto"/>
                <w:szCs w:val="20"/>
              </w:rPr>
            </w:pPr>
            <w:r>
              <w:rPr>
                <w:rFonts w:hint="eastAsia" w:ascii="Times New Roman" w:hAnsi="Times New Roman"/>
                <w:color w:val="auto"/>
                <w:szCs w:val="21"/>
              </w:rPr>
              <w:t>（2）卫生防护距离初值</w:t>
            </w:r>
          </w:p>
          <w:p w14:paraId="1A11D4C7">
            <w:pPr>
              <w:keepNext w:val="0"/>
              <w:keepLines w:val="0"/>
              <w:pageBreakBefore w:val="0"/>
              <w:kinsoku/>
              <w:wordWrap/>
              <w:overflowPunct/>
              <w:topLinePunct w:val="0"/>
              <w:bidi w:val="0"/>
              <w:snapToGrid w:val="0"/>
              <w:spacing w:line="360" w:lineRule="auto"/>
              <w:ind w:firstLine="420" w:firstLineChars="200"/>
              <w:rPr>
                <w:rFonts w:eastAsia="仿宋"/>
                <w:color w:val="auto"/>
                <w:sz w:val="24"/>
                <w:szCs w:val="22"/>
              </w:rPr>
            </w:pPr>
            <w:r>
              <w:rPr>
                <w:rFonts w:hint="eastAsia" w:ascii="宋体" w:hAnsi="宋体" w:cs="宋体"/>
                <w:color w:val="auto"/>
                <w:szCs w:val="20"/>
              </w:rPr>
              <w:t>采用《大气有害物质无组织排放卫生防护距离推导技术导则》（</w:t>
            </w:r>
            <w:r>
              <w:rPr>
                <w:rFonts w:eastAsia="仿宋"/>
                <w:color w:val="auto"/>
                <w:szCs w:val="20"/>
              </w:rPr>
              <w:t>GB/T39499-2020</w:t>
            </w:r>
            <w:r>
              <w:rPr>
                <w:rFonts w:hint="eastAsia" w:ascii="宋体" w:hAnsi="宋体" w:cs="宋体"/>
                <w:color w:val="auto"/>
                <w:szCs w:val="20"/>
              </w:rPr>
              <w:t>）中卫生防护距离初值计算公式进行卫生防护距离的计算，计算公式为：</w:t>
            </w:r>
          </w:p>
          <w:p w14:paraId="7B06013D">
            <w:pPr>
              <w:keepNext w:val="0"/>
              <w:keepLines w:val="0"/>
              <w:pageBreakBefore w:val="0"/>
              <w:widowControl/>
              <w:kinsoku/>
              <w:wordWrap/>
              <w:overflowPunct/>
              <w:topLinePunct w:val="0"/>
              <w:bidi w:val="0"/>
              <w:snapToGrid w:val="0"/>
              <w:spacing w:line="360" w:lineRule="auto"/>
              <w:jc w:val="center"/>
              <w:rPr>
                <w:color w:val="auto"/>
                <w:szCs w:val="21"/>
              </w:rPr>
            </w:pPr>
            <w:r>
              <w:rPr>
                <w:color w:val="auto"/>
                <w:szCs w:val="21"/>
              </w:rPr>
              <w:object>
                <v:shape id="_x0000_i1025" o:spt="75" type="#_x0000_t75" style="height:30.55pt;width:123.25pt;" o:ole="t" filled="f" o:preferrelative="t" stroked="f" coordsize="21600,21600">
                  <v:path/>
                  <v:fill on="f" focussize="0,0"/>
                  <v:stroke on="f" joinstyle="miter"/>
                  <v:imagedata r:id="rId17" o:title=""/>
                  <o:lock v:ext="edit" aspectratio="t"/>
                  <w10:wrap type="none"/>
                  <w10:anchorlock/>
                </v:shape>
                <o:OLEObject Type="Embed" ProgID="Equation.KSEE3" ShapeID="_x0000_i1025" DrawAspect="Content" ObjectID="_1468075725" r:id="rId16">
                  <o:LockedField>false</o:LockedField>
                </o:OLEObject>
              </w:object>
            </w:r>
          </w:p>
          <w:p w14:paraId="1B969DD3">
            <w:pPr>
              <w:keepNext w:val="0"/>
              <w:keepLines w:val="0"/>
              <w:pageBreakBefore w:val="0"/>
              <w:widowControl/>
              <w:kinsoku/>
              <w:wordWrap/>
              <w:overflowPunct/>
              <w:topLinePunct w:val="0"/>
              <w:bidi w:val="0"/>
              <w:snapToGrid w:val="0"/>
              <w:spacing w:line="360" w:lineRule="auto"/>
              <w:ind w:firstLine="420" w:firstLineChars="200"/>
              <w:jc w:val="left"/>
              <w:rPr>
                <w:color w:val="auto"/>
                <w:szCs w:val="21"/>
              </w:rPr>
            </w:pPr>
            <w:r>
              <w:rPr>
                <w:color w:val="auto"/>
                <w:szCs w:val="21"/>
              </w:rPr>
              <w:t>式中：Qc——大气有害物质的无组织排放量，单位为kg/h；</w:t>
            </w:r>
          </w:p>
          <w:p w14:paraId="4D665169">
            <w:pPr>
              <w:keepNext w:val="0"/>
              <w:keepLines w:val="0"/>
              <w:pageBreakBefore w:val="0"/>
              <w:widowControl/>
              <w:kinsoku/>
              <w:wordWrap/>
              <w:overflowPunct/>
              <w:topLinePunct w:val="0"/>
              <w:bidi w:val="0"/>
              <w:snapToGrid w:val="0"/>
              <w:spacing w:line="360" w:lineRule="auto"/>
              <w:ind w:firstLine="1050" w:firstLineChars="500"/>
              <w:jc w:val="left"/>
              <w:rPr>
                <w:color w:val="auto"/>
                <w:szCs w:val="21"/>
              </w:rPr>
            </w:pPr>
            <w:r>
              <w:rPr>
                <w:color w:val="auto"/>
                <w:szCs w:val="21"/>
              </w:rPr>
              <w:t>Cm——大气有害物质环境空气质量的标准限值，单位为mg/m</w:t>
            </w:r>
            <w:r>
              <w:rPr>
                <w:color w:val="auto"/>
                <w:szCs w:val="21"/>
                <w:vertAlign w:val="superscript"/>
              </w:rPr>
              <w:t>3</w:t>
            </w:r>
            <w:r>
              <w:rPr>
                <w:color w:val="auto"/>
                <w:szCs w:val="21"/>
              </w:rPr>
              <w:t>；</w:t>
            </w:r>
          </w:p>
          <w:p w14:paraId="2E66941E">
            <w:pPr>
              <w:keepNext w:val="0"/>
              <w:keepLines w:val="0"/>
              <w:pageBreakBefore w:val="0"/>
              <w:widowControl/>
              <w:kinsoku/>
              <w:wordWrap/>
              <w:overflowPunct/>
              <w:topLinePunct w:val="0"/>
              <w:bidi w:val="0"/>
              <w:snapToGrid w:val="0"/>
              <w:spacing w:line="360" w:lineRule="auto"/>
              <w:ind w:firstLine="1050" w:firstLineChars="500"/>
              <w:jc w:val="left"/>
              <w:rPr>
                <w:color w:val="auto"/>
                <w:szCs w:val="21"/>
              </w:rPr>
            </w:pPr>
            <w:r>
              <w:rPr>
                <w:color w:val="auto"/>
                <w:szCs w:val="21"/>
              </w:rPr>
              <w:t>L——大气有害物质卫生防护距离初值，单位为m；</w:t>
            </w:r>
          </w:p>
          <w:p w14:paraId="5AD01CC9">
            <w:pPr>
              <w:keepNext w:val="0"/>
              <w:keepLines w:val="0"/>
              <w:pageBreakBefore w:val="0"/>
              <w:widowControl/>
              <w:kinsoku/>
              <w:wordWrap/>
              <w:overflowPunct/>
              <w:topLinePunct w:val="0"/>
              <w:bidi w:val="0"/>
              <w:snapToGrid w:val="0"/>
              <w:spacing w:line="360" w:lineRule="auto"/>
              <w:ind w:firstLine="1050" w:firstLineChars="500"/>
              <w:jc w:val="left"/>
              <w:rPr>
                <w:color w:val="auto"/>
                <w:szCs w:val="21"/>
              </w:rPr>
            </w:pPr>
            <w:r>
              <w:rPr>
                <w:color w:val="auto"/>
                <w:szCs w:val="21"/>
              </w:rPr>
              <w:t>r——大气有害物质排放源所在单元的等效半径，单位为m。根据生产单元占地面积S（m</w:t>
            </w:r>
            <w:r>
              <w:rPr>
                <w:color w:val="auto"/>
                <w:szCs w:val="21"/>
                <w:vertAlign w:val="superscript"/>
              </w:rPr>
              <w:t>2</w:t>
            </w:r>
            <w:r>
              <w:rPr>
                <w:color w:val="auto"/>
                <w:szCs w:val="21"/>
              </w:rPr>
              <w:t>）计算，</w:t>
            </w:r>
            <w:r>
              <w:rPr>
                <w:color w:val="auto"/>
                <w:position w:val="-8"/>
                <w:szCs w:val="21"/>
              </w:rPr>
              <w:object>
                <v:shape id="_x0000_i1026" o:spt="75" type="#_x0000_t75" style="height:18pt;width:51.25pt;" o:ole="t" filled="f" o:preferrelative="t" stroked="f" coordsize="21600,21600">
                  <v:path/>
                  <v:fill on="f" focussize="0,0"/>
                  <v:stroke on="f" joinstyle="miter"/>
                  <v:imagedata r:id="rId19" o:title=""/>
                  <o:lock v:ext="edit" aspectratio="t"/>
                  <w10:wrap type="none"/>
                  <w10:anchorlock/>
                </v:shape>
                <o:OLEObject Type="Embed" ProgID="Equation.KSEE3" ShapeID="_x0000_i1026" DrawAspect="Content" ObjectID="_1468075726" r:id="rId18">
                  <o:LockedField>false</o:LockedField>
                </o:OLEObject>
              </w:object>
            </w:r>
            <w:r>
              <w:rPr>
                <w:rFonts w:hint="eastAsia"/>
                <w:color w:val="auto"/>
                <w:szCs w:val="21"/>
              </w:rPr>
              <w:t>；</w:t>
            </w:r>
          </w:p>
          <w:p w14:paraId="20FEB32F">
            <w:pPr>
              <w:keepNext w:val="0"/>
              <w:keepLines w:val="0"/>
              <w:pageBreakBefore w:val="0"/>
              <w:widowControl/>
              <w:kinsoku/>
              <w:wordWrap/>
              <w:overflowPunct/>
              <w:topLinePunct w:val="0"/>
              <w:bidi w:val="0"/>
              <w:snapToGrid w:val="0"/>
              <w:spacing w:line="360" w:lineRule="auto"/>
              <w:ind w:firstLine="1050" w:firstLineChars="500"/>
              <w:jc w:val="left"/>
              <w:rPr>
                <w:b/>
                <w:bCs/>
                <w:color w:val="auto"/>
                <w:szCs w:val="21"/>
              </w:rPr>
            </w:pPr>
            <w:r>
              <w:rPr>
                <w:color w:val="auto"/>
                <w:szCs w:val="21"/>
              </w:rPr>
              <w:t>A、B、C、D——卫生防护距离计算系数，无因次，根据工业企业所在地近5年平均风速及大气污染源构成类别从表查取；</w:t>
            </w:r>
          </w:p>
          <w:p w14:paraId="05CFF633">
            <w:pPr>
              <w:keepNext w:val="0"/>
              <w:keepLines w:val="0"/>
              <w:pageBreakBefore w:val="0"/>
              <w:kinsoku/>
              <w:wordWrap/>
              <w:overflowPunct/>
              <w:topLinePunct w:val="0"/>
              <w:bidi w:val="0"/>
              <w:snapToGrid w:val="0"/>
              <w:spacing w:before="147" w:beforeLines="50"/>
              <w:jc w:val="center"/>
              <w:rPr>
                <w:b/>
                <w:bCs/>
                <w:color w:val="auto"/>
                <w:szCs w:val="21"/>
              </w:rPr>
            </w:pPr>
            <w:r>
              <w:rPr>
                <w:rFonts w:hint="eastAsia"/>
                <w:b/>
                <w:bCs/>
                <w:color w:val="auto"/>
                <w:szCs w:val="21"/>
              </w:rPr>
              <w:t>表4-</w:t>
            </w:r>
            <w:r>
              <w:rPr>
                <w:rFonts w:hint="eastAsia"/>
                <w:b/>
                <w:bCs/>
                <w:color w:val="auto"/>
                <w:szCs w:val="21"/>
                <w:lang w:val="en-US" w:eastAsia="zh-CN"/>
              </w:rPr>
              <w:t>9</w:t>
            </w:r>
            <w:r>
              <w:rPr>
                <w:rFonts w:hint="eastAsia"/>
                <w:b/>
                <w:bCs/>
                <w:color w:val="auto"/>
                <w:szCs w:val="21"/>
              </w:rPr>
              <w:t xml:space="preserve"> 卫生防护距离计算系数表</w:t>
            </w:r>
          </w:p>
          <w:tbl>
            <w:tblPr>
              <w:tblStyle w:val="30"/>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65"/>
              <w:gridCol w:w="949"/>
              <w:gridCol w:w="808"/>
              <w:gridCol w:w="605"/>
              <w:gridCol w:w="607"/>
              <w:gridCol w:w="808"/>
              <w:gridCol w:w="808"/>
              <w:gridCol w:w="815"/>
              <w:gridCol w:w="808"/>
              <w:gridCol w:w="809"/>
              <w:gridCol w:w="820"/>
            </w:tblGrid>
            <w:tr w14:paraId="35DC46D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33" w:type="dxa"/>
                  <w:vMerge w:val="restart"/>
                  <w:vAlign w:val="center"/>
                </w:tcPr>
                <w:p w14:paraId="35A17D03">
                  <w:pPr>
                    <w:keepNext w:val="0"/>
                    <w:keepLines w:val="0"/>
                    <w:pageBreakBefore w:val="0"/>
                    <w:widowControl/>
                    <w:kinsoku/>
                    <w:wordWrap/>
                    <w:overflowPunct/>
                    <w:topLinePunct w:val="0"/>
                    <w:bidi w:val="0"/>
                    <w:snapToGrid w:val="0"/>
                    <w:jc w:val="center"/>
                    <w:textAlignment w:val="center"/>
                    <w:rPr>
                      <w:b/>
                      <w:bCs/>
                      <w:color w:val="auto"/>
                      <w:szCs w:val="21"/>
                    </w:rPr>
                  </w:pPr>
                  <w:r>
                    <w:rPr>
                      <w:b/>
                      <w:bCs/>
                      <w:color w:val="auto"/>
                      <w:szCs w:val="21"/>
                    </w:rPr>
                    <w:t>计算系数</w:t>
                  </w:r>
                </w:p>
              </w:tc>
              <w:tc>
                <w:tcPr>
                  <w:tcW w:w="903" w:type="dxa"/>
                  <w:vMerge w:val="restart"/>
                  <w:vAlign w:val="center"/>
                </w:tcPr>
                <w:p w14:paraId="2E5E5C66">
                  <w:pPr>
                    <w:keepNext w:val="0"/>
                    <w:keepLines w:val="0"/>
                    <w:pageBreakBefore w:val="0"/>
                    <w:widowControl/>
                    <w:kinsoku/>
                    <w:wordWrap/>
                    <w:overflowPunct/>
                    <w:topLinePunct w:val="0"/>
                    <w:bidi w:val="0"/>
                    <w:snapToGrid w:val="0"/>
                    <w:jc w:val="center"/>
                    <w:textAlignment w:val="center"/>
                    <w:rPr>
                      <w:b/>
                      <w:bCs/>
                      <w:color w:val="auto"/>
                      <w:szCs w:val="21"/>
                    </w:rPr>
                  </w:pPr>
                  <w:r>
                    <w:rPr>
                      <w:b/>
                      <w:bCs/>
                      <w:color w:val="auto"/>
                      <w:szCs w:val="21"/>
                    </w:rPr>
                    <w:t>5年平均风速m/s</w:t>
                  </w:r>
                </w:p>
              </w:tc>
              <w:tc>
                <w:tcPr>
                  <w:tcW w:w="6546" w:type="dxa"/>
                  <w:gridSpan w:val="9"/>
                  <w:vAlign w:val="center"/>
                </w:tcPr>
                <w:p w14:paraId="33A53793">
                  <w:pPr>
                    <w:keepNext w:val="0"/>
                    <w:keepLines w:val="0"/>
                    <w:pageBreakBefore w:val="0"/>
                    <w:widowControl/>
                    <w:kinsoku/>
                    <w:wordWrap/>
                    <w:overflowPunct/>
                    <w:topLinePunct w:val="0"/>
                    <w:bidi w:val="0"/>
                    <w:snapToGrid w:val="0"/>
                    <w:jc w:val="center"/>
                    <w:textAlignment w:val="center"/>
                    <w:rPr>
                      <w:b/>
                      <w:bCs/>
                      <w:color w:val="auto"/>
                      <w:szCs w:val="21"/>
                    </w:rPr>
                  </w:pPr>
                  <w:r>
                    <w:rPr>
                      <w:b/>
                      <w:bCs/>
                      <w:color w:val="auto"/>
                      <w:szCs w:val="21"/>
                    </w:rPr>
                    <w:t>卫生防护距离 L，m</w:t>
                  </w:r>
                </w:p>
              </w:tc>
            </w:tr>
            <w:tr w14:paraId="73AC325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33" w:type="dxa"/>
                  <w:vMerge w:val="continue"/>
                  <w:vAlign w:val="center"/>
                </w:tcPr>
                <w:p w14:paraId="34AFBE4E">
                  <w:pPr>
                    <w:keepNext w:val="0"/>
                    <w:keepLines w:val="0"/>
                    <w:pageBreakBefore w:val="0"/>
                    <w:kinsoku/>
                    <w:wordWrap/>
                    <w:overflowPunct/>
                    <w:topLinePunct w:val="0"/>
                    <w:bidi w:val="0"/>
                    <w:snapToGrid w:val="0"/>
                    <w:jc w:val="center"/>
                    <w:rPr>
                      <w:b/>
                      <w:bCs/>
                      <w:color w:val="auto"/>
                      <w:szCs w:val="21"/>
                    </w:rPr>
                  </w:pPr>
                </w:p>
              </w:tc>
              <w:tc>
                <w:tcPr>
                  <w:tcW w:w="903" w:type="dxa"/>
                  <w:vMerge w:val="continue"/>
                  <w:vAlign w:val="center"/>
                </w:tcPr>
                <w:p w14:paraId="4BE88547">
                  <w:pPr>
                    <w:keepNext w:val="0"/>
                    <w:keepLines w:val="0"/>
                    <w:pageBreakBefore w:val="0"/>
                    <w:kinsoku/>
                    <w:wordWrap/>
                    <w:overflowPunct/>
                    <w:topLinePunct w:val="0"/>
                    <w:bidi w:val="0"/>
                    <w:snapToGrid w:val="0"/>
                    <w:jc w:val="center"/>
                    <w:rPr>
                      <w:b/>
                      <w:bCs/>
                      <w:color w:val="auto"/>
                      <w:szCs w:val="21"/>
                    </w:rPr>
                  </w:pPr>
                </w:p>
              </w:tc>
              <w:tc>
                <w:tcPr>
                  <w:tcW w:w="1920" w:type="dxa"/>
                  <w:gridSpan w:val="3"/>
                  <w:vAlign w:val="center"/>
                </w:tcPr>
                <w:p w14:paraId="556FAB8F">
                  <w:pPr>
                    <w:keepNext w:val="0"/>
                    <w:keepLines w:val="0"/>
                    <w:pageBreakBefore w:val="0"/>
                    <w:widowControl/>
                    <w:kinsoku/>
                    <w:wordWrap/>
                    <w:overflowPunct/>
                    <w:topLinePunct w:val="0"/>
                    <w:bidi w:val="0"/>
                    <w:snapToGrid w:val="0"/>
                    <w:jc w:val="center"/>
                    <w:textAlignment w:val="center"/>
                    <w:rPr>
                      <w:b/>
                      <w:bCs/>
                      <w:color w:val="auto"/>
                      <w:szCs w:val="21"/>
                    </w:rPr>
                  </w:pPr>
                  <w:r>
                    <w:rPr>
                      <w:b/>
                      <w:bCs/>
                      <w:color w:val="auto"/>
                      <w:szCs w:val="21"/>
                    </w:rPr>
                    <w:t>L≤1000</w:t>
                  </w:r>
                </w:p>
              </w:tc>
              <w:tc>
                <w:tcPr>
                  <w:tcW w:w="2309" w:type="dxa"/>
                  <w:gridSpan w:val="3"/>
                  <w:vAlign w:val="center"/>
                </w:tcPr>
                <w:p w14:paraId="593F1B32">
                  <w:pPr>
                    <w:keepNext w:val="0"/>
                    <w:keepLines w:val="0"/>
                    <w:pageBreakBefore w:val="0"/>
                    <w:widowControl/>
                    <w:kinsoku/>
                    <w:wordWrap/>
                    <w:overflowPunct/>
                    <w:topLinePunct w:val="0"/>
                    <w:bidi w:val="0"/>
                    <w:snapToGrid w:val="0"/>
                    <w:jc w:val="center"/>
                    <w:textAlignment w:val="center"/>
                    <w:rPr>
                      <w:b/>
                      <w:bCs/>
                      <w:color w:val="auto"/>
                      <w:szCs w:val="21"/>
                    </w:rPr>
                  </w:pPr>
                  <w:r>
                    <w:rPr>
                      <w:b/>
                      <w:bCs/>
                      <w:color w:val="auto"/>
                      <w:szCs w:val="21"/>
                    </w:rPr>
                    <w:t>1000＜L≤2000</w:t>
                  </w:r>
                </w:p>
              </w:tc>
              <w:tc>
                <w:tcPr>
                  <w:tcW w:w="2317" w:type="dxa"/>
                  <w:gridSpan w:val="3"/>
                  <w:vAlign w:val="center"/>
                </w:tcPr>
                <w:p w14:paraId="201D8390">
                  <w:pPr>
                    <w:keepNext w:val="0"/>
                    <w:keepLines w:val="0"/>
                    <w:pageBreakBefore w:val="0"/>
                    <w:widowControl/>
                    <w:kinsoku/>
                    <w:wordWrap/>
                    <w:overflowPunct/>
                    <w:topLinePunct w:val="0"/>
                    <w:bidi w:val="0"/>
                    <w:snapToGrid w:val="0"/>
                    <w:jc w:val="center"/>
                    <w:textAlignment w:val="center"/>
                    <w:rPr>
                      <w:b/>
                      <w:bCs/>
                      <w:color w:val="auto"/>
                      <w:szCs w:val="21"/>
                    </w:rPr>
                  </w:pPr>
                  <w:r>
                    <w:rPr>
                      <w:b/>
                      <w:bCs/>
                      <w:color w:val="auto"/>
                      <w:szCs w:val="21"/>
                    </w:rPr>
                    <w:t>L＞2000</w:t>
                  </w:r>
                </w:p>
              </w:tc>
            </w:tr>
            <w:tr w14:paraId="3827E94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33" w:type="dxa"/>
                  <w:vMerge w:val="continue"/>
                  <w:vAlign w:val="center"/>
                </w:tcPr>
                <w:p w14:paraId="54E8AC19">
                  <w:pPr>
                    <w:keepNext w:val="0"/>
                    <w:keepLines w:val="0"/>
                    <w:pageBreakBefore w:val="0"/>
                    <w:kinsoku/>
                    <w:wordWrap/>
                    <w:overflowPunct/>
                    <w:topLinePunct w:val="0"/>
                    <w:bidi w:val="0"/>
                    <w:snapToGrid w:val="0"/>
                    <w:jc w:val="center"/>
                    <w:rPr>
                      <w:b/>
                      <w:bCs/>
                      <w:color w:val="auto"/>
                      <w:szCs w:val="21"/>
                    </w:rPr>
                  </w:pPr>
                </w:p>
              </w:tc>
              <w:tc>
                <w:tcPr>
                  <w:tcW w:w="903" w:type="dxa"/>
                  <w:vMerge w:val="continue"/>
                  <w:vAlign w:val="center"/>
                </w:tcPr>
                <w:p w14:paraId="1FE6FF2F">
                  <w:pPr>
                    <w:keepNext w:val="0"/>
                    <w:keepLines w:val="0"/>
                    <w:pageBreakBefore w:val="0"/>
                    <w:kinsoku/>
                    <w:wordWrap/>
                    <w:overflowPunct/>
                    <w:topLinePunct w:val="0"/>
                    <w:bidi w:val="0"/>
                    <w:snapToGrid w:val="0"/>
                    <w:jc w:val="center"/>
                    <w:rPr>
                      <w:b/>
                      <w:bCs/>
                      <w:color w:val="auto"/>
                      <w:szCs w:val="21"/>
                    </w:rPr>
                  </w:pPr>
                </w:p>
              </w:tc>
              <w:tc>
                <w:tcPr>
                  <w:tcW w:w="6546" w:type="dxa"/>
                  <w:gridSpan w:val="9"/>
                  <w:vAlign w:val="center"/>
                </w:tcPr>
                <w:p w14:paraId="5EC5C367">
                  <w:pPr>
                    <w:keepNext w:val="0"/>
                    <w:keepLines w:val="0"/>
                    <w:pageBreakBefore w:val="0"/>
                    <w:widowControl/>
                    <w:kinsoku/>
                    <w:wordWrap/>
                    <w:overflowPunct/>
                    <w:topLinePunct w:val="0"/>
                    <w:bidi w:val="0"/>
                    <w:snapToGrid w:val="0"/>
                    <w:jc w:val="center"/>
                    <w:textAlignment w:val="center"/>
                    <w:rPr>
                      <w:b/>
                      <w:bCs/>
                      <w:color w:val="auto"/>
                      <w:szCs w:val="21"/>
                    </w:rPr>
                  </w:pPr>
                  <w:r>
                    <w:rPr>
                      <w:b/>
                      <w:bCs/>
                      <w:color w:val="auto"/>
                      <w:szCs w:val="21"/>
                    </w:rPr>
                    <w:t>工业大气污染源构成类别</w:t>
                  </w:r>
                </w:p>
              </w:tc>
            </w:tr>
            <w:tr w14:paraId="21D1BC5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33" w:type="dxa"/>
                  <w:vMerge w:val="continue"/>
                  <w:vAlign w:val="center"/>
                </w:tcPr>
                <w:p w14:paraId="0FA1B0BC">
                  <w:pPr>
                    <w:keepNext w:val="0"/>
                    <w:keepLines w:val="0"/>
                    <w:pageBreakBefore w:val="0"/>
                    <w:kinsoku/>
                    <w:wordWrap/>
                    <w:overflowPunct/>
                    <w:topLinePunct w:val="0"/>
                    <w:bidi w:val="0"/>
                    <w:snapToGrid w:val="0"/>
                    <w:jc w:val="center"/>
                    <w:rPr>
                      <w:b/>
                      <w:bCs/>
                      <w:color w:val="auto"/>
                      <w:szCs w:val="21"/>
                    </w:rPr>
                  </w:pPr>
                </w:p>
              </w:tc>
              <w:tc>
                <w:tcPr>
                  <w:tcW w:w="903" w:type="dxa"/>
                  <w:vMerge w:val="continue"/>
                  <w:vAlign w:val="center"/>
                </w:tcPr>
                <w:p w14:paraId="3073FA1E">
                  <w:pPr>
                    <w:keepNext w:val="0"/>
                    <w:keepLines w:val="0"/>
                    <w:pageBreakBefore w:val="0"/>
                    <w:kinsoku/>
                    <w:wordWrap/>
                    <w:overflowPunct/>
                    <w:topLinePunct w:val="0"/>
                    <w:bidi w:val="0"/>
                    <w:snapToGrid w:val="0"/>
                    <w:jc w:val="center"/>
                    <w:rPr>
                      <w:b/>
                      <w:bCs/>
                      <w:color w:val="auto"/>
                      <w:szCs w:val="21"/>
                    </w:rPr>
                  </w:pPr>
                </w:p>
              </w:tc>
              <w:tc>
                <w:tcPr>
                  <w:tcW w:w="768" w:type="dxa"/>
                  <w:vAlign w:val="center"/>
                </w:tcPr>
                <w:p w14:paraId="6EA6F74D">
                  <w:pPr>
                    <w:keepNext w:val="0"/>
                    <w:keepLines w:val="0"/>
                    <w:pageBreakBefore w:val="0"/>
                    <w:widowControl/>
                    <w:kinsoku/>
                    <w:wordWrap/>
                    <w:overflowPunct/>
                    <w:topLinePunct w:val="0"/>
                    <w:bidi w:val="0"/>
                    <w:snapToGrid w:val="0"/>
                    <w:jc w:val="center"/>
                    <w:textAlignment w:val="center"/>
                    <w:rPr>
                      <w:b/>
                      <w:bCs/>
                      <w:color w:val="auto"/>
                      <w:szCs w:val="21"/>
                    </w:rPr>
                  </w:pPr>
                  <w:r>
                    <w:rPr>
                      <w:b/>
                      <w:bCs/>
                      <w:color w:val="auto"/>
                      <w:szCs w:val="21"/>
                    </w:rPr>
                    <w:t>Ⅰ</w:t>
                  </w:r>
                </w:p>
              </w:tc>
              <w:tc>
                <w:tcPr>
                  <w:tcW w:w="575" w:type="dxa"/>
                  <w:vAlign w:val="center"/>
                </w:tcPr>
                <w:p w14:paraId="2BF29057">
                  <w:pPr>
                    <w:keepNext w:val="0"/>
                    <w:keepLines w:val="0"/>
                    <w:pageBreakBefore w:val="0"/>
                    <w:widowControl/>
                    <w:kinsoku/>
                    <w:wordWrap/>
                    <w:overflowPunct/>
                    <w:topLinePunct w:val="0"/>
                    <w:bidi w:val="0"/>
                    <w:snapToGrid w:val="0"/>
                    <w:jc w:val="center"/>
                    <w:textAlignment w:val="center"/>
                    <w:rPr>
                      <w:b/>
                      <w:bCs/>
                      <w:color w:val="auto"/>
                      <w:szCs w:val="21"/>
                    </w:rPr>
                  </w:pPr>
                  <w:r>
                    <w:rPr>
                      <w:b/>
                      <w:bCs/>
                      <w:color w:val="auto"/>
                      <w:szCs w:val="21"/>
                    </w:rPr>
                    <w:t>Ⅱ</w:t>
                  </w:r>
                </w:p>
              </w:tc>
              <w:tc>
                <w:tcPr>
                  <w:tcW w:w="577" w:type="dxa"/>
                  <w:vAlign w:val="center"/>
                </w:tcPr>
                <w:p w14:paraId="012AAFAE">
                  <w:pPr>
                    <w:keepNext w:val="0"/>
                    <w:keepLines w:val="0"/>
                    <w:pageBreakBefore w:val="0"/>
                    <w:widowControl/>
                    <w:kinsoku/>
                    <w:wordWrap/>
                    <w:overflowPunct/>
                    <w:topLinePunct w:val="0"/>
                    <w:bidi w:val="0"/>
                    <w:snapToGrid w:val="0"/>
                    <w:jc w:val="center"/>
                    <w:textAlignment w:val="center"/>
                    <w:rPr>
                      <w:b/>
                      <w:bCs/>
                      <w:color w:val="auto"/>
                      <w:szCs w:val="21"/>
                    </w:rPr>
                  </w:pPr>
                  <w:r>
                    <w:rPr>
                      <w:b/>
                      <w:bCs/>
                      <w:color w:val="auto"/>
                      <w:szCs w:val="21"/>
                    </w:rPr>
                    <w:t>Ⅲ</w:t>
                  </w:r>
                </w:p>
              </w:tc>
              <w:tc>
                <w:tcPr>
                  <w:tcW w:w="768" w:type="dxa"/>
                  <w:vAlign w:val="center"/>
                </w:tcPr>
                <w:p w14:paraId="65CBD300">
                  <w:pPr>
                    <w:keepNext w:val="0"/>
                    <w:keepLines w:val="0"/>
                    <w:pageBreakBefore w:val="0"/>
                    <w:widowControl/>
                    <w:kinsoku/>
                    <w:wordWrap/>
                    <w:overflowPunct/>
                    <w:topLinePunct w:val="0"/>
                    <w:bidi w:val="0"/>
                    <w:snapToGrid w:val="0"/>
                    <w:jc w:val="center"/>
                    <w:textAlignment w:val="center"/>
                    <w:rPr>
                      <w:b/>
                      <w:bCs/>
                      <w:color w:val="auto"/>
                      <w:szCs w:val="21"/>
                    </w:rPr>
                  </w:pPr>
                  <w:r>
                    <w:rPr>
                      <w:b/>
                      <w:bCs/>
                      <w:color w:val="auto"/>
                      <w:szCs w:val="21"/>
                    </w:rPr>
                    <w:t>Ⅰ</w:t>
                  </w:r>
                </w:p>
              </w:tc>
              <w:tc>
                <w:tcPr>
                  <w:tcW w:w="768" w:type="dxa"/>
                  <w:vAlign w:val="center"/>
                </w:tcPr>
                <w:p w14:paraId="70A77E5C">
                  <w:pPr>
                    <w:keepNext w:val="0"/>
                    <w:keepLines w:val="0"/>
                    <w:pageBreakBefore w:val="0"/>
                    <w:widowControl/>
                    <w:kinsoku/>
                    <w:wordWrap/>
                    <w:overflowPunct/>
                    <w:topLinePunct w:val="0"/>
                    <w:bidi w:val="0"/>
                    <w:snapToGrid w:val="0"/>
                    <w:jc w:val="center"/>
                    <w:textAlignment w:val="center"/>
                    <w:rPr>
                      <w:b/>
                      <w:bCs/>
                      <w:color w:val="auto"/>
                      <w:szCs w:val="21"/>
                    </w:rPr>
                  </w:pPr>
                  <w:r>
                    <w:rPr>
                      <w:b/>
                      <w:bCs/>
                      <w:color w:val="auto"/>
                      <w:szCs w:val="21"/>
                    </w:rPr>
                    <w:t>Ⅱ</w:t>
                  </w:r>
                </w:p>
              </w:tc>
              <w:tc>
                <w:tcPr>
                  <w:tcW w:w="773" w:type="dxa"/>
                  <w:vAlign w:val="center"/>
                </w:tcPr>
                <w:p w14:paraId="09A08F74">
                  <w:pPr>
                    <w:keepNext w:val="0"/>
                    <w:keepLines w:val="0"/>
                    <w:pageBreakBefore w:val="0"/>
                    <w:widowControl/>
                    <w:kinsoku/>
                    <w:wordWrap/>
                    <w:overflowPunct/>
                    <w:topLinePunct w:val="0"/>
                    <w:bidi w:val="0"/>
                    <w:snapToGrid w:val="0"/>
                    <w:jc w:val="center"/>
                    <w:textAlignment w:val="center"/>
                    <w:rPr>
                      <w:b/>
                      <w:bCs/>
                      <w:color w:val="auto"/>
                      <w:szCs w:val="21"/>
                    </w:rPr>
                  </w:pPr>
                  <w:r>
                    <w:rPr>
                      <w:b/>
                      <w:bCs/>
                      <w:color w:val="auto"/>
                      <w:szCs w:val="21"/>
                    </w:rPr>
                    <w:t>Ⅲ</w:t>
                  </w:r>
                </w:p>
              </w:tc>
              <w:tc>
                <w:tcPr>
                  <w:tcW w:w="768" w:type="dxa"/>
                  <w:vAlign w:val="center"/>
                </w:tcPr>
                <w:p w14:paraId="73350208">
                  <w:pPr>
                    <w:keepNext w:val="0"/>
                    <w:keepLines w:val="0"/>
                    <w:pageBreakBefore w:val="0"/>
                    <w:widowControl/>
                    <w:kinsoku/>
                    <w:wordWrap/>
                    <w:overflowPunct/>
                    <w:topLinePunct w:val="0"/>
                    <w:bidi w:val="0"/>
                    <w:snapToGrid w:val="0"/>
                    <w:jc w:val="center"/>
                    <w:textAlignment w:val="center"/>
                    <w:rPr>
                      <w:b/>
                      <w:bCs/>
                      <w:color w:val="auto"/>
                      <w:szCs w:val="21"/>
                    </w:rPr>
                  </w:pPr>
                  <w:r>
                    <w:rPr>
                      <w:b/>
                      <w:bCs/>
                      <w:color w:val="auto"/>
                      <w:szCs w:val="21"/>
                    </w:rPr>
                    <w:t>Ⅰ</w:t>
                  </w:r>
                </w:p>
              </w:tc>
              <w:tc>
                <w:tcPr>
                  <w:tcW w:w="769" w:type="dxa"/>
                  <w:vAlign w:val="center"/>
                </w:tcPr>
                <w:p w14:paraId="32AB43DB">
                  <w:pPr>
                    <w:keepNext w:val="0"/>
                    <w:keepLines w:val="0"/>
                    <w:pageBreakBefore w:val="0"/>
                    <w:widowControl/>
                    <w:kinsoku/>
                    <w:wordWrap/>
                    <w:overflowPunct/>
                    <w:topLinePunct w:val="0"/>
                    <w:bidi w:val="0"/>
                    <w:snapToGrid w:val="0"/>
                    <w:jc w:val="center"/>
                    <w:textAlignment w:val="center"/>
                    <w:rPr>
                      <w:b/>
                      <w:bCs/>
                      <w:color w:val="auto"/>
                      <w:szCs w:val="21"/>
                    </w:rPr>
                  </w:pPr>
                  <w:r>
                    <w:rPr>
                      <w:b/>
                      <w:bCs/>
                      <w:color w:val="auto"/>
                      <w:szCs w:val="21"/>
                    </w:rPr>
                    <w:t>Ⅱ</w:t>
                  </w:r>
                </w:p>
              </w:tc>
              <w:tc>
                <w:tcPr>
                  <w:tcW w:w="780" w:type="dxa"/>
                  <w:vAlign w:val="center"/>
                </w:tcPr>
                <w:p w14:paraId="39E9A552">
                  <w:pPr>
                    <w:keepNext w:val="0"/>
                    <w:keepLines w:val="0"/>
                    <w:pageBreakBefore w:val="0"/>
                    <w:widowControl/>
                    <w:kinsoku/>
                    <w:wordWrap/>
                    <w:overflowPunct/>
                    <w:topLinePunct w:val="0"/>
                    <w:bidi w:val="0"/>
                    <w:snapToGrid w:val="0"/>
                    <w:jc w:val="center"/>
                    <w:textAlignment w:val="center"/>
                    <w:rPr>
                      <w:b/>
                      <w:bCs/>
                      <w:color w:val="auto"/>
                      <w:szCs w:val="21"/>
                    </w:rPr>
                  </w:pPr>
                  <w:r>
                    <w:rPr>
                      <w:b/>
                      <w:bCs/>
                      <w:color w:val="auto"/>
                      <w:szCs w:val="21"/>
                    </w:rPr>
                    <w:t>Ⅲ</w:t>
                  </w:r>
                </w:p>
              </w:tc>
            </w:tr>
            <w:tr w14:paraId="1599429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33" w:type="dxa"/>
                  <w:vMerge w:val="restart"/>
                  <w:vAlign w:val="center"/>
                </w:tcPr>
                <w:p w14:paraId="4648580B">
                  <w:pPr>
                    <w:keepNext w:val="0"/>
                    <w:keepLines w:val="0"/>
                    <w:pageBreakBefore w:val="0"/>
                    <w:widowControl/>
                    <w:kinsoku/>
                    <w:wordWrap/>
                    <w:overflowPunct/>
                    <w:topLinePunct w:val="0"/>
                    <w:bidi w:val="0"/>
                    <w:snapToGrid w:val="0"/>
                    <w:jc w:val="center"/>
                    <w:textAlignment w:val="center"/>
                    <w:rPr>
                      <w:color w:val="auto"/>
                      <w:szCs w:val="21"/>
                    </w:rPr>
                  </w:pPr>
                  <w:r>
                    <w:rPr>
                      <w:color w:val="auto"/>
                      <w:szCs w:val="21"/>
                    </w:rPr>
                    <w:t>A</w:t>
                  </w:r>
                </w:p>
              </w:tc>
              <w:tc>
                <w:tcPr>
                  <w:tcW w:w="903" w:type="dxa"/>
                  <w:vAlign w:val="center"/>
                </w:tcPr>
                <w:p w14:paraId="2D015E8C">
                  <w:pPr>
                    <w:keepNext w:val="0"/>
                    <w:keepLines w:val="0"/>
                    <w:pageBreakBefore w:val="0"/>
                    <w:widowControl/>
                    <w:kinsoku/>
                    <w:wordWrap/>
                    <w:overflowPunct/>
                    <w:topLinePunct w:val="0"/>
                    <w:bidi w:val="0"/>
                    <w:snapToGrid w:val="0"/>
                    <w:jc w:val="center"/>
                    <w:textAlignment w:val="center"/>
                    <w:rPr>
                      <w:color w:val="auto"/>
                      <w:szCs w:val="21"/>
                    </w:rPr>
                  </w:pPr>
                  <w:r>
                    <w:rPr>
                      <w:color w:val="auto"/>
                      <w:szCs w:val="21"/>
                    </w:rPr>
                    <w:t>&lt;2</w:t>
                  </w:r>
                </w:p>
              </w:tc>
              <w:tc>
                <w:tcPr>
                  <w:tcW w:w="768" w:type="dxa"/>
                  <w:vAlign w:val="center"/>
                </w:tcPr>
                <w:p w14:paraId="7A360B90">
                  <w:pPr>
                    <w:keepNext w:val="0"/>
                    <w:keepLines w:val="0"/>
                    <w:pageBreakBefore w:val="0"/>
                    <w:kinsoku/>
                    <w:wordWrap/>
                    <w:overflowPunct/>
                    <w:topLinePunct w:val="0"/>
                    <w:bidi w:val="0"/>
                    <w:snapToGrid w:val="0"/>
                    <w:jc w:val="center"/>
                    <w:rPr>
                      <w:color w:val="auto"/>
                      <w:szCs w:val="21"/>
                    </w:rPr>
                  </w:pPr>
                  <w:r>
                    <w:rPr>
                      <w:color w:val="auto"/>
                      <w:szCs w:val="21"/>
                    </w:rPr>
                    <w:t>400</w:t>
                  </w:r>
                </w:p>
              </w:tc>
              <w:tc>
                <w:tcPr>
                  <w:tcW w:w="575" w:type="dxa"/>
                  <w:vAlign w:val="center"/>
                </w:tcPr>
                <w:p w14:paraId="74FE0972">
                  <w:pPr>
                    <w:keepNext w:val="0"/>
                    <w:keepLines w:val="0"/>
                    <w:pageBreakBefore w:val="0"/>
                    <w:kinsoku/>
                    <w:wordWrap/>
                    <w:overflowPunct/>
                    <w:topLinePunct w:val="0"/>
                    <w:bidi w:val="0"/>
                    <w:snapToGrid w:val="0"/>
                    <w:jc w:val="center"/>
                    <w:rPr>
                      <w:color w:val="auto"/>
                      <w:szCs w:val="21"/>
                    </w:rPr>
                  </w:pPr>
                  <w:r>
                    <w:rPr>
                      <w:color w:val="auto"/>
                      <w:szCs w:val="21"/>
                    </w:rPr>
                    <w:t>400</w:t>
                  </w:r>
                </w:p>
              </w:tc>
              <w:tc>
                <w:tcPr>
                  <w:tcW w:w="577" w:type="dxa"/>
                  <w:vAlign w:val="center"/>
                </w:tcPr>
                <w:p w14:paraId="457C67FF">
                  <w:pPr>
                    <w:keepNext w:val="0"/>
                    <w:keepLines w:val="0"/>
                    <w:pageBreakBefore w:val="0"/>
                    <w:kinsoku/>
                    <w:wordWrap/>
                    <w:overflowPunct/>
                    <w:topLinePunct w:val="0"/>
                    <w:bidi w:val="0"/>
                    <w:snapToGrid w:val="0"/>
                    <w:jc w:val="center"/>
                    <w:rPr>
                      <w:color w:val="auto"/>
                      <w:szCs w:val="21"/>
                    </w:rPr>
                  </w:pPr>
                  <w:r>
                    <w:rPr>
                      <w:color w:val="auto"/>
                      <w:szCs w:val="21"/>
                    </w:rPr>
                    <w:t>400</w:t>
                  </w:r>
                </w:p>
              </w:tc>
              <w:tc>
                <w:tcPr>
                  <w:tcW w:w="768" w:type="dxa"/>
                  <w:vAlign w:val="center"/>
                </w:tcPr>
                <w:p w14:paraId="19414070">
                  <w:pPr>
                    <w:keepNext w:val="0"/>
                    <w:keepLines w:val="0"/>
                    <w:pageBreakBefore w:val="0"/>
                    <w:kinsoku/>
                    <w:wordWrap/>
                    <w:overflowPunct/>
                    <w:topLinePunct w:val="0"/>
                    <w:bidi w:val="0"/>
                    <w:snapToGrid w:val="0"/>
                    <w:jc w:val="center"/>
                    <w:rPr>
                      <w:color w:val="auto"/>
                      <w:szCs w:val="21"/>
                    </w:rPr>
                  </w:pPr>
                  <w:r>
                    <w:rPr>
                      <w:color w:val="auto"/>
                      <w:szCs w:val="21"/>
                    </w:rPr>
                    <w:t>400</w:t>
                  </w:r>
                </w:p>
              </w:tc>
              <w:tc>
                <w:tcPr>
                  <w:tcW w:w="768" w:type="dxa"/>
                  <w:vAlign w:val="center"/>
                </w:tcPr>
                <w:p w14:paraId="4D964445">
                  <w:pPr>
                    <w:keepNext w:val="0"/>
                    <w:keepLines w:val="0"/>
                    <w:pageBreakBefore w:val="0"/>
                    <w:kinsoku/>
                    <w:wordWrap/>
                    <w:overflowPunct/>
                    <w:topLinePunct w:val="0"/>
                    <w:bidi w:val="0"/>
                    <w:snapToGrid w:val="0"/>
                    <w:jc w:val="center"/>
                    <w:rPr>
                      <w:color w:val="auto"/>
                      <w:szCs w:val="21"/>
                    </w:rPr>
                  </w:pPr>
                  <w:r>
                    <w:rPr>
                      <w:color w:val="auto"/>
                      <w:szCs w:val="21"/>
                    </w:rPr>
                    <w:t>400</w:t>
                  </w:r>
                </w:p>
              </w:tc>
              <w:tc>
                <w:tcPr>
                  <w:tcW w:w="773" w:type="dxa"/>
                  <w:vAlign w:val="center"/>
                </w:tcPr>
                <w:p w14:paraId="74A4FDBE">
                  <w:pPr>
                    <w:keepNext w:val="0"/>
                    <w:keepLines w:val="0"/>
                    <w:pageBreakBefore w:val="0"/>
                    <w:kinsoku/>
                    <w:wordWrap/>
                    <w:overflowPunct/>
                    <w:topLinePunct w:val="0"/>
                    <w:bidi w:val="0"/>
                    <w:snapToGrid w:val="0"/>
                    <w:jc w:val="center"/>
                    <w:rPr>
                      <w:color w:val="auto"/>
                      <w:szCs w:val="21"/>
                    </w:rPr>
                  </w:pPr>
                  <w:r>
                    <w:rPr>
                      <w:color w:val="auto"/>
                      <w:szCs w:val="21"/>
                    </w:rPr>
                    <w:t>400</w:t>
                  </w:r>
                </w:p>
              </w:tc>
              <w:tc>
                <w:tcPr>
                  <w:tcW w:w="768" w:type="dxa"/>
                  <w:vAlign w:val="center"/>
                </w:tcPr>
                <w:p w14:paraId="74ACA6DA">
                  <w:pPr>
                    <w:keepNext w:val="0"/>
                    <w:keepLines w:val="0"/>
                    <w:pageBreakBefore w:val="0"/>
                    <w:kinsoku/>
                    <w:wordWrap/>
                    <w:overflowPunct/>
                    <w:topLinePunct w:val="0"/>
                    <w:bidi w:val="0"/>
                    <w:snapToGrid w:val="0"/>
                    <w:jc w:val="center"/>
                    <w:rPr>
                      <w:color w:val="auto"/>
                      <w:szCs w:val="21"/>
                    </w:rPr>
                  </w:pPr>
                  <w:r>
                    <w:rPr>
                      <w:color w:val="auto"/>
                      <w:szCs w:val="21"/>
                    </w:rPr>
                    <w:t>80</w:t>
                  </w:r>
                </w:p>
              </w:tc>
              <w:tc>
                <w:tcPr>
                  <w:tcW w:w="769" w:type="dxa"/>
                  <w:vAlign w:val="center"/>
                </w:tcPr>
                <w:p w14:paraId="0E44D5F2">
                  <w:pPr>
                    <w:keepNext w:val="0"/>
                    <w:keepLines w:val="0"/>
                    <w:pageBreakBefore w:val="0"/>
                    <w:kinsoku/>
                    <w:wordWrap/>
                    <w:overflowPunct/>
                    <w:topLinePunct w:val="0"/>
                    <w:bidi w:val="0"/>
                    <w:snapToGrid w:val="0"/>
                    <w:jc w:val="center"/>
                    <w:rPr>
                      <w:color w:val="auto"/>
                      <w:szCs w:val="21"/>
                    </w:rPr>
                  </w:pPr>
                  <w:r>
                    <w:rPr>
                      <w:color w:val="auto"/>
                      <w:szCs w:val="21"/>
                    </w:rPr>
                    <w:t>80</w:t>
                  </w:r>
                </w:p>
              </w:tc>
              <w:tc>
                <w:tcPr>
                  <w:tcW w:w="780" w:type="dxa"/>
                  <w:vAlign w:val="center"/>
                </w:tcPr>
                <w:p w14:paraId="31011D1B">
                  <w:pPr>
                    <w:keepNext w:val="0"/>
                    <w:keepLines w:val="0"/>
                    <w:pageBreakBefore w:val="0"/>
                    <w:kinsoku/>
                    <w:wordWrap/>
                    <w:overflowPunct/>
                    <w:topLinePunct w:val="0"/>
                    <w:bidi w:val="0"/>
                    <w:snapToGrid w:val="0"/>
                    <w:jc w:val="center"/>
                    <w:rPr>
                      <w:color w:val="auto"/>
                      <w:szCs w:val="21"/>
                    </w:rPr>
                  </w:pPr>
                  <w:r>
                    <w:rPr>
                      <w:color w:val="auto"/>
                      <w:szCs w:val="21"/>
                    </w:rPr>
                    <w:t>80</w:t>
                  </w:r>
                </w:p>
              </w:tc>
            </w:tr>
            <w:tr w14:paraId="54BEB0B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33" w:type="dxa"/>
                  <w:vMerge w:val="continue"/>
                  <w:vAlign w:val="center"/>
                </w:tcPr>
                <w:p w14:paraId="15472F9D">
                  <w:pPr>
                    <w:keepNext w:val="0"/>
                    <w:keepLines w:val="0"/>
                    <w:pageBreakBefore w:val="0"/>
                    <w:kinsoku/>
                    <w:wordWrap/>
                    <w:overflowPunct/>
                    <w:topLinePunct w:val="0"/>
                    <w:bidi w:val="0"/>
                    <w:snapToGrid w:val="0"/>
                    <w:jc w:val="center"/>
                    <w:rPr>
                      <w:color w:val="auto"/>
                      <w:szCs w:val="21"/>
                    </w:rPr>
                  </w:pPr>
                </w:p>
              </w:tc>
              <w:tc>
                <w:tcPr>
                  <w:tcW w:w="903" w:type="dxa"/>
                  <w:vAlign w:val="center"/>
                </w:tcPr>
                <w:p w14:paraId="043525FD">
                  <w:pPr>
                    <w:keepNext w:val="0"/>
                    <w:keepLines w:val="0"/>
                    <w:pageBreakBefore w:val="0"/>
                    <w:widowControl/>
                    <w:kinsoku/>
                    <w:wordWrap/>
                    <w:overflowPunct/>
                    <w:topLinePunct w:val="0"/>
                    <w:bidi w:val="0"/>
                    <w:snapToGrid w:val="0"/>
                    <w:jc w:val="center"/>
                    <w:textAlignment w:val="center"/>
                    <w:rPr>
                      <w:color w:val="auto"/>
                      <w:szCs w:val="21"/>
                    </w:rPr>
                  </w:pPr>
                  <w:r>
                    <w:rPr>
                      <w:color w:val="auto"/>
                      <w:szCs w:val="21"/>
                    </w:rPr>
                    <w:t>2~4</w:t>
                  </w:r>
                </w:p>
              </w:tc>
              <w:tc>
                <w:tcPr>
                  <w:tcW w:w="768" w:type="dxa"/>
                  <w:vAlign w:val="center"/>
                </w:tcPr>
                <w:p w14:paraId="008D0F91">
                  <w:pPr>
                    <w:keepNext w:val="0"/>
                    <w:keepLines w:val="0"/>
                    <w:pageBreakBefore w:val="0"/>
                    <w:kinsoku/>
                    <w:wordWrap/>
                    <w:overflowPunct/>
                    <w:topLinePunct w:val="0"/>
                    <w:bidi w:val="0"/>
                    <w:snapToGrid w:val="0"/>
                    <w:jc w:val="center"/>
                    <w:rPr>
                      <w:color w:val="auto"/>
                      <w:szCs w:val="21"/>
                    </w:rPr>
                  </w:pPr>
                  <w:r>
                    <w:rPr>
                      <w:color w:val="auto"/>
                      <w:szCs w:val="21"/>
                    </w:rPr>
                    <w:t>700</w:t>
                  </w:r>
                </w:p>
              </w:tc>
              <w:tc>
                <w:tcPr>
                  <w:tcW w:w="575" w:type="dxa"/>
                  <w:vAlign w:val="center"/>
                </w:tcPr>
                <w:p w14:paraId="7C0539D6">
                  <w:pPr>
                    <w:keepNext w:val="0"/>
                    <w:keepLines w:val="0"/>
                    <w:pageBreakBefore w:val="0"/>
                    <w:kinsoku/>
                    <w:wordWrap/>
                    <w:overflowPunct/>
                    <w:topLinePunct w:val="0"/>
                    <w:bidi w:val="0"/>
                    <w:snapToGrid w:val="0"/>
                    <w:jc w:val="center"/>
                    <w:rPr>
                      <w:color w:val="auto"/>
                      <w:szCs w:val="21"/>
                    </w:rPr>
                  </w:pPr>
                  <w:r>
                    <w:rPr>
                      <w:color w:val="auto"/>
                      <w:szCs w:val="21"/>
                    </w:rPr>
                    <w:t>470</w:t>
                  </w:r>
                </w:p>
              </w:tc>
              <w:tc>
                <w:tcPr>
                  <w:tcW w:w="577" w:type="dxa"/>
                  <w:vAlign w:val="center"/>
                </w:tcPr>
                <w:p w14:paraId="32C61D6E">
                  <w:pPr>
                    <w:keepNext w:val="0"/>
                    <w:keepLines w:val="0"/>
                    <w:pageBreakBefore w:val="0"/>
                    <w:kinsoku/>
                    <w:wordWrap/>
                    <w:overflowPunct/>
                    <w:topLinePunct w:val="0"/>
                    <w:bidi w:val="0"/>
                    <w:snapToGrid w:val="0"/>
                    <w:jc w:val="center"/>
                    <w:rPr>
                      <w:color w:val="auto"/>
                      <w:szCs w:val="21"/>
                    </w:rPr>
                  </w:pPr>
                  <w:r>
                    <w:rPr>
                      <w:rFonts w:hint="eastAsia"/>
                      <w:color w:val="auto"/>
                      <w:szCs w:val="21"/>
                    </w:rPr>
                    <w:t>350</w:t>
                  </w:r>
                </w:p>
              </w:tc>
              <w:tc>
                <w:tcPr>
                  <w:tcW w:w="768" w:type="dxa"/>
                  <w:vAlign w:val="center"/>
                </w:tcPr>
                <w:p w14:paraId="77B90484">
                  <w:pPr>
                    <w:keepNext w:val="0"/>
                    <w:keepLines w:val="0"/>
                    <w:pageBreakBefore w:val="0"/>
                    <w:kinsoku/>
                    <w:wordWrap/>
                    <w:overflowPunct/>
                    <w:topLinePunct w:val="0"/>
                    <w:bidi w:val="0"/>
                    <w:snapToGrid w:val="0"/>
                    <w:jc w:val="center"/>
                    <w:rPr>
                      <w:color w:val="auto"/>
                      <w:szCs w:val="21"/>
                    </w:rPr>
                  </w:pPr>
                  <w:r>
                    <w:rPr>
                      <w:color w:val="auto"/>
                      <w:szCs w:val="21"/>
                    </w:rPr>
                    <w:t>700</w:t>
                  </w:r>
                </w:p>
              </w:tc>
              <w:tc>
                <w:tcPr>
                  <w:tcW w:w="768" w:type="dxa"/>
                  <w:vAlign w:val="center"/>
                </w:tcPr>
                <w:p w14:paraId="4E41BF16">
                  <w:pPr>
                    <w:keepNext w:val="0"/>
                    <w:keepLines w:val="0"/>
                    <w:pageBreakBefore w:val="0"/>
                    <w:kinsoku/>
                    <w:wordWrap/>
                    <w:overflowPunct/>
                    <w:topLinePunct w:val="0"/>
                    <w:bidi w:val="0"/>
                    <w:snapToGrid w:val="0"/>
                    <w:jc w:val="center"/>
                    <w:rPr>
                      <w:color w:val="auto"/>
                      <w:szCs w:val="21"/>
                    </w:rPr>
                  </w:pPr>
                  <w:r>
                    <w:rPr>
                      <w:color w:val="auto"/>
                      <w:szCs w:val="21"/>
                    </w:rPr>
                    <w:t>470</w:t>
                  </w:r>
                </w:p>
              </w:tc>
              <w:tc>
                <w:tcPr>
                  <w:tcW w:w="773" w:type="dxa"/>
                  <w:vAlign w:val="center"/>
                </w:tcPr>
                <w:p w14:paraId="0F16F9F1">
                  <w:pPr>
                    <w:keepNext w:val="0"/>
                    <w:keepLines w:val="0"/>
                    <w:pageBreakBefore w:val="0"/>
                    <w:kinsoku/>
                    <w:wordWrap/>
                    <w:overflowPunct/>
                    <w:topLinePunct w:val="0"/>
                    <w:bidi w:val="0"/>
                    <w:snapToGrid w:val="0"/>
                    <w:jc w:val="center"/>
                    <w:rPr>
                      <w:color w:val="auto"/>
                      <w:szCs w:val="21"/>
                    </w:rPr>
                  </w:pPr>
                  <w:r>
                    <w:rPr>
                      <w:color w:val="auto"/>
                      <w:szCs w:val="21"/>
                    </w:rPr>
                    <w:t>350</w:t>
                  </w:r>
                </w:p>
              </w:tc>
              <w:tc>
                <w:tcPr>
                  <w:tcW w:w="768" w:type="dxa"/>
                  <w:vAlign w:val="center"/>
                </w:tcPr>
                <w:p w14:paraId="2D315403">
                  <w:pPr>
                    <w:keepNext w:val="0"/>
                    <w:keepLines w:val="0"/>
                    <w:pageBreakBefore w:val="0"/>
                    <w:kinsoku/>
                    <w:wordWrap/>
                    <w:overflowPunct/>
                    <w:topLinePunct w:val="0"/>
                    <w:bidi w:val="0"/>
                    <w:snapToGrid w:val="0"/>
                    <w:jc w:val="center"/>
                    <w:rPr>
                      <w:color w:val="auto"/>
                      <w:szCs w:val="21"/>
                    </w:rPr>
                  </w:pPr>
                  <w:r>
                    <w:rPr>
                      <w:color w:val="auto"/>
                      <w:szCs w:val="21"/>
                    </w:rPr>
                    <w:t>380</w:t>
                  </w:r>
                </w:p>
              </w:tc>
              <w:tc>
                <w:tcPr>
                  <w:tcW w:w="769" w:type="dxa"/>
                  <w:vAlign w:val="center"/>
                </w:tcPr>
                <w:p w14:paraId="33B8B599">
                  <w:pPr>
                    <w:keepNext w:val="0"/>
                    <w:keepLines w:val="0"/>
                    <w:pageBreakBefore w:val="0"/>
                    <w:kinsoku/>
                    <w:wordWrap/>
                    <w:overflowPunct/>
                    <w:topLinePunct w:val="0"/>
                    <w:bidi w:val="0"/>
                    <w:snapToGrid w:val="0"/>
                    <w:jc w:val="center"/>
                    <w:rPr>
                      <w:color w:val="auto"/>
                      <w:szCs w:val="21"/>
                    </w:rPr>
                  </w:pPr>
                  <w:r>
                    <w:rPr>
                      <w:color w:val="auto"/>
                      <w:szCs w:val="21"/>
                    </w:rPr>
                    <w:t>250</w:t>
                  </w:r>
                </w:p>
              </w:tc>
              <w:tc>
                <w:tcPr>
                  <w:tcW w:w="780" w:type="dxa"/>
                  <w:vAlign w:val="center"/>
                </w:tcPr>
                <w:p w14:paraId="72CFA844">
                  <w:pPr>
                    <w:keepNext w:val="0"/>
                    <w:keepLines w:val="0"/>
                    <w:pageBreakBefore w:val="0"/>
                    <w:kinsoku/>
                    <w:wordWrap/>
                    <w:overflowPunct/>
                    <w:topLinePunct w:val="0"/>
                    <w:bidi w:val="0"/>
                    <w:snapToGrid w:val="0"/>
                    <w:jc w:val="center"/>
                    <w:rPr>
                      <w:color w:val="auto"/>
                      <w:szCs w:val="21"/>
                    </w:rPr>
                  </w:pPr>
                  <w:r>
                    <w:rPr>
                      <w:color w:val="auto"/>
                      <w:szCs w:val="21"/>
                    </w:rPr>
                    <w:t>190</w:t>
                  </w:r>
                </w:p>
              </w:tc>
            </w:tr>
            <w:tr w14:paraId="0945894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33" w:type="dxa"/>
                  <w:vMerge w:val="continue"/>
                  <w:vAlign w:val="center"/>
                </w:tcPr>
                <w:p w14:paraId="3285CD4A">
                  <w:pPr>
                    <w:keepNext w:val="0"/>
                    <w:keepLines w:val="0"/>
                    <w:pageBreakBefore w:val="0"/>
                    <w:kinsoku/>
                    <w:wordWrap/>
                    <w:overflowPunct/>
                    <w:topLinePunct w:val="0"/>
                    <w:bidi w:val="0"/>
                    <w:snapToGrid w:val="0"/>
                    <w:jc w:val="center"/>
                    <w:rPr>
                      <w:color w:val="auto"/>
                      <w:szCs w:val="21"/>
                    </w:rPr>
                  </w:pPr>
                </w:p>
              </w:tc>
              <w:tc>
                <w:tcPr>
                  <w:tcW w:w="903" w:type="dxa"/>
                  <w:vAlign w:val="center"/>
                </w:tcPr>
                <w:p w14:paraId="58CD915D">
                  <w:pPr>
                    <w:keepNext w:val="0"/>
                    <w:keepLines w:val="0"/>
                    <w:pageBreakBefore w:val="0"/>
                    <w:widowControl/>
                    <w:kinsoku/>
                    <w:wordWrap/>
                    <w:overflowPunct/>
                    <w:topLinePunct w:val="0"/>
                    <w:bidi w:val="0"/>
                    <w:snapToGrid w:val="0"/>
                    <w:jc w:val="center"/>
                    <w:textAlignment w:val="center"/>
                    <w:rPr>
                      <w:color w:val="auto"/>
                      <w:szCs w:val="21"/>
                    </w:rPr>
                  </w:pPr>
                  <w:r>
                    <w:rPr>
                      <w:color w:val="auto"/>
                      <w:szCs w:val="21"/>
                    </w:rPr>
                    <w:t>&lt;4</w:t>
                  </w:r>
                </w:p>
              </w:tc>
              <w:tc>
                <w:tcPr>
                  <w:tcW w:w="768" w:type="dxa"/>
                  <w:vAlign w:val="center"/>
                </w:tcPr>
                <w:p w14:paraId="6F742287">
                  <w:pPr>
                    <w:keepNext w:val="0"/>
                    <w:keepLines w:val="0"/>
                    <w:pageBreakBefore w:val="0"/>
                    <w:kinsoku/>
                    <w:wordWrap/>
                    <w:overflowPunct/>
                    <w:topLinePunct w:val="0"/>
                    <w:bidi w:val="0"/>
                    <w:snapToGrid w:val="0"/>
                    <w:jc w:val="center"/>
                    <w:rPr>
                      <w:color w:val="auto"/>
                      <w:szCs w:val="21"/>
                    </w:rPr>
                  </w:pPr>
                  <w:r>
                    <w:rPr>
                      <w:color w:val="auto"/>
                      <w:szCs w:val="21"/>
                    </w:rPr>
                    <w:t>530</w:t>
                  </w:r>
                </w:p>
              </w:tc>
              <w:tc>
                <w:tcPr>
                  <w:tcW w:w="575" w:type="dxa"/>
                  <w:vAlign w:val="center"/>
                </w:tcPr>
                <w:p w14:paraId="5F932B64">
                  <w:pPr>
                    <w:keepNext w:val="0"/>
                    <w:keepLines w:val="0"/>
                    <w:pageBreakBefore w:val="0"/>
                    <w:kinsoku/>
                    <w:wordWrap/>
                    <w:overflowPunct/>
                    <w:topLinePunct w:val="0"/>
                    <w:bidi w:val="0"/>
                    <w:snapToGrid w:val="0"/>
                    <w:jc w:val="center"/>
                    <w:rPr>
                      <w:color w:val="auto"/>
                      <w:szCs w:val="21"/>
                    </w:rPr>
                  </w:pPr>
                  <w:r>
                    <w:rPr>
                      <w:color w:val="auto"/>
                      <w:szCs w:val="21"/>
                    </w:rPr>
                    <w:t>350</w:t>
                  </w:r>
                </w:p>
              </w:tc>
              <w:tc>
                <w:tcPr>
                  <w:tcW w:w="577" w:type="dxa"/>
                  <w:vAlign w:val="center"/>
                </w:tcPr>
                <w:p w14:paraId="5A1D8DE0">
                  <w:pPr>
                    <w:keepNext w:val="0"/>
                    <w:keepLines w:val="0"/>
                    <w:pageBreakBefore w:val="0"/>
                    <w:kinsoku/>
                    <w:wordWrap/>
                    <w:overflowPunct/>
                    <w:topLinePunct w:val="0"/>
                    <w:bidi w:val="0"/>
                    <w:snapToGrid w:val="0"/>
                    <w:jc w:val="center"/>
                    <w:rPr>
                      <w:color w:val="auto"/>
                      <w:szCs w:val="21"/>
                    </w:rPr>
                  </w:pPr>
                  <w:r>
                    <w:rPr>
                      <w:color w:val="auto"/>
                      <w:szCs w:val="21"/>
                    </w:rPr>
                    <w:t>260</w:t>
                  </w:r>
                </w:p>
              </w:tc>
              <w:tc>
                <w:tcPr>
                  <w:tcW w:w="768" w:type="dxa"/>
                  <w:vAlign w:val="center"/>
                </w:tcPr>
                <w:p w14:paraId="638D3AFA">
                  <w:pPr>
                    <w:keepNext w:val="0"/>
                    <w:keepLines w:val="0"/>
                    <w:pageBreakBefore w:val="0"/>
                    <w:kinsoku/>
                    <w:wordWrap/>
                    <w:overflowPunct/>
                    <w:topLinePunct w:val="0"/>
                    <w:bidi w:val="0"/>
                    <w:snapToGrid w:val="0"/>
                    <w:jc w:val="center"/>
                    <w:rPr>
                      <w:color w:val="auto"/>
                      <w:szCs w:val="21"/>
                    </w:rPr>
                  </w:pPr>
                  <w:r>
                    <w:rPr>
                      <w:color w:val="auto"/>
                      <w:szCs w:val="21"/>
                    </w:rPr>
                    <w:t>530</w:t>
                  </w:r>
                </w:p>
              </w:tc>
              <w:tc>
                <w:tcPr>
                  <w:tcW w:w="768" w:type="dxa"/>
                  <w:vAlign w:val="center"/>
                </w:tcPr>
                <w:p w14:paraId="6AE43E9F">
                  <w:pPr>
                    <w:keepNext w:val="0"/>
                    <w:keepLines w:val="0"/>
                    <w:pageBreakBefore w:val="0"/>
                    <w:kinsoku/>
                    <w:wordWrap/>
                    <w:overflowPunct/>
                    <w:topLinePunct w:val="0"/>
                    <w:bidi w:val="0"/>
                    <w:snapToGrid w:val="0"/>
                    <w:jc w:val="center"/>
                    <w:rPr>
                      <w:color w:val="auto"/>
                      <w:szCs w:val="21"/>
                    </w:rPr>
                  </w:pPr>
                  <w:r>
                    <w:rPr>
                      <w:color w:val="auto"/>
                      <w:szCs w:val="21"/>
                    </w:rPr>
                    <w:t>350</w:t>
                  </w:r>
                </w:p>
              </w:tc>
              <w:tc>
                <w:tcPr>
                  <w:tcW w:w="773" w:type="dxa"/>
                  <w:vAlign w:val="center"/>
                </w:tcPr>
                <w:p w14:paraId="4855A87F">
                  <w:pPr>
                    <w:keepNext w:val="0"/>
                    <w:keepLines w:val="0"/>
                    <w:pageBreakBefore w:val="0"/>
                    <w:kinsoku/>
                    <w:wordWrap/>
                    <w:overflowPunct/>
                    <w:topLinePunct w:val="0"/>
                    <w:bidi w:val="0"/>
                    <w:snapToGrid w:val="0"/>
                    <w:jc w:val="center"/>
                    <w:rPr>
                      <w:color w:val="auto"/>
                      <w:szCs w:val="21"/>
                    </w:rPr>
                  </w:pPr>
                  <w:r>
                    <w:rPr>
                      <w:color w:val="auto"/>
                      <w:szCs w:val="21"/>
                    </w:rPr>
                    <w:t>260</w:t>
                  </w:r>
                </w:p>
              </w:tc>
              <w:tc>
                <w:tcPr>
                  <w:tcW w:w="768" w:type="dxa"/>
                  <w:vAlign w:val="center"/>
                </w:tcPr>
                <w:p w14:paraId="66E75E79">
                  <w:pPr>
                    <w:keepNext w:val="0"/>
                    <w:keepLines w:val="0"/>
                    <w:pageBreakBefore w:val="0"/>
                    <w:kinsoku/>
                    <w:wordWrap/>
                    <w:overflowPunct/>
                    <w:topLinePunct w:val="0"/>
                    <w:bidi w:val="0"/>
                    <w:snapToGrid w:val="0"/>
                    <w:jc w:val="center"/>
                    <w:rPr>
                      <w:color w:val="auto"/>
                      <w:szCs w:val="21"/>
                    </w:rPr>
                  </w:pPr>
                  <w:r>
                    <w:rPr>
                      <w:color w:val="auto"/>
                      <w:szCs w:val="21"/>
                    </w:rPr>
                    <w:t>290</w:t>
                  </w:r>
                </w:p>
              </w:tc>
              <w:tc>
                <w:tcPr>
                  <w:tcW w:w="769" w:type="dxa"/>
                  <w:vAlign w:val="center"/>
                </w:tcPr>
                <w:p w14:paraId="07AD4CD5">
                  <w:pPr>
                    <w:keepNext w:val="0"/>
                    <w:keepLines w:val="0"/>
                    <w:pageBreakBefore w:val="0"/>
                    <w:kinsoku/>
                    <w:wordWrap/>
                    <w:overflowPunct/>
                    <w:topLinePunct w:val="0"/>
                    <w:bidi w:val="0"/>
                    <w:snapToGrid w:val="0"/>
                    <w:jc w:val="center"/>
                    <w:rPr>
                      <w:color w:val="auto"/>
                      <w:szCs w:val="21"/>
                    </w:rPr>
                  </w:pPr>
                  <w:r>
                    <w:rPr>
                      <w:color w:val="auto"/>
                      <w:szCs w:val="21"/>
                    </w:rPr>
                    <w:t>190</w:t>
                  </w:r>
                </w:p>
              </w:tc>
              <w:tc>
                <w:tcPr>
                  <w:tcW w:w="780" w:type="dxa"/>
                  <w:vAlign w:val="center"/>
                </w:tcPr>
                <w:p w14:paraId="358AFF53">
                  <w:pPr>
                    <w:keepNext w:val="0"/>
                    <w:keepLines w:val="0"/>
                    <w:pageBreakBefore w:val="0"/>
                    <w:kinsoku/>
                    <w:wordWrap/>
                    <w:overflowPunct/>
                    <w:topLinePunct w:val="0"/>
                    <w:bidi w:val="0"/>
                    <w:snapToGrid w:val="0"/>
                    <w:jc w:val="center"/>
                    <w:rPr>
                      <w:color w:val="auto"/>
                      <w:szCs w:val="21"/>
                    </w:rPr>
                  </w:pPr>
                  <w:r>
                    <w:rPr>
                      <w:rFonts w:hint="eastAsia"/>
                      <w:color w:val="auto"/>
                      <w:szCs w:val="21"/>
                    </w:rPr>
                    <w:t>110</w:t>
                  </w:r>
                </w:p>
              </w:tc>
            </w:tr>
            <w:tr w14:paraId="65CB6A0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33" w:type="dxa"/>
                  <w:vMerge w:val="restart"/>
                  <w:vAlign w:val="center"/>
                </w:tcPr>
                <w:p w14:paraId="0620AB63">
                  <w:pPr>
                    <w:keepNext w:val="0"/>
                    <w:keepLines w:val="0"/>
                    <w:pageBreakBefore w:val="0"/>
                    <w:widowControl/>
                    <w:kinsoku/>
                    <w:wordWrap/>
                    <w:overflowPunct/>
                    <w:topLinePunct w:val="0"/>
                    <w:bidi w:val="0"/>
                    <w:snapToGrid w:val="0"/>
                    <w:jc w:val="center"/>
                    <w:textAlignment w:val="center"/>
                    <w:rPr>
                      <w:color w:val="auto"/>
                      <w:szCs w:val="21"/>
                    </w:rPr>
                  </w:pPr>
                  <w:r>
                    <w:rPr>
                      <w:color w:val="auto"/>
                      <w:szCs w:val="21"/>
                    </w:rPr>
                    <w:t>B</w:t>
                  </w:r>
                </w:p>
              </w:tc>
              <w:tc>
                <w:tcPr>
                  <w:tcW w:w="903" w:type="dxa"/>
                  <w:vAlign w:val="center"/>
                </w:tcPr>
                <w:p w14:paraId="1C5B5764">
                  <w:pPr>
                    <w:keepNext w:val="0"/>
                    <w:keepLines w:val="0"/>
                    <w:pageBreakBefore w:val="0"/>
                    <w:widowControl/>
                    <w:kinsoku/>
                    <w:wordWrap/>
                    <w:overflowPunct/>
                    <w:topLinePunct w:val="0"/>
                    <w:bidi w:val="0"/>
                    <w:snapToGrid w:val="0"/>
                    <w:jc w:val="center"/>
                    <w:textAlignment w:val="center"/>
                    <w:rPr>
                      <w:color w:val="auto"/>
                      <w:szCs w:val="21"/>
                    </w:rPr>
                  </w:pPr>
                  <w:r>
                    <w:rPr>
                      <w:color w:val="auto"/>
                      <w:szCs w:val="21"/>
                    </w:rPr>
                    <w:t>&lt;2</w:t>
                  </w:r>
                </w:p>
              </w:tc>
              <w:tc>
                <w:tcPr>
                  <w:tcW w:w="1920" w:type="dxa"/>
                  <w:gridSpan w:val="3"/>
                  <w:vAlign w:val="center"/>
                </w:tcPr>
                <w:p w14:paraId="090979C8">
                  <w:pPr>
                    <w:keepNext w:val="0"/>
                    <w:keepLines w:val="0"/>
                    <w:pageBreakBefore w:val="0"/>
                    <w:kinsoku/>
                    <w:wordWrap/>
                    <w:overflowPunct/>
                    <w:topLinePunct w:val="0"/>
                    <w:bidi w:val="0"/>
                    <w:snapToGrid w:val="0"/>
                    <w:jc w:val="center"/>
                    <w:rPr>
                      <w:color w:val="auto"/>
                      <w:szCs w:val="21"/>
                    </w:rPr>
                  </w:pPr>
                  <w:r>
                    <w:rPr>
                      <w:color w:val="auto"/>
                      <w:szCs w:val="21"/>
                    </w:rPr>
                    <w:t>0.01</w:t>
                  </w:r>
                </w:p>
              </w:tc>
              <w:tc>
                <w:tcPr>
                  <w:tcW w:w="2311" w:type="dxa"/>
                  <w:gridSpan w:val="3"/>
                  <w:vAlign w:val="center"/>
                </w:tcPr>
                <w:p w14:paraId="4C65AE91">
                  <w:pPr>
                    <w:keepNext w:val="0"/>
                    <w:keepLines w:val="0"/>
                    <w:pageBreakBefore w:val="0"/>
                    <w:kinsoku/>
                    <w:wordWrap/>
                    <w:overflowPunct/>
                    <w:topLinePunct w:val="0"/>
                    <w:bidi w:val="0"/>
                    <w:snapToGrid w:val="0"/>
                    <w:jc w:val="center"/>
                    <w:rPr>
                      <w:color w:val="auto"/>
                      <w:szCs w:val="21"/>
                    </w:rPr>
                  </w:pPr>
                  <w:r>
                    <w:rPr>
                      <w:color w:val="auto"/>
                      <w:szCs w:val="21"/>
                    </w:rPr>
                    <w:t>0.015</w:t>
                  </w:r>
                </w:p>
              </w:tc>
              <w:tc>
                <w:tcPr>
                  <w:tcW w:w="2315" w:type="dxa"/>
                  <w:gridSpan w:val="3"/>
                  <w:vAlign w:val="center"/>
                </w:tcPr>
                <w:p w14:paraId="4FA4D156">
                  <w:pPr>
                    <w:keepNext w:val="0"/>
                    <w:keepLines w:val="0"/>
                    <w:pageBreakBefore w:val="0"/>
                    <w:kinsoku/>
                    <w:wordWrap/>
                    <w:overflowPunct/>
                    <w:topLinePunct w:val="0"/>
                    <w:bidi w:val="0"/>
                    <w:snapToGrid w:val="0"/>
                    <w:jc w:val="center"/>
                    <w:rPr>
                      <w:color w:val="auto"/>
                      <w:szCs w:val="21"/>
                    </w:rPr>
                  </w:pPr>
                  <w:r>
                    <w:rPr>
                      <w:color w:val="auto"/>
                      <w:szCs w:val="21"/>
                    </w:rPr>
                    <w:t>0.015</w:t>
                  </w:r>
                </w:p>
              </w:tc>
            </w:tr>
            <w:tr w14:paraId="63B0B85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33" w:type="dxa"/>
                  <w:vMerge w:val="continue"/>
                  <w:vAlign w:val="center"/>
                </w:tcPr>
                <w:p w14:paraId="2FFB20E8">
                  <w:pPr>
                    <w:keepNext w:val="0"/>
                    <w:keepLines w:val="0"/>
                    <w:pageBreakBefore w:val="0"/>
                    <w:kinsoku/>
                    <w:wordWrap/>
                    <w:overflowPunct/>
                    <w:topLinePunct w:val="0"/>
                    <w:bidi w:val="0"/>
                    <w:snapToGrid w:val="0"/>
                    <w:jc w:val="center"/>
                    <w:rPr>
                      <w:color w:val="auto"/>
                      <w:szCs w:val="21"/>
                    </w:rPr>
                  </w:pPr>
                </w:p>
              </w:tc>
              <w:tc>
                <w:tcPr>
                  <w:tcW w:w="903" w:type="dxa"/>
                  <w:vAlign w:val="center"/>
                </w:tcPr>
                <w:p w14:paraId="0D5E47AF">
                  <w:pPr>
                    <w:keepNext w:val="0"/>
                    <w:keepLines w:val="0"/>
                    <w:pageBreakBefore w:val="0"/>
                    <w:widowControl/>
                    <w:kinsoku/>
                    <w:wordWrap/>
                    <w:overflowPunct/>
                    <w:topLinePunct w:val="0"/>
                    <w:bidi w:val="0"/>
                    <w:snapToGrid w:val="0"/>
                    <w:jc w:val="center"/>
                    <w:textAlignment w:val="center"/>
                    <w:rPr>
                      <w:color w:val="auto"/>
                      <w:szCs w:val="21"/>
                    </w:rPr>
                  </w:pPr>
                  <w:r>
                    <w:rPr>
                      <w:color w:val="auto"/>
                      <w:szCs w:val="21"/>
                    </w:rPr>
                    <w:t>&gt;2</w:t>
                  </w:r>
                </w:p>
              </w:tc>
              <w:tc>
                <w:tcPr>
                  <w:tcW w:w="1920" w:type="dxa"/>
                  <w:gridSpan w:val="3"/>
                  <w:vAlign w:val="center"/>
                </w:tcPr>
                <w:p w14:paraId="36C23896">
                  <w:pPr>
                    <w:keepNext w:val="0"/>
                    <w:keepLines w:val="0"/>
                    <w:pageBreakBefore w:val="0"/>
                    <w:kinsoku/>
                    <w:wordWrap/>
                    <w:overflowPunct/>
                    <w:topLinePunct w:val="0"/>
                    <w:bidi w:val="0"/>
                    <w:snapToGrid w:val="0"/>
                    <w:jc w:val="center"/>
                    <w:rPr>
                      <w:color w:val="auto"/>
                      <w:szCs w:val="21"/>
                    </w:rPr>
                  </w:pPr>
                  <w:r>
                    <w:rPr>
                      <w:color w:val="auto"/>
                      <w:szCs w:val="21"/>
                    </w:rPr>
                    <w:t>0.021</w:t>
                  </w:r>
                </w:p>
              </w:tc>
              <w:tc>
                <w:tcPr>
                  <w:tcW w:w="2311" w:type="dxa"/>
                  <w:gridSpan w:val="3"/>
                  <w:vAlign w:val="center"/>
                </w:tcPr>
                <w:p w14:paraId="58D79990">
                  <w:pPr>
                    <w:keepNext w:val="0"/>
                    <w:keepLines w:val="0"/>
                    <w:pageBreakBefore w:val="0"/>
                    <w:kinsoku/>
                    <w:wordWrap/>
                    <w:overflowPunct/>
                    <w:topLinePunct w:val="0"/>
                    <w:bidi w:val="0"/>
                    <w:snapToGrid w:val="0"/>
                    <w:jc w:val="center"/>
                    <w:rPr>
                      <w:color w:val="auto"/>
                      <w:szCs w:val="21"/>
                    </w:rPr>
                  </w:pPr>
                  <w:r>
                    <w:rPr>
                      <w:color w:val="auto"/>
                      <w:szCs w:val="21"/>
                    </w:rPr>
                    <w:t>0.036</w:t>
                  </w:r>
                </w:p>
              </w:tc>
              <w:tc>
                <w:tcPr>
                  <w:tcW w:w="2315" w:type="dxa"/>
                  <w:gridSpan w:val="3"/>
                  <w:vAlign w:val="center"/>
                </w:tcPr>
                <w:p w14:paraId="6DCD7E79">
                  <w:pPr>
                    <w:keepNext w:val="0"/>
                    <w:keepLines w:val="0"/>
                    <w:pageBreakBefore w:val="0"/>
                    <w:kinsoku/>
                    <w:wordWrap/>
                    <w:overflowPunct/>
                    <w:topLinePunct w:val="0"/>
                    <w:bidi w:val="0"/>
                    <w:snapToGrid w:val="0"/>
                    <w:jc w:val="center"/>
                    <w:rPr>
                      <w:color w:val="auto"/>
                      <w:szCs w:val="21"/>
                    </w:rPr>
                  </w:pPr>
                  <w:r>
                    <w:rPr>
                      <w:color w:val="auto"/>
                      <w:szCs w:val="21"/>
                    </w:rPr>
                    <w:t>0.036</w:t>
                  </w:r>
                </w:p>
              </w:tc>
            </w:tr>
            <w:tr w14:paraId="6D8C7D8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33" w:type="dxa"/>
                  <w:vMerge w:val="restart"/>
                  <w:vAlign w:val="center"/>
                </w:tcPr>
                <w:p w14:paraId="73E032C0">
                  <w:pPr>
                    <w:keepNext w:val="0"/>
                    <w:keepLines w:val="0"/>
                    <w:pageBreakBefore w:val="0"/>
                    <w:widowControl/>
                    <w:kinsoku/>
                    <w:wordWrap/>
                    <w:overflowPunct/>
                    <w:topLinePunct w:val="0"/>
                    <w:bidi w:val="0"/>
                    <w:snapToGrid w:val="0"/>
                    <w:jc w:val="center"/>
                    <w:textAlignment w:val="center"/>
                    <w:rPr>
                      <w:color w:val="auto"/>
                      <w:szCs w:val="21"/>
                    </w:rPr>
                  </w:pPr>
                  <w:r>
                    <w:rPr>
                      <w:color w:val="auto"/>
                      <w:szCs w:val="21"/>
                    </w:rPr>
                    <w:t>C</w:t>
                  </w:r>
                </w:p>
              </w:tc>
              <w:tc>
                <w:tcPr>
                  <w:tcW w:w="903" w:type="dxa"/>
                  <w:vAlign w:val="center"/>
                </w:tcPr>
                <w:p w14:paraId="1EE340E6">
                  <w:pPr>
                    <w:keepNext w:val="0"/>
                    <w:keepLines w:val="0"/>
                    <w:pageBreakBefore w:val="0"/>
                    <w:widowControl/>
                    <w:kinsoku/>
                    <w:wordWrap/>
                    <w:overflowPunct/>
                    <w:topLinePunct w:val="0"/>
                    <w:bidi w:val="0"/>
                    <w:snapToGrid w:val="0"/>
                    <w:jc w:val="center"/>
                    <w:textAlignment w:val="center"/>
                    <w:rPr>
                      <w:color w:val="auto"/>
                      <w:szCs w:val="21"/>
                    </w:rPr>
                  </w:pPr>
                  <w:r>
                    <w:rPr>
                      <w:color w:val="auto"/>
                      <w:szCs w:val="21"/>
                    </w:rPr>
                    <w:t>&lt;2</w:t>
                  </w:r>
                </w:p>
              </w:tc>
              <w:tc>
                <w:tcPr>
                  <w:tcW w:w="1920" w:type="dxa"/>
                  <w:gridSpan w:val="3"/>
                  <w:vAlign w:val="center"/>
                </w:tcPr>
                <w:p w14:paraId="6EA95717">
                  <w:pPr>
                    <w:keepNext w:val="0"/>
                    <w:keepLines w:val="0"/>
                    <w:pageBreakBefore w:val="0"/>
                    <w:kinsoku/>
                    <w:wordWrap/>
                    <w:overflowPunct/>
                    <w:topLinePunct w:val="0"/>
                    <w:bidi w:val="0"/>
                    <w:snapToGrid w:val="0"/>
                    <w:jc w:val="center"/>
                    <w:rPr>
                      <w:color w:val="auto"/>
                      <w:szCs w:val="21"/>
                    </w:rPr>
                  </w:pPr>
                  <w:r>
                    <w:rPr>
                      <w:color w:val="auto"/>
                      <w:szCs w:val="21"/>
                    </w:rPr>
                    <w:t>1.85</w:t>
                  </w:r>
                </w:p>
              </w:tc>
              <w:tc>
                <w:tcPr>
                  <w:tcW w:w="2311" w:type="dxa"/>
                  <w:gridSpan w:val="3"/>
                  <w:vAlign w:val="center"/>
                </w:tcPr>
                <w:p w14:paraId="07BE2F78">
                  <w:pPr>
                    <w:keepNext w:val="0"/>
                    <w:keepLines w:val="0"/>
                    <w:pageBreakBefore w:val="0"/>
                    <w:kinsoku/>
                    <w:wordWrap/>
                    <w:overflowPunct/>
                    <w:topLinePunct w:val="0"/>
                    <w:bidi w:val="0"/>
                    <w:snapToGrid w:val="0"/>
                    <w:jc w:val="center"/>
                    <w:rPr>
                      <w:color w:val="auto"/>
                      <w:szCs w:val="21"/>
                    </w:rPr>
                  </w:pPr>
                  <w:r>
                    <w:rPr>
                      <w:color w:val="auto"/>
                      <w:szCs w:val="21"/>
                    </w:rPr>
                    <w:t>1.79</w:t>
                  </w:r>
                </w:p>
              </w:tc>
              <w:tc>
                <w:tcPr>
                  <w:tcW w:w="2315" w:type="dxa"/>
                  <w:gridSpan w:val="3"/>
                  <w:vAlign w:val="center"/>
                </w:tcPr>
                <w:p w14:paraId="20ABEDE3">
                  <w:pPr>
                    <w:keepNext w:val="0"/>
                    <w:keepLines w:val="0"/>
                    <w:pageBreakBefore w:val="0"/>
                    <w:kinsoku/>
                    <w:wordWrap/>
                    <w:overflowPunct/>
                    <w:topLinePunct w:val="0"/>
                    <w:bidi w:val="0"/>
                    <w:snapToGrid w:val="0"/>
                    <w:jc w:val="center"/>
                    <w:rPr>
                      <w:color w:val="auto"/>
                      <w:szCs w:val="21"/>
                    </w:rPr>
                  </w:pPr>
                  <w:r>
                    <w:rPr>
                      <w:color w:val="auto"/>
                      <w:szCs w:val="21"/>
                    </w:rPr>
                    <w:t>1.79</w:t>
                  </w:r>
                </w:p>
              </w:tc>
            </w:tr>
            <w:tr w14:paraId="5A5A65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33" w:type="dxa"/>
                  <w:vMerge w:val="continue"/>
                  <w:vAlign w:val="center"/>
                </w:tcPr>
                <w:p w14:paraId="379B5779">
                  <w:pPr>
                    <w:keepNext w:val="0"/>
                    <w:keepLines w:val="0"/>
                    <w:pageBreakBefore w:val="0"/>
                    <w:kinsoku/>
                    <w:wordWrap/>
                    <w:overflowPunct/>
                    <w:topLinePunct w:val="0"/>
                    <w:bidi w:val="0"/>
                    <w:snapToGrid w:val="0"/>
                    <w:jc w:val="center"/>
                    <w:rPr>
                      <w:color w:val="auto"/>
                      <w:szCs w:val="21"/>
                    </w:rPr>
                  </w:pPr>
                </w:p>
              </w:tc>
              <w:tc>
                <w:tcPr>
                  <w:tcW w:w="903" w:type="dxa"/>
                  <w:vAlign w:val="center"/>
                </w:tcPr>
                <w:p w14:paraId="080DA221">
                  <w:pPr>
                    <w:keepNext w:val="0"/>
                    <w:keepLines w:val="0"/>
                    <w:pageBreakBefore w:val="0"/>
                    <w:widowControl/>
                    <w:kinsoku/>
                    <w:wordWrap/>
                    <w:overflowPunct/>
                    <w:topLinePunct w:val="0"/>
                    <w:bidi w:val="0"/>
                    <w:snapToGrid w:val="0"/>
                    <w:jc w:val="center"/>
                    <w:textAlignment w:val="center"/>
                    <w:rPr>
                      <w:color w:val="auto"/>
                      <w:szCs w:val="21"/>
                    </w:rPr>
                  </w:pPr>
                  <w:r>
                    <w:rPr>
                      <w:color w:val="auto"/>
                      <w:szCs w:val="21"/>
                    </w:rPr>
                    <w:t>&gt;2</w:t>
                  </w:r>
                </w:p>
              </w:tc>
              <w:tc>
                <w:tcPr>
                  <w:tcW w:w="1920" w:type="dxa"/>
                  <w:gridSpan w:val="3"/>
                  <w:vAlign w:val="center"/>
                </w:tcPr>
                <w:p w14:paraId="34362AEB">
                  <w:pPr>
                    <w:keepNext w:val="0"/>
                    <w:keepLines w:val="0"/>
                    <w:pageBreakBefore w:val="0"/>
                    <w:kinsoku/>
                    <w:wordWrap/>
                    <w:overflowPunct/>
                    <w:topLinePunct w:val="0"/>
                    <w:bidi w:val="0"/>
                    <w:snapToGrid w:val="0"/>
                    <w:jc w:val="center"/>
                    <w:rPr>
                      <w:color w:val="auto"/>
                      <w:szCs w:val="21"/>
                    </w:rPr>
                  </w:pPr>
                  <w:r>
                    <w:rPr>
                      <w:color w:val="auto"/>
                      <w:szCs w:val="21"/>
                    </w:rPr>
                    <w:t>1.85</w:t>
                  </w:r>
                </w:p>
              </w:tc>
              <w:tc>
                <w:tcPr>
                  <w:tcW w:w="2311" w:type="dxa"/>
                  <w:gridSpan w:val="3"/>
                  <w:vAlign w:val="center"/>
                </w:tcPr>
                <w:p w14:paraId="1F18D8DC">
                  <w:pPr>
                    <w:keepNext w:val="0"/>
                    <w:keepLines w:val="0"/>
                    <w:pageBreakBefore w:val="0"/>
                    <w:kinsoku/>
                    <w:wordWrap/>
                    <w:overflowPunct/>
                    <w:topLinePunct w:val="0"/>
                    <w:bidi w:val="0"/>
                    <w:snapToGrid w:val="0"/>
                    <w:jc w:val="center"/>
                    <w:rPr>
                      <w:color w:val="auto"/>
                      <w:szCs w:val="21"/>
                    </w:rPr>
                  </w:pPr>
                  <w:r>
                    <w:rPr>
                      <w:color w:val="auto"/>
                      <w:szCs w:val="21"/>
                    </w:rPr>
                    <w:t>1.77</w:t>
                  </w:r>
                </w:p>
              </w:tc>
              <w:tc>
                <w:tcPr>
                  <w:tcW w:w="2315" w:type="dxa"/>
                  <w:gridSpan w:val="3"/>
                  <w:vAlign w:val="center"/>
                </w:tcPr>
                <w:p w14:paraId="6E85D84F">
                  <w:pPr>
                    <w:keepNext w:val="0"/>
                    <w:keepLines w:val="0"/>
                    <w:pageBreakBefore w:val="0"/>
                    <w:kinsoku/>
                    <w:wordWrap/>
                    <w:overflowPunct/>
                    <w:topLinePunct w:val="0"/>
                    <w:bidi w:val="0"/>
                    <w:snapToGrid w:val="0"/>
                    <w:jc w:val="center"/>
                    <w:rPr>
                      <w:color w:val="auto"/>
                      <w:szCs w:val="21"/>
                    </w:rPr>
                  </w:pPr>
                  <w:r>
                    <w:rPr>
                      <w:color w:val="auto"/>
                      <w:szCs w:val="21"/>
                    </w:rPr>
                    <w:t>1.77</w:t>
                  </w:r>
                </w:p>
              </w:tc>
            </w:tr>
            <w:tr w14:paraId="6370C41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33" w:type="dxa"/>
                  <w:vMerge w:val="restart"/>
                  <w:vAlign w:val="center"/>
                </w:tcPr>
                <w:p w14:paraId="18C99F5C">
                  <w:pPr>
                    <w:keepNext w:val="0"/>
                    <w:keepLines w:val="0"/>
                    <w:pageBreakBefore w:val="0"/>
                    <w:widowControl/>
                    <w:kinsoku/>
                    <w:wordWrap/>
                    <w:overflowPunct/>
                    <w:topLinePunct w:val="0"/>
                    <w:bidi w:val="0"/>
                    <w:snapToGrid w:val="0"/>
                    <w:jc w:val="center"/>
                    <w:textAlignment w:val="center"/>
                    <w:rPr>
                      <w:color w:val="auto"/>
                      <w:szCs w:val="21"/>
                    </w:rPr>
                  </w:pPr>
                  <w:r>
                    <w:rPr>
                      <w:color w:val="auto"/>
                      <w:szCs w:val="21"/>
                    </w:rPr>
                    <w:t>D</w:t>
                  </w:r>
                </w:p>
              </w:tc>
              <w:tc>
                <w:tcPr>
                  <w:tcW w:w="903" w:type="dxa"/>
                  <w:vAlign w:val="center"/>
                </w:tcPr>
                <w:p w14:paraId="3BECD8B3">
                  <w:pPr>
                    <w:keepNext w:val="0"/>
                    <w:keepLines w:val="0"/>
                    <w:pageBreakBefore w:val="0"/>
                    <w:widowControl/>
                    <w:kinsoku/>
                    <w:wordWrap/>
                    <w:overflowPunct/>
                    <w:topLinePunct w:val="0"/>
                    <w:bidi w:val="0"/>
                    <w:snapToGrid w:val="0"/>
                    <w:jc w:val="center"/>
                    <w:textAlignment w:val="center"/>
                    <w:rPr>
                      <w:color w:val="auto"/>
                      <w:szCs w:val="21"/>
                    </w:rPr>
                  </w:pPr>
                  <w:r>
                    <w:rPr>
                      <w:color w:val="auto"/>
                      <w:szCs w:val="21"/>
                    </w:rPr>
                    <w:t>&lt;2</w:t>
                  </w:r>
                </w:p>
              </w:tc>
              <w:tc>
                <w:tcPr>
                  <w:tcW w:w="1920" w:type="dxa"/>
                  <w:gridSpan w:val="3"/>
                  <w:vAlign w:val="center"/>
                </w:tcPr>
                <w:p w14:paraId="09FB1647">
                  <w:pPr>
                    <w:keepNext w:val="0"/>
                    <w:keepLines w:val="0"/>
                    <w:pageBreakBefore w:val="0"/>
                    <w:kinsoku/>
                    <w:wordWrap/>
                    <w:overflowPunct/>
                    <w:topLinePunct w:val="0"/>
                    <w:bidi w:val="0"/>
                    <w:snapToGrid w:val="0"/>
                    <w:jc w:val="center"/>
                    <w:rPr>
                      <w:color w:val="auto"/>
                      <w:szCs w:val="21"/>
                    </w:rPr>
                  </w:pPr>
                  <w:r>
                    <w:rPr>
                      <w:color w:val="auto"/>
                      <w:szCs w:val="21"/>
                    </w:rPr>
                    <w:t>0.78</w:t>
                  </w:r>
                </w:p>
              </w:tc>
              <w:tc>
                <w:tcPr>
                  <w:tcW w:w="2311" w:type="dxa"/>
                  <w:gridSpan w:val="3"/>
                  <w:vAlign w:val="center"/>
                </w:tcPr>
                <w:p w14:paraId="77FD40E1">
                  <w:pPr>
                    <w:keepNext w:val="0"/>
                    <w:keepLines w:val="0"/>
                    <w:pageBreakBefore w:val="0"/>
                    <w:kinsoku/>
                    <w:wordWrap/>
                    <w:overflowPunct/>
                    <w:topLinePunct w:val="0"/>
                    <w:bidi w:val="0"/>
                    <w:snapToGrid w:val="0"/>
                    <w:jc w:val="center"/>
                    <w:rPr>
                      <w:color w:val="auto"/>
                      <w:szCs w:val="21"/>
                    </w:rPr>
                  </w:pPr>
                  <w:r>
                    <w:rPr>
                      <w:color w:val="auto"/>
                      <w:szCs w:val="21"/>
                    </w:rPr>
                    <w:t>0.78</w:t>
                  </w:r>
                </w:p>
              </w:tc>
              <w:tc>
                <w:tcPr>
                  <w:tcW w:w="2315" w:type="dxa"/>
                  <w:gridSpan w:val="3"/>
                  <w:vAlign w:val="center"/>
                </w:tcPr>
                <w:p w14:paraId="1E479DBF">
                  <w:pPr>
                    <w:keepNext w:val="0"/>
                    <w:keepLines w:val="0"/>
                    <w:pageBreakBefore w:val="0"/>
                    <w:kinsoku/>
                    <w:wordWrap/>
                    <w:overflowPunct/>
                    <w:topLinePunct w:val="0"/>
                    <w:bidi w:val="0"/>
                    <w:snapToGrid w:val="0"/>
                    <w:jc w:val="center"/>
                    <w:rPr>
                      <w:color w:val="auto"/>
                      <w:szCs w:val="21"/>
                    </w:rPr>
                  </w:pPr>
                  <w:r>
                    <w:rPr>
                      <w:color w:val="auto"/>
                      <w:szCs w:val="21"/>
                    </w:rPr>
                    <w:t>0.57</w:t>
                  </w:r>
                </w:p>
              </w:tc>
            </w:tr>
            <w:tr w14:paraId="4F93FD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33" w:type="dxa"/>
                  <w:vMerge w:val="continue"/>
                  <w:vAlign w:val="center"/>
                </w:tcPr>
                <w:p w14:paraId="3CCAA6A9">
                  <w:pPr>
                    <w:keepNext w:val="0"/>
                    <w:keepLines w:val="0"/>
                    <w:pageBreakBefore w:val="0"/>
                    <w:kinsoku/>
                    <w:wordWrap/>
                    <w:overflowPunct/>
                    <w:topLinePunct w:val="0"/>
                    <w:bidi w:val="0"/>
                    <w:snapToGrid w:val="0"/>
                    <w:jc w:val="center"/>
                    <w:rPr>
                      <w:color w:val="auto"/>
                      <w:szCs w:val="21"/>
                    </w:rPr>
                  </w:pPr>
                </w:p>
              </w:tc>
              <w:tc>
                <w:tcPr>
                  <w:tcW w:w="903" w:type="dxa"/>
                  <w:vAlign w:val="center"/>
                </w:tcPr>
                <w:p w14:paraId="33C1457D">
                  <w:pPr>
                    <w:keepNext w:val="0"/>
                    <w:keepLines w:val="0"/>
                    <w:pageBreakBefore w:val="0"/>
                    <w:widowControl/>
                    <w:kinsoku/>
                    <w:wordWrap/>
                    <w:overflowPunct/>
                    <w:topLinePunct w:val="0"/>
                    <w:bidi w:val="0"/>
                    <w:snapToGrid w:val="0"/>
                    <w:jc w:val="center"/>
                    <w:textAlignment w:val="center"/>
                    <w:rPr>
                      <w:color w:val="auto"/>
                      <w:szCs w:val="21"/>
                    </w:rPr>
                  </w:pPr>
                  <w:r>
                    <w:rPr>
                      <w:color w:val="auto"/>
                      <w:szCs w:val="21"/>
                    </w:rPr>
                    <w:t>&gt;2</w:t>
                  </w:r>
                </w:p>
              </w:tc>
              <w:tc>
                <w:tcPr>
                  <w:tcW w:w="1920" w:type="dxa"/>
                  <w:gridSpan w:val="3"/>
                  <w:vAlign w:val="center"/>
                </w:tcPr>
                <w:p w14:paraId="20938A6C">
                  <w:pPr>
                    <w:keepNext w:val="0"/>
                    <w:keepLines w:val="0"/>
                    <w:pageBreakBefore w:val="0"/>
                    <w:kinsoku/>
                    <w:wordWrap/>
                    <w:overflowPunct/>
                    <w:topLinePunct w:val="0"/>
                    <w:bidi w:val="0"/>
                    <w:snapToGrid w:val="0"/>
                    <w:jc w:val="center"/>
                    <w:rPr>
                      <w:color w:val="auto"/>
                      <w:szCs w:val="21"/>
                    </w:rPr>
                  </w:pPr>
                  <w:r>
                    <w:rPr>
                      <w:color w:val="auto"/>
                      <w:szCs w:val="21"/>
                    </w:rPr>
                    <w:t>0.84</w:t>
                  </w:r>
                </w:p>
              </w:tc>
              <w:tc>
                <w:tcPr>
                  <w:tcW w:w="2311" w:type="dxa"/>
                  <w:gridSpan w:val="3"/>
                  <w:vAlign w:val="center"/>
                </w:tcPr>
                <w:p w14:paraId="79A945B7">
                  <w:pPr>
                    <w:keepNext w:val="0"/>
                    <w:keepLines w:val="0"/>
                    <w:pageBreakBefore w:val="0"/>
                    <w:kinsoku/>
                    <w:wordWrap/>
                    <w:overflowPunct/>
                    <w:topLinePunct w:val="0"/>
                    <w:bidi w:val="0"/>
                    <w:snapToGrid w:val="0"/>
                    <w:jc w:val="center"/>
                    <w:rPr>
                      <w:color w:val="auto"/>
                      <w:szCs w:val="21"/>
                    </w:rPr>
                  </w:pPr>
                  <w:r>
                    <w:rPr>
                      <w:color w:val="auto"/>
                      <w:szCs w:val="21"/>
                    </w:rPr>
                    <w:t>0.84</w:t>
                  </w:r>
                </w:p>
              </w:tc>
              <w:tc>
                <w:tcPr>
                  <w:tcW w:w="2315" w:type="dxa"/>
                  <w:gridSpan w:val="3"/>
                  <w:vAlign w:val="center"/>
                </w:tcPr>
                <w:p w14:paraId="6CDEF0FC">
                  <w:pPr>
                    <w:keepNext w:val="0"/>
                    <w:keepLines w:val="0"/>
                    <w:pageBreakBefore w:val="0"/>
                    <w:kinsoku/>
                    <w:wordWrap/>
                    <w:overflowPunct/>
                    <w:topLinePunct w:val="0"/>
                    <w:bidi w:val="0"/>
                    <w:snapToGrid w:val="0"/>
                    <w:jc w:val="center"/>
                    <w:rPr>
                      <w:color w:val="auto"/>
                      <w:szCs w:val="21"/>
                    </w:rPr>
                  </w:pPr>
                  <w:r>
                    <w:rPr>
                      <w:color w:val="auto"/>
                      <w:szCs w:val="21"/>
                    </w:rPr>
                    <w:t>0.76</w:t>
                  </w:r>
                </w:p>
              </w:tc>
            </w:tr>
            <w:tr w14:paraId="1AD0C92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082" w:type="dxa"/>
                  <w:gridSpan w:val="11"/>
                  <w:vAlign w:val="center"/>
                </w:tcPr>
                <w:p w14:paraId="050675D0">
                  <w:pPr>
                    <w:keepNext w:val="0"/>
                    <w:keepLines w:val="0"/>
                    <w:pageBreakBefore w:val="0"/>
                    <w:widowControl/>
                    <w:kinsoku/>
                    <w:wordWrap/>
                    <w:overflowPunct/>
                    <w:topLinePunct w:val="0"/>
                    <w:bidi w:val="0"/>
                    <w:snapToGrid w:val="0"/>
                    <w:jc w:val="left"/>
                    <w:rPr>
                      <w:color w:val="auto"/>
                      <w:szCs w:val="21"/>
                    </w:rPr>
                  </w:pPr>
                  <w:r>
                    <w:rPr>
                      <w:rFonts w:hint="eastAsia"/>
                      <w:color w:val="auto"/>
                      <w:szCs w:val="21"/>
                    </w:rPr>
                    <w:t>注：</w:t>
                  </w:r>
                  <w:r>
                    <w:rPr>
                      <w:color w:val="auto"/>
                      <w:szCs w:val="21"/>
                    </w:rPr>
                    <w:t>Ⅰ类</w:t>
                  </w:r>
                  <w:r>
                    <w:rPr>
                      <w:rFonts w:hint="eastAsia"/>
                      <w:color w:val="auto"/>
                      <w:szCs w:val="21"/>
                    </w:rPr>
                    <w:t>：</w:t>
                  </w:r>
                  <w:r>
                    <w:rPr>
                      <w:color w:val="auto"/>
                      <w:szCs w:val="21"/>
                    </w:rPr>
                    <w:t>与无组织排放源共存的排放同种有害气体的排气筒的排放量，大于</w:t>
                  </w:r>
                  <w:r>
                    <w:rPr>
                      <w:rFonts w:hint="eastAsia"/>
                      <w:color w:val="auto"/>
                      <w:szCs w:val="21"/>
                    </w:rPr>
                    <w:t>或等于</w:t>
                  </w:r>
                  <w:r>
                    <w:rPr>
                      <w:color w:val="auto"/>
                      <w:szCs w:val="21"/>
                    </w:rPr>
                    <w:t>标准规定的允许排放量的三分之一者；</w:t>
                  </w:r>
                </w:p>
                <w:p w14:paraId="6410318F">
                  <w:pPr>
                    <w:keepNext w:val="0"/>
                    <w:keepLines w:val="0"/>
                    <w:pageBreakBefore w:val="0"/>
                    <w:widowControl/>
                    <w:kinsoku/>
                    <w:wordWrap/>
                    <w:overflowPunct/>
                    <w:topLinePunct w:val="0"/>
                    <w:bidi w:val="0"/>
                    <w:snapToGrid w:val="0"/>
                    <w:jc w:val="left"/>
                    <w:rPr>
                      <w:color w:val="auto"/>
                      <w:szCs w:val="21"/>
                    </w:rPr>
                  </w:pPr>
                  <w:r>
                    <w:rPr>
                      <w:color w:val="auto"/>
                      <w:szCs w:val="21"/>
                    </w:rPr>
                    <w:t>Ⅱ类</w:t>
                  </w:r>
                  <w:r>
                    <w:rPr>
                      <w:rFonts w:hint="eastAsia"/>
                      <w:color w:val="auto"/>
                      <w:szCs w:val="21"/>
                    </w:rPr>
                    <w:t>：</w:t>
                  </w:r>
                  <w:r>
                    <w:rPr>
                      <w:color w:val="auto"/>
                      <w:szCs w:val="21"/>
                    </w:rPr>
                    <w:t>与无组织排放源共存的排放同种有害气体的排气筒的排放量，小于标准规定的允许排放量的三分之一，或虽无排放同种大气污染物之排气筒共存，但无组织排放的有害物质的容许浓度是按急性反应指标确定者。</w:t>
                  </w:r>
                </w:p>
                <w:p w14:paraId="597F3531">
                  <w:pPr>
                    <w:keepNext w:val="0"/>
                    <w:keepLines w:val="0"/>
                    <w:pageBreakBefore w:val="0"/>
                    <w:widowControl/>
                    <w:kinsoku/>
                    <w:wordWrap/>
                    <w:overflowPunct/>
                    <w:topLinePunct w:val="0"/>
                    <w:bidi w:val="0"/>
                    <w:snapToGrid w:val="0"/>
                    <w:jc w:val="left"/>
                    <w:rPr>
                      <w:color w:val="auto"/>
                      <w:szCs w:val="21"/>
                    </w:rPr>
                  </w:pPr>
                  <w:r>
                    <w:rPr>
                      <w:color w:val="auto"/>
                      <w:szCs w:val="21"/>
                    </w:rPr>
                    <w:t>Ⅲ类</w:t>
                  </w:r>
                  <w:r>
                    <w:rPr>
                      <w:rFonts w:hint="eastAsia"/>
                      <w:color w:val="auto"/>
                      <w:szCs w:val="21"/>
                    </w:rPr>
                    <w:t>：</w:t>
                  </w:r>
                  <w:r>
                    <w:rPr>
                      <w:color w:val="auto"/>
                      <w:szCs w:val="21"/>
                    </w:rPr>
                    <w:t>无排放同种</w:t>
                  </w:r>
                  <w:r>
                    <w:rPr>
                      <w:rFonts w:hint="eastAsia"/>
                      <w:color w:val="auto"/>
                      <w:szCs w:val="21"/>
                    </w:rPr>
                    <w:t>有害物质的</w:t>
                  </w:r>
                  <w:r>
                    <w:rPr>
                      <w:color w:val="auto"/>
                      <w:szCs w:val="21"/>
                    </w:rPr>
                    <w:t>排气筒</w:t>
                  </w:r>
                  <w:r>
                    <w:rPr>
                      <w:rFonts w:hint="eastAsia"/>
                      <w:color w:val="auto"/>
                      <w:szCs w:val="21"/>
                    </w:rPr>
                    <w:t>与无组织排放源</w:t>
                  </w:r>
                  <w:r>
                    <w:rPr>
                      <w:color w:val="auto"/>
                      <w:szCs w:val="21"/>
                    </w:rPr>
                    <w:t>共存，</w:t>
                  </w:r>
                  <w:r>
                    <w:rPr>
                      <w:rFonts w:hint="eastAsia"/>
                      <w:color w:val="auto"/>
                      <w:szCs w:val="21"/>
                    </w:rPr>
                    <w:t>但</w:t>
                  </w:r>
                  <w:r>
                    <w:rPr>
                      <w:color w:val="auto"/>
                      <w:szCs w:val="21"/>
                    </w:rPr>
                    <w:t>无组织排放的有害物质的容许浓度是按慢性反应指标确定值。</w:t>
                  </w:r>
                </w:p>
              </w:tc>
            </w:tr>
          </w:tbl>
          <w:p w14:paraId="330F5D49">
            <w:pPr>
              <w:keepNext w:val="0"/>
              <w:keepLines w:val="0"/>
              <w:pageBreakBefore w:val="0"/>
              <w:widowControl w:val="0"/>
              <w:kinsoku/>
              <w:wordWrap/>
              <w:overflowPunct/>
              <w:topLinePunct w:val="0"/>
              <w:autoSpaceDE/>
              <w:autoSpaceDN/>
              <w:bidi w:val="0"/>
              <w:adjustRightInd/>
              <w:snapToGrid w:val="0"/>
              <w:spacing w:before="148" w:beforeLines="50" w:line="360" w:lineRule="auto"/>
              <w:ind w:firstLine="420" w:firstLineChars="200"/>
              <w:textAlignment w:val="auto"/>
              <w:rPr>
                <w:color w:val="auto"/>
                <w:szCs w:val="21"/>
              </w:rPr>
            </w:pPr>
            <w:r>
              <w:rPr>
                <w:rFonts w:hint="eastAsia"/>
                <w:color w:val="auto"/>
                <w:szCs w:val="21"/>
              </w:rPr>
              <w:t>参照宿迁日志，</w:t>
            </w:r>
            <w:r>
              <w:rPr>
                <w:color w:val="auto"/>
                <w:szCs w:val="21"/>
              </w:rPr>
              <w:t>本项目所在区域近五年平均风速</w:t>
            </w:r>
            <w:r>
              <w:rPr>
                <w:rFonts w:hint="eastAsia"/>
                <w:color w:val="auto"/>
                <w:szCs w:val="21"/>
              </w:rPr>
              <w:t>为</w:t>
            </w:r>
            <w:r>
              <w:rPr>
                <w:color w:val="auto"/>
                <w:szCs w:val="21"/>
              </w:rPr>
              <w:t>2.</w:t>
            </w:r>
            <w:r>
              <w:rPr>
                <w:rFonts w:hint="eastAsia"/>
                <w:color w:val="auto"/>
                <w:szCs w:val="21"/>
              </w:rPr>
              <w:t>7</w:t>
            </w:r>
            <w:r>
              <w:rPr>
                <w:color w:val="auto"/>
                <w:szCs w:val="21"/>
              </w:rPr>
              <w:t>m/s</w:t>
            </w:r>
            <w:r>
              <w:rPr>
                <w:rFonts w:hint="eastAsia"/>
                <w:color w:val="auto"/>
                <w:szCs w:val="21"/>
              </w:rPr>
              <w:t>，</w:t>
            </w:r>
            <w:r>
              <w:rPr>
                <w:color w:val="auto"/>
                <w:szCs w:val="21"/>
              </w:rPr>
              <w:t>因此，A、B、C、D的取值分别为470、0.021、1.85、0.84。</w:t>
            </w:r>
          </w:p>
          <w:p w14:paraId="3895BA36">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auto"/>
                <w:szCs w:val="21"/>
              </w:rPr>
            </w:pPr>
            <w:r>
              <w:rPr>
                <w:rFonts w:hint="eastAsia" w:ascii="Times New Roman" w:hAnsi="Times New Roman"/>
                <w:color w:val="auto"/>
                <w:szCs w:val="21"/>
              </w:rPr>
              <w:t>（3）卫生防护距离终值</w:t>
            </w:r>
          </w:p>
          <w:p w14:paraId="792AF3BB">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auto"/>
                <w:szCs w:val="21"/>
              </w:rPr>
            </w:pPr>
            <w:r>
              <w:rPr>
                <w:rFonts w:hint="eastAsia" w:ascii="Times New Roman" w:hAnsi="Times New Roman"/>
                <w:color w:val="auto"/>
                <w:szCs w:val="21"/>
              </w:rPr>
              <w:t>①单一特征大气有害物质终值的确定</w:t>
            </w:r>
          </w:p>
          <w:p w14:paraId="6D0BA1AD">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s="Times New Roman"/>
                <w:color w:val="auto"/>
                <w:sz w:val="21"/>
                <w:szCs w:val="21"/>
              </w:rPr>
            </w:pPr>
            <w:r>
              <w:rPr>
                <w:rFonts w:hint="eastAsia" w:ascii="Times New Roman" w:hAnsi="Times New Roman"/>
                <w:color w:val="auto"/>
                <w:szCs w:val="21"/>
              </w:rPr>
              <w:t>卫生防护距离终值极差见表4-</w:t>
            </w:r>
            <w:r>
              <w:rPr>
                <w:rFonts w:hint="eastAsia"/>
                <w:color w:val="auto"/>
                <w:szCs w:val="21"/>
                <w:lang w:val="en-US" w:eastAsia="zh-CN"/>
              </w:rPr>
              <w:t>10</w:t>
            </w:r>
            <w:r>
              <w:rPr>
                <w:rFonts w:hint="eastAsia" w:ascii="Times New Roman" w:hAnsi="Times New Roman"/>
                <w:color w:val="auto"/>
                <w:szCs w:val="21"/>
              </w:rPr>
              <w:t>。</w:t>
            </w:r>
          </w:p>
          <w:p w14:paraId="627F1890">
            <w:pPr>
              <w:pStyle w:val="4"/>
              <w:keepNext w:val="0"/>
              <w:keepLines w:val="0"/>
              <w:pageBreakBefore w:val="0"/>
              <w:kinsoku/>
              <w:wordWrap/>
              <w:overflowPunct/>
              <w:topLinePunct w:val="0"/>
              <w:autoSpaceDE/>
              <w:autoSpaceDN/>
              <w:bidi w:val="0"/>
              <w:adjustRightInd/>
              <w:snapToGrid w:val="0"/>
              <w:spacing w:before="120" w:beforeLines="50" w:beforeAutospacing="0" w:after="0" w:afterAutospacing="0"/>
              <w:jc w:val="center"/>
              <w:textAlignment w:val="auto"/>
              <w:rPr>
                <w:rFonts w:ascii="Times New Roman" w:hAnsi="Times New Roman" w:cs="Times New Roman"/>
                <w:color w:val="auto"/>
                <w:sz w:val="21"/>
                <w:szCs w:val="21"/>
              </w:rPr>
            </w:pPr>
            <w:r>
              <w:rPr>
                <w:rFonts w:ascii="Times New Roman" w:hAnsi="Times New Roman" w:cs="Times New Roman"/>
                <w:color w:val="auto"/>
                <w:sz w:val="21"/>
                <w:szCs w:val="21"/>
              </w:rPr>
              <w:t>表4-</w:t>
            </w:r>
            <w:r>
              <w:rPr>
                <w:rFonts w:hint="eastAsia" w:ascii="Times New Roman" w:hAnsi="Times New Roman" w:cs="Times New Roman"/>
                <w:color w:val="auto"/>
                <w:sz w:val="21"/>
                <w:szCs w:val="21"/>
                <w:lang w:val="en-US" w:eastAsia="zh-CN"/>
              </w:rPr>
              <w:t>10</w:t>
            </w:r>
            <w:r>
              <w:rPr>
                <w:rFonts w:ascii="Times New Roman" w:hAnsi="Times New Roman" w:cs="Times New Roman"/>
                <w:color w:val="auto"/>
                <w:sz w:val="21"/>
                <w:szCs w:val="21"/>
              </w:rPr>
              <w:t xml:space="preserve"> 卫生防护距离终值极差范围表</w:t>
            </w:r>
          </w:p>
          <w:tbl>
            <w:tblPr>
              <w:tblStyle w:val="3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19"/>
              <w:gridCol w:w="3683"/>
            </w:tblGrid>
            <w:tr w14:paraId="4D44F4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0" w:type="dxa"/>
                  <w:noWrap w:val="0"/>
                  <w:vAlign w:val="center"/>
                </w:tcPr>
                <w:p w14:paraId="3F8F7362">
                  <w:pPr>
                    <w:keepNext w:val="0"/>
                    <w:keepLines w:val="0"/>
                    <w:pageBreakBefore w:val="0"/>
                    <w:widowControl/>
                    <w:kinsoku/>
                    <w:wordWrap/>
                    <w:overflowPunct/>
                    <w:topLinePunct w:val="0"/>
                    <w:autoSpaceDE/>
                    <w:autoSpaceDN/>
                    <w:bidi w:val="0"/>
                    <w:adjustRightInd/>
                    <w:snapToGrid w:val="0"/>
                    <w:jc w:val="center"/>
                    <w:textAlignment w:val="auto"/>
                    <w:rPr>
                      <w:rFonts w:ascii="Times New Roman" w:hAnsi="Times New Roman"/>
                      <w:color w:val="auto"/>
                      <w:kern w:val="0"/>
                      <w:szCs w:val="21"/>
                    </w:rPr>
                  </w:pPr>
                  <w:r>
                    <w:rPr>
                      <w:rFonts w:hint="eastAsia" w:ascii="Times New Roman" w:hAnsi="Times New Roman"/>
                      <w:color w:val="auto"/>
                      <w:kern w:val="0"/>
                      <w:szCs w:val="21"/>
                    </w:rPr>
                    <w:t>卫生防护距离计算初值</w:t>
                  </w:r>
                  <w:r>
                    <w:rPr>
                      <w:rFonts w:hint="eastAsia" w:ascii="Times New Roman" w:hAnsi="Times New Roman"/>
                      <w:i/>
                      <w:iCs/>
                      <w:color w:val="auto"/>
                      <w:kern w:val="0"/>
                      <w:szCs w:val="21"/>
                    </w:rPr>
                    <w:t>L</w:t>
                  </w:r>
                  <w:r>
                    <w:rPr>
                      <w:rFonts w:hint="eastAsia" w:ascii="Times New Roman" w:hAnsi="Times New Roman"/>
                      <w:color w:val="auto"/>
                      <w:kern w:val="0"/>
                      <w:szCs w:val="21"/>
                    </w:rPr>
                    <w:t>（m）</w:t>
                  </w:r>
                </w:p>
              </w:tc>
              <w:tc>
                <w:tcPr>
                  <w:tcW w:w="3684" w:type="dxa"/>
                  <w:noWrap w:val="0"/>
                  <w:vAlign w:val="center"/>
                </w:tcPr>
                <w:p w14:paraId="35B805BA">
                  <w:pPr>
                    <w:keepNext w:val="0"/>
                    <w:keepLines w:val="0"/>
                    <w:pageBreakBefore w:val="0"/>
                    <w:widowControl/>
                    <w:kinsoku/>
                    <w:wordWrap/>
                    <w:overflowPunct/>
                    <w:topLinePunct w:val="0"/>
                    <w:autoSpaceDE/>
                    <w:autoSpaceDN/>
                    <w:bidi w:val="0"/>
                    <w:adjustRightInd/>
                    <w:snapToGrid w:val="0"/>
                    <w:jc w:val="center"/>
                    <w:textAlignment w:val="auto"/>
                    <w:rPr>
                      <w:rFonts w:ascii="Times New Roman" w:hAnsi="Times New Roman"/>
                      <w:color w:val="auto"/>
                      <w:kern w:val="0"/>
                      <w:szCs w:val="21"/>
                    </w:rPr>
                  </w:pPr>
                  <w:r>
                    <w:rPr>
                      <w:rFonts w:hint="eastAsia" w:ascii="Times New Roman" w:hAnsi="Times New Roman"/>
                      <w:color w:val="auto"/>
                      <w:kern w:val="0"/>
                      <w:szCs w:val="21"/>
                    </w:rPr>
                    <w:t>极差（m）</w:t>
                  </w:r>
                </w:p>
              </w:tc>
            </w:tr>
            <w:tr w14:paraId="06EE45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0" w:type="dxa"/>
                  <w:noWrap w:val="0"/>
                  <w:vAlign w:val="center"/>
                </w:tcPr>
                <w:p w14:paraId="4DC57F65">
                  <w:pPr>
                    <w:keepNext w:val="0"/>
                    <w:keepLines w:val="0"/>
                    <w:pageBreakBefore w:val="0"/>
                    <w:widowControl/>
                    <w:kinsoku/>
                    <w:wordWrap/>
                    <w:overflowPunct/>
                    <w:topLinePunct w:val="0"/>
                    <w:autoSpaceDE/>
                    <w:autoSpaceDN/>
                    <w:bidi w:val="0"/>
                    <w:adjustRightInd/>
                    <w:snapToGrid w:val="0"/>
                    <w:jc w:val="center"/>
                    <w:textAlignment w:val="auto"/>
                    <w:rPr>
                      <w:rFonts w:ascii="Times New Roman" w:hAnsi="Times New Roman"/>
                      <w:color w:val="auto"/>
                      <w:kern w:val="0"/>
                      <w:szCs w:val="21"/>
                    </w:rPr>
                  </w:pPr>
                  <w:r>
                    <w:rPr>
                      <w:rFonts w:hint="eastAsia" w:ascii="Times New Roman" w:hAnsi="Times New Roman"/>
                      <w:color w:val="auto"/>
                      <w:kern w:val="0"/>
                      <w:szCs w:val="21"/>
                    </w:rPr>
                    <w:t>0≤</w:t>
                  </w:r>
                  <w:r>
                    <w:rPr>
                      <w:rFonts w:hint="eastAsia" w:ascii="Times New Roman" w:hAnsi="Times New Roman"/>
                      <w:i/>
                      <w:iCs/>
                      <w:color w:val="auto"/>
                      <w:kern w:val="0"/>
                      <w:szCs w:val="21"/>
                    </w:rPr>
                    <w:t>L</w:t>
                  </w:r>
                  <w:r>
                    <w:rPr>
                      <w:rFonts w:hint="eastAsia" w:ascii="Times New Roman" w:hAnsi="Times New Roman"/>
                      <w:color w:val="auto"/>
                      <w:kern w:val="0"/>
                      <w:szCs w:val="21"/>
                    </w:rPr>
                    <w:t>＜50</w:t>
                  </w:r>
                </w:p>
              </w:tc>
              <w:tc>
                <w:tcPr>
                  <w:tcW w:w="3684" w:type="dxa"/>
                  <w:noWrap w:val="0"/>
                  <w:vAlign w:val="center"/>
                </w:tcPr>
                <w:p w14:paraId="29A588EB">
                  <w:pPr>
                    <w:keepNext w:val="0"/>
                    <w:keepLines w:val="0"/>
                    <w:pageBreakBefore w:val="0"/>
                    <w:widowControl/>
                    <w:kinsoku/>
                    <w:wordWrap/>
                    <w:overflowPunct/>
                    <w:topLinePunct w:val="0"/>
                    <w:autoSpaceDE/>
                    <w:autoSpaceDN/>
                    <w:bidi w:val="0"/>
                    <w:adjustRightInd/>
                    <w:snapToGrid w:val="0"/>
                    <w:jc w:val="center"/>
                    <w:textAlignment w:val="auto"/>
                    <w:rPr>
                      <w:rFonts w:ascii="Times New Roman" w:hAnsi="Times New Roman"/>
                      <w:color w:val="auto"/>
                      <w:kern w:val="0"/>
                      <w:szCs w:val="21"/>
                    </w:rPr>
                  </w:pPr>
                  <w:r>
                    <w:rPr>
                      <w:rFonts w:hint="eastAsia" w:ascii="Times New Roman" w:hAnsi="Times New Roman"/>
                      <w:color w:val="auto"/>
                      <w:kern w:val="0"/>
                      <w:szCs w:val="21"/>
                    </w:rPr>
                    <w:t>50</w:t>
                  </w:r>
                </w:p>
              </w:tc>
            </w:tr>
            <w:tr w14:paraId="3F6684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0" w:type="dxa"/>
                  <w:noWrap w:val="0"/>
                  <w:vAlign w:val="center"/>
                </w:tcPr>
                <w:p w14:paraId="7CCCF2CB">
                  <w:pPr>
                    <w:keepNext w:val="0"/>
                    <w:keepLines w:val="0"/>
                    <w:pageBreakBefore w:val="0"/>
                    <w:widowControl/>
                    <w:kinsoku/>
                    <w:wordWrap/>
                    <w:overflowPunct/>
                    <w:topLinePunct w:val="0"/>
                    <w:autoSpaceDE/>
                    <w:autoSpaceDN/>
                    <w:bidi w:val="0"/>
                    <w:adjustRightInd/>
                    <w:snapToGrid w:val="0"/>
                    <w:jc w:val="center"/>
                    <w:textAlignment w:val="auto"/>
                    <w:rPr>
                      <w:rFonts w:ascii="Times New Roman" w:hAnsi="Times New Roman"/>
                      <w:color w:val="auto"/>
                      <w:kern w:val="0"/>
                      <w:szCs w:val="21"/>
                    </w:rPr>
                  </w:pPr>
                  <w:r>
                    <w:rPr>
                      <w:rFonts w:hint="eastAsia" w:ascii="Times New Roman" w:hAnsi="Times New Roman"/>
                      <w:color w:val="auto"/>
                      <w:kern w:val="0"/>
                      <w:szCs w:val="21"/>
                    </w:rPr>
                    <w:t>5</w:t>
                  </w:r>
                  <w:r>
                    <w:rPr>
                      <w:rFonts w:ascii="Times New Roman" w:hAnsi="Times New Roman"/>
                      <w:color w:val="auto"/>
                      <w:kern w:val="0"/>
                      <w:szCs w:val="21"/>
                    </w:rPr>
                    <w:t>0</w:t>
                  </w:r>
                  <w:r>
                    <w:rPr>
                      <w:rFonts w:hint="eastAsia" w:ascii="Times New Roman" w:hAnsi="Times New Roman"/>
                      <w:color w:val="auto"/>
                      <w:kern w:val="0"/>
                      <w:szCs w:val="21"/>
                    </w:rPr>
                    <w:t>≤</w:t>
                  </w:r>
                  <w:r>
                    <w:rPr>
                      <w:rFonts w:hint="eastAsia" w:ascii="Times New Roman" w:hAnsi="Times New Roman"/>
                      <w:i/>
                      <w:iCs/>
                      <w:color w:val="auto"/>
                      <w:kern w:val="0"/>
                      <w:szCs w:val="21"/>
                    </w:rPr>
                    <w:t>L</w:t>
                  </w:r>
                  <w:r>
                    <w:rPr>
                      <w:rFonts w:hint="eastAsia" w:ascii="Times New Roman" w:hAnsi="Times New Roman"/>
                      <w:color w:val="auto"/>
                      <w:kern w:val="0"/>
                      <w:szCs w:val="21"/>
                    </w:rPr>
                    <w:t>＜1</w:t>
                  </w:r>
                  <w:r>
                    <w:rPr>
                      <w:rFonts w:ascii="Times New Roman" w:hAnsi="Times New Roman"/>
                      <w:color w:val="auto"/>
                      <w:kern w:val="0"/>
                      <w:szCs w:val="21"/>
                    </w:rPr>
                    <w:t>00</w:t>
                  </w:r>
                </w:p>
              </w:tc>
              <w:tc>
                <w:tcPr>
                  <w:tcW w:w="3684" w:type="dxa"/>
                  <w:noWrap w:val="0"/>
                  <w:vAlign w:val="center"/>
                </w:tcPr>
                <w:p w14:paraId="7FB06E63">
                  <w:pPr>
                    <w:keepNext w:val="0"/>
                    <w:keepLines w:val="0"/>
                    <w:pageBreakBefore w:val="0"/>
                    <w:widowControl/>
                    <w:kinsoku/>
                    <w:wordWrap/>
                    <w:overflowPunct/>
                    <w:topLinePunct w:val="0"/>
                    <w:autoSpaceDE/>
                    <w:autoSpaceDN/>
                    <w:bidi w:val="0"/>
                    <w:adjustRightInd/>
                    <w:snapToGrid w:val="0"/>
                    <w:jc w:val="center"/>
                    <w:textAlignment w:val="auto"/>
                    <w:rPr>
                      <w:rFonts w:ascii="Times New Roman" w:hAnsi="Times New Roman"/>
                      <w:color w:val="auto"/>
                      <w:kern w:val="0"/>
                      <w:szCs w:val="21"/>
                    </w:rPr>
                  </w:pPr>
                  <w:r>
                    <w:rPr>
                      <w:rFonts w:hint="eastAsia" w:ascii="Times New Roman" w:hAnsi="Times New Roman"/>
                      <w:color w:val="auto"/>
                      <w:kern w:val="0"/>
                      <w:szCs w:val="21"/>
                    </w:rPr>
                    <w:t>5</w:t>
                  </w:r>
                  <w:r>
                    <w:rPr>
                      <w:rFonts w:ascii="Times New Roman" w:hAnsi="Times New Roman"/>
                      <w:color w:val="auto"/>
                      <w:kern w:val="0"/>
                      <w:szCs w:val="21"/>
                    </w:rPr>
                    <w:t>0</w:t>
                  </w:r>
                </w:p>
              </w:tc>
            </w:tr>
            <w:tr w14:paraId="76C117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0" w:type="dxa"/>
                  <w:noWrap w:val="0"/>
                  <w:vAlign w:val="center"/>
                </w:tcPr>
                <w:p w14:paraId="10D28948">
                  <w:pPr>
                    <w:keepNext w:val="0"/>
                    <w:keepLines w:val="0"/>
                    <w:pageBreakBefore w:val="0"/>
                    <w:widowControl/>
                    <w:kinsoku/>
                    <w:wordWrap/>
                    <w:overflowPunct/>
                    <w:topLinePunct w:val="0"/>
                    <w:autoSpaceDE/>
                    <w:autoSpaceDN/>
                    <w:bidi w:val="0"/>
                    <w:adjustRightInd/>
                    <w:snapToGrid w:val="0"/>
                    <w:jc w:val="center"/>
                    <w:textAlignment w:val="auto"/>
                    <w:rPr>
                      <w:rFonts w:ascii="Times New Roman" w:hAnsi="Times New Roman"/>
                      <w:color w:val="auto"/>
                      <w:kern w:val="0"/>
                      <w:szCs w:val="21"/>
                    </w:rPr>
                  </w:pPr>
                  <w:r>
                    <w:rPr>
                      <w:rFonts w:hint="eastAsia" w:ascii="Times New Roman" w:hAnsi="Times New Roman"/>
                      <w:color w:val="auto"/>
                      <w:kern w:val="0"/>
                      <w:szCs w:val="21"/>
                    </w:rPr>
                    <w:t>1</w:t>
                  </w:r>
                  <w:r>
                    <w:rPr>
                      <w:rFonts w:ascii="Times New Roman" w:hAnsi="Times New Roman"/>
                      <w:color w:val="auto"/>
                      <w:kern w:val="0"/>
                      <w:szCs w:val="21"/>
                    </w:rPr>
                    <w:t>00</w:t>
                  </w:r>
                  <w:r>
                    <w:rPr>
                      <w:rFonts w:hint="eastAsia" w:ascii="Times New Roman" w:hAnsi="Times New Roman"/>
                      <w:color w:val="auto"/>
                      <w:kern w:val="0"/>
                      <w:szCs w:val="21"/>
                    </w:rPr>
                    <w:t>≤</w:t>
                  </w:r>
                  <w:r>
                    <w:rPr>
                      <w:rFonts w:hint="eastAsia" w:ascii="Times New Roman" w:hAnsi="Times New Roman"/>
                      <w:i/>
                      <w:iCs/>
                      <w:color w:val="auto"/>
                      <w:kern w:val="0"/>
                      <w:szCs w:val="21"/>
                    </w:rPr>
                    <w:t>L</w:t>
                  </w:r>
                  <w:r>
                    <w:rPr>
                      <w:rFonts w:hint="eastAsia" w:ascii="Times New Roman" w:hAnsi="Times New Roman"/>
                      <w:color w:val="auto"/>
                      <w:kern w:val="0"/>
                      <w:szCs w:val="21"/>
                    </w:rPr>
                    <w:t>＜1</w:t>
                  </w:r>
                  <w:r>
                    <w:rPr>
                      <w:rFonts w:ascii="Times New Roman" w:hAnsi="Times New Roman"/>
                      <w:color w:val="auto"/>
                      <w:kern w:val="0"/>
                      <w:szCs w:val="21"/>
                    </w:rPr>
                    <w:t>000</w:t>
                  </w:r>
                </w:p>
              </w:tc>
              <w:tc>
                <w:tcPr>
                  <w:tcW w:w="3684" w:type="dxa"/>
                  <w:noWrap w:val="0"/>
                  <w:vAlign w:val="center"/>
                </w:tcPr>
                <w:p w14:paraId="56D582DF">
                  <w:pPr>
                    <w:keepNext w:val="0"/>
                    <w:keepLines w:val="0"/>
                    <w:pageBreakBefore w:val="0"/>
                    <w:widowControl/>
                    <w:kinsoku/>
                    <w:wordWrap/>
                    <w:overflowPunct/>
                    <w:topLinePunct w:val="0"/>
                    <w:autoSpaceDE/>
                    <w:autoSpaceDN/>
                    <w:bidi w:val="0"/>
                    <w:adjustRightInd/>
                    <w:snapToGrid w:val="0"/>
                    <w:jc w:val="center"/>
                    <w:textAlignment w:val="auto"/>
                    <w:rPr>
                      <w:rFonts w:ascii="Times New Roman" w:hAnsi="Times New Roman"/>
                      <w:color w:val="auto"/>
                      <w:kern w:val="0"/>
                      <w:szCs w:val="21"/>
                    </w:rPr>
                  </w:pPr>
                  <w:r>
                    <w:rPr>
                      <w:rFonts w:hint="eastAsia" w:ascii="Times New Roman" w:hAnsi="Times New Roman"/>
                      <w:color w:val="auto"/>
                      <w:kern w:val="0"/>
                      <w:szCs w:val="21"/>
                    </w:rPr>
                    <w:t>1</w:t>
                  </w:r>
                  <w:r>
                    <w:rPr>
                      <w:rFonts w:ascii="Times New Roman" w:hAnsi="Times New Roman"/>
                      <w:color w:val="auto"/>
                      <w:kern w:val="0"/>
                      <w:szCs w:val="21"/>
                    </w:rPr>
                    <w:t>00</w:t>
                  </w:r>
                </w:p>
              </w:tc>
            </w:tr>
            <w:tr w14:paraId="0BF80F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0" w:type="dxa"/>
                  <w:noWrap w:val="0"/>
                  <w:vAlign w:val="center"/>
                </w:tcPr>
                <w:p w14:paraId="7B8CD86C">
                  <w:pPr>
                    <w:keepNext w:val="0"/>
                    <w:keepLines w:val="0"/>
                    <w:pageBreakBefore w:val="0"/>
                    <w:widowControl/>
                    <w:kinsoku/>
                    <w:wordWrap/>
                    <w:overflowPunct/>
                    <w:topLinePunct w:val="0"/>
                    <w:autoSpaceDE/>
                    <w:autoSpaceDN/>
                    <w:bidi w:val="0"/>
                    <w:adjustRightInd/>
                    <w:snapToGrid w:val="0"/>
                    <w:jc w:val="center"/>
                    <w:textAlignment w:val="auto"/>
                    <w:rPr>
                      <w:rFonts w:ascii="Times New Roman" w:hAnsi="Times New Roman"/>
                      <w:color w:val="auto"/>
                      <w:kern w:val="0"/>
                      <w:szCs w:val="21"/>
                    </w:rPr>
                  </w:pPr>
                  <w:r>
                    <w:rPr>
                      <w:rFonts w:hint="eastAsia" w:ascii="Times New Roman" w:hAnsi="Times New Roman"/>
                      <w:i/>
                      <w:iCs/>
                      <w:color w:val="auto"/>
                      <w:kern w:val="0"/>
                      <w:szCs w:val="21"/>
                    </w:rPr>
                    <w:t>L</w:t>
                  </w:r>
                  <w:r>
                    <w:rPr>
                      <w:rFonts w:hint="eastAsia" w:ascii="宋体" w:hAnsi="宋体"/>
                      <w:color w:val="auto"/>
                      <w:kern w:val="0"/>
                      <w:szCs w:val="21"/>
                    </w:rPr>
                    <w:t>≥</w:t>
                  </w:r>
                  <w:r>
                    <w:rPr>
                      <w:rFonts w:ascii="Times New Roman" w:hAnsi="Times New Roman"/>
                      <w:color w:val="auto"/>
                      <w:kern w:val="0"/>
                      <w:szCs w:val="21"/>
                    </w:rPr>
                    <w:t>1000</w:t>
                  </w:r>
                </w:p>
              </w:tc>
              <w:tc>
                <w:tcPr>
                  <w:tcW w:w="3684" w:type="dxa"/>
                  <w:noWrap w:val="0"/>
                  <w:vAlign w:val="center"/>
                </w:tcPr>
                <w:p w14:paraId="0CB8011F">
                  <w:pPr>
                    <w:keepNext w:val="0"/>
                    <w:keepLines w:val="0"/>
                    <w:pageBreakBefore w:val="0"/>
                    <w:widowControl/>
                    <w:kinsoku/>
                    <w:wordWrap/>
                    <w:overflowPunct/>
                    <w:topLinePunct w:val="0"/>
                    <w:autoSpaceDE/>
                    <w:autoSpaceDN/>
                    <w:bidi w:val="0"/>
                    <w:adjustRightInd/>
                    <w:snapToGrid w:val="0"/>
                    <w:jc w:val="center"/>
                    <w:textAlignment w:val="auto"/>
                    <w:rPr>
                      <w:rFonts w:ascii="Times New Roman" w:hAnsi="Times New Roman"/>
                      <w:color w:val="auto"/>
                      <w:kern w:val="0"/>
                      <w:szCs w:val="21"/>
                    </w:rPr>
                  </w:pPr>
                  <w:r>
                    <w:rPr>
                      <w:rFonts w:hint="eastAsia" w:ascii="Times New Roman" w:hAnsi="Times New Roman"/>
                      <w:color w:val="auto"/>
                      <w:kern w:val="0"/>
                      <w:szCs w:val="21"/>
                    </w:rPr>
                    <w:t>2</w:t>
                  </w:r>
                  <w:r>
                    <w:rPr>
                      <w:rFonts w:ascii="Times New Roman" w:hAnsi="Times New Roman"/>
                      <w:color w:val="auto"/>
                      <w:kern w:val="0"/>
                      <w:szCs w:val="21"/>
                    </w:rPr>
                    <w:t>00</w:t>
                  </w:r>
                </w:p>
              </w:tc>
            </w:tr>
          </w:tbl>
          <w:p w14:paraId="352D4A32">
            <w:pPr>
              <w:keepNext w:val="0"/>
              <w:keepLines w:val="0"/>
              <w:pageBreakBefore w:val="0"/>
              <w:kinsoku/>
              <w:wordWrap/>
              <w:overflowPunct/>
              <w:topLinePunct w:val="0"/>
              <w:autoSpaceDE/>
              <w:autoSpaceDN/>
              <w:bidi w:val="0"/>
              <w:adjustRightInd/>
              <w:snapToGrid w:val="0"/>
              <w:spacing w:before="120" w:beforeLines="50" w:line="360" w:lineRule="auto"/>
              <w:ind w:firstLine="420" w:firstLineChars="200"/>
              <w:textAlignment w:val="auto"/>
              <w:rPr>
                <w:rFonts w:ascii="Times New Roman" w:hAnsi="Times New Roman"/>
                <w:color w:val="auto"/>
                <w:szCs w:val="21"/>
              </w:rPr>
            </w:pPr>
            <w:r>
              <w:rPr>
                <w:rFonts w:hint="eastAsia" w:ascii="Times New Roman" w:hAnsi="Times New Roman"/>
                <w:color w:val="auto"/>
                <w:szCs w:val="21"/>
              </w:rPr>
              <w:t>②多种特征大气有害物质终值的确定</w:t>
            </w:r>
          </w:p>
          <w:p w14:paraId="58689762">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auto"/>
                <w:szCs w:val="21"/>
              </w:rPr>
            </w:pPr>
            <w:r>
              <w:rPr>
                <w:rFonts w:hint="eastAsia" w:ascii="Times New Roman" w:hAnsi="Times New Roman"/>
                <w:color w:val="auto"/>
                <w:szCs w:val="21"/>
              </w:rPr>
              <w:t>当企业某生产单元的无组织排放存在多种特征大气有害物质时，如果分别推导出的卫生防护距离初值在同一级别时，则该企业的卫生防护距离终值应提高一级；卫生防护距离初值不在同一级别的，以卫生防护距离终值较大者为准。</w:t>
            </w:r>
          </w:p>
          <w:p w14:paraId="002555E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20" w:firstLineChars="200"/>
              <w:textAlignment w:val="auto"/>
              <w:rPr>
                <w:rFonts w:hint="eastAsia" w:ascii="Times New Roman" w:hAnsi="Times New Roman" w:eastAsia="宋体"/>
                <w:color w:val="auto"/>
                <w:szCs w:val="21"/>
                <w:lang w:val="en-US" w:eastAsia="zh-CN"/>
              </w:rPr>
            </w:pPr>
            <w:r>
              <w:rPr>
                <w:rFonts w:hint="eastAsia" w:ascii="Times New Roman" w:hAnsi="Times New Roman" w:eastAsia="宋体" w:cs="Times New Roman"/>
                <w:color w:val="auto"/>
                <w:kern w:val="2"/>
                <w:sz w:val="21"/>
                <w:szCs w:val="21"/>
                <w:lang w:val="en-US" w:eastAsia="zh-CN" w:bidi="ar-SA"/>
              </w:rPr>
              <w:t>（4）</w:t>
            </w:r>
            <w:r>
              <w:rPr>
                <w:rFonts w:hint="eastAsia" w:ascii="Times New Roman" w:hAnsi="Times New Roman"/>
                <w:color w:val="auto"/>
                <w:szCs w:val="21"/>
              </w:rPr>
              <w:t>卫生防护距离计算结果</w:t>
            </w:r>
          </w:p>
          <w:p w14:paraId="7384B724">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auto"/>
                <w:szCs w:val="21"/>
              </w:rPr>
            </w:pPr>
            <w:r>
              <w:rPr>
                <w:rFonts w:hint="eastAsia" w:ascii="Times New Roman" w:hAnsi="Times New Roman"/>
                <w:color w:val="auto"/>
                <w:szCs w:val="21"/>
              </w:rPr>
              <w:t>卫生防护距离计算见表4</w:t>
            </w:r>
            <w:r>
              <w:rPr>
                <w:rFonts w:hint="eastAsia" w:ascii="Times New Roman" w:hAnsi="Times New Roman"/>
                <w:color w:val="auto"/>
                <w:szCs w:val="21"/>
                <w:lang w:val="en-US" w:eastAsia="zh-CN"/>
              </w:rPr>
              <w:t>-</w:t>
            </w:r>
            <w:r>
              <w:rPr>
                <w:rFonts w:hint="eastAsia"/>
                <w:color w:val="auto"/>
                <w:szCs w:val="21"/>
                <w:lang w:val="en-US" w:eastAsia="zh-CN"/>
              </w:rPr>
              <w:t>11</w:t>
            </w:r>
            <w:r>
              <w:rPr>
                <w:rFonts w:hint="eastAsia" w:ascii="Times New Roman" w:hAnsi="Times New Roman"/>
                <w:color w:val="auto"/>
                <w:szCs w:val="21"/>
              </w:rPr>
              <w:t>。</w:t>
            </w:r>
          </w:p>
          <w:p w14:paraId="1D933EAF">
            <w:pPr>
              <w:pStyle w:val="78"/>
              <w:keepNext w:val="0"/>
              <w:keepLines w:val="0"/>
              <w:pageBreakBefore w:val="0"/>
              <w:widowControl w:val="0"/>
              <w:kinsoku/>
              <w:wordWrap/>
              <w:overflowPunct/>
              <w:topLinePunct w:val="0"/>
              <w:autoSpaceDE/>
              <w:autoSpaceDN/>
              <w:bidi w:val="0"/>
              <w:adjustRightInd/>
              <w:snapToGrid w:val="0"/>
              <w:spacing w:before="120" w:beforeLines="50" w:line="240" w:lineRule="auto"/>
              <w:jc w:val="center"/>
              <w:textAlignment w:val="auto"/>
              <w:rPr>
                <w:rFonts w:hint="eastAsia"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表4-</w:t>
            </w:r>
            <w:r>
              <w:rPr>
                <w:rFonts w:hint="eastAsia" w:ascii="Times New Roman" w:hAnsi="Times New Roman" w:cs="Times New Roman"/>
                <w:b/>
                <w:bCs/>
                <w:color w:val="auto"/>
                <w:kern w:val="0"/>
                <w:sz w:val="21"/>
                <w:szCs w:val="21"/>
                <w:lang w:val="en-US" w:eastAsia="zh-CN" w:bidi="ar"/>
              </w:rPr>
              <w:t xml:space="preserve">11 </w:t>
            </w:r>
            <w:r>
              <w:rPr>
                <w:rFonts w:hint="eastAsia" w:ascii="Times New Roman" w:hAnsi="Times New Roman" w:eastAsia="宋体" w:cs="Times New Roman"/>
                <w:b/>
                <w:bCs/>
                <w:color w:val="auto"/>
                <w:kern w:val="0"/>
                <w:sz w:val="21"/>
                <w:szCs w:val="21"/>
                <w:lang w:val="en-US" w:eastAsia="zh-CN" w:bidi="ar"/>
              </w:rPr>
              <w:t>卫生防护距离计算参数及计算结果</w:t>
            </w:r>
          </w:p>
          <w:tbl>
            <w:tblPr>
              <w:tblStyle w:val="30"/>
              <w:tblW w:w="4997"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950"/>
              <w:gridCol w:w="1011"/>
              <w:gridCol w:w="1288"/>
              <w:gridCol w:w="1148"/>
              <w:gridCol w:w="1346"/>
              <w:gridCol w:w="1249"/>
              <w:gridCol w:w="1506"/>
            </w:tblGrid>
            <w:tr w14:paraId="00F11E6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558" w:type="pct"/>
                  <w:noWrap w:val="0"/>
                  <w:vAlign w:val="center"/>
                </w:tcPr>
                <w:p w14:paraId="7437DE34">
                  <w:pPr>
                    <w:pStyle w:val="78"/>
                    <w:keepNext w:val="0"/>
                    <w:keepLines w:val="0"/>
                    <w:pageBreakBefore w:val="0"/>
                    <w:kinsoku/>
                    <w:wordWrap/>
                    <w:overflowPunct/>
                    <w:topLinePunct w:val="0"/>
                    <w:bidi w:val="0"/>
                    <w:adjustRightInd w:val="0"/>
                    <w:snapToGrid w:val="0"/>
                    <w:jc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污染源</w:t>
                  </w:r>
                </w:p>
              </w:tc>
              <w:tc>
                <w:tcPr>
                  <w:tcW w:w="594" w:type="pct"/>
                  <w:noWrap w:val="0"/>
                  <w:vAlign w:val="center"/>
                </w:tcPr>
                <w:p w14:paraId="5DB8F78B">
                  <w:pPr>
                    <w:pStyle w:val="78"/>
                    <w:keepNext w:val="0"/>
                    <w:keepLines w:val="0"/>
                    <w:pageBreakBefore w:val="0"/>
                    <w:kinsoku/>
                    <w:wordWrap/>
                    <w:overflowPunct/>
                    <w:topLinePunct w:val="0"/>
                    <w:bidi w:val="0"/>
                    <w:adjustRightInd w:val="0"/>
                    <w:snapToGrid w:val="0"/>
                    <w:jc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污染物</w:t>
                  </w:r>
                </w:p>
              </w:tc>
              <w:tc>
                <w:tcPr>
                  <w:tcW w:w="757" w:type="pct"/>
                  <w:noWrap w:val="0"/>
                  <w:vAlign w:val="center"/>
                </w:tcPr>
                <w:p w14:paraId="7819FADE">
                  <w:pPr>
                    <w:pStyle w:val="78"/>
                    <w:keepNext w:val="0"/>
                    <w:keepLines w:val="0"/>
                    <w:pageBreakBefore w:val="0"/>
                    <w:kinsoku/>
                    <w:wordWrap/>
                    <w:overflowPunct/>
                    <w:topLinePunct w:val="0"/>
                    <w:bidi w:val="0"/>
                    <w:adjustRightInd w:val="0"/>
                    <w:snapToGrid w:val="0"/>
                    <w:jc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排放速率（kg/h）</w:t>
                  </w:r>
                </w:p>
              </w:tc>
              <w:tc>
                <w:tcPr>
                  <w:tcW w:w="675" w:type="pct"/>
                  <w:noWrap w:val="0"/>
                  <w:vAlign w:val="center"/>
                </w:tcPr>
                <w:p w14:paraId="6863047A">
                  <w:pPr>
                    <w:pStyle w:val="78"/>
                    <w:keepNext w:val="0"/>
                    <w:keepLines w:val="0"/>
                    <w:pageBreakBefore w:val="0"/>
                    <w:kinsoku/>
                    <w:wordWrap/>
                    <w:overflowPunct/>
                    <w:topLinePunct w:val="0"/>
                    <w:bidi w:val="0"/>
                    <w:adjustRightInd w:val="0"/>
                    <w:snapToGrid w:val="0"/>
                    <w:jc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面源面积（m</w:t>
                  </w:r>
                  <w:r>
                    <w:rPr>
                      <w:rFonts w:hint="eastAsia" w:ascii="Times New Roman" w:hAnsi="Times New Roman" w:eastAsia="宋体" w:cs="Times New Roman"/>
                      <w:b/>
                      <w:bCs/>
                      <w:color w:val="auto"/>
                      <w:kern w:val="2"/>
                      <w:sz w:val="21"/>
                      <w:szCs w:val="21"/>
                      <w:vertAlign w:val="superscript"/>
                      <w:lang w:val="en-US" w:eastAsia="zh-CN" w:bidi="ar-SA"/>
                    </w:rPr>
                    <w:t>2</w:t>
                  </w:r>
                  <w:r>
                    <w:rPr>
                      <w:rFonts w:hint="eastAsia" w:ascii="Times New Roman" w:hAnsi="Times New Roman" w:eastAsia="宋体" w:cs="Times New Roman"/>
                      <w:b/>
                      <w:bCs/>
                      <w:color w:val="auto"/>
                      <w:kern w:val="2"/>
                      <w:sz w:val="21"/>
                      <w:szCs w:val="21"/>
                      <w:lang w:val="en-US" w:eastAsia="zh-CN" w:bidi="ar-SA"/>
                    </w:rPr>
                    <w:t>）</w:t>
                  </w:r>
                </w:p>
              </w:tc>
              <w:tc>
                <w:tcPr>
                  <w:tcW w:w="791" w:type="pct"/>
                  <w:noWrap w:val="0"/>
                  <w:vAlign w:val="center"/>
                </w:tcPr>
                <w:p w14:paraId="498E412E">
                  <w:pPr>
                    <w:pStyle w:val="78"/>
                    <w:keepNext w:val="0"/>
                    <w:keepLines w:val="0"/>
                    <w:pageBreakBefore w:val="0"/>
                    <w:kinsoku/>
                    <w:wordWrap/>
                    <w:overflowPunct/>
                    <w:topLinePunct w:val="0"/>
                    <w:bidi w:val="0"/>
                    <w:adjustRightInd w:val="0"/>
                    <w:snapToGrid w:val="0"/>
                    <w:jc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执行标准浓度(mg/m</w:t>
                  </w:r>
                  <w:r>
                    <w:rPr>
                      <w:rFonts w:hint="eastAsia" w:ascii="Times New Roman" w:hAnsi="Times New Roman" w:eastAsia="宋体" w:cs="Times New Roman"/>
                      <w:b/>
                      <w:bCs/>
                      <w:color w:val="auto"/>
                      <w:kern w:val="2"/>
                      <w:sz w:val="21"/>
                      <w:szCs w:val="21"/>
                      <w:vertAlign w:val="superscript"/>
                      <w:lang w:val="en-US" w:eastAsia="zh-CN" w:bidi="ar-SA"/>
                    </w:rPr>
                    <w:t>3</w:t>
                  </w:r>
                  <w:r>
                    <w:rPr>
                      <w:rFonts w:hint="eastAsia" w:ascii="Times New Roman" w:hAnsi="Times New Roman" w:eastAsia="宋体" w:cs="Times New Roman"/>
                      <w:b/>
                      <w:bCs/>
                      <w:color w:val="auto"/>
                      <w:kern w:val="2"/>
                      <w:sz w:val="21"/>
                      <w:szCs w:val="21"/>
                      <w:lang w:val="en-US" w:eastAsia="zh-CN" w:bidi="ar-SA"/>
                    </w:rPr>
                    <w:t>)</w:t>
                  </w:r>
                </w:p>
              </w:tc>
              <w:tc>
                <w:tcPr>
                  <w:tcW w:w="734" w:type="pct"/>
                  <w:noWrap w:val="0"/>
                  <w:vAlign w:val="center"/>
                </w:tcPr>
                <w:p w14:paraId="317C9CC3">
                  <w:pPr>
                    <w:pStyle w:val="78"/>
                    <w:keepNext w:val="0"/>
                    <w:keepLines w:val="0"/>
                    <w:pageBreakBefore w:val="0"/>
                    <w:kinsoku/>
                    <w:wordWrap/>
                    <w:overflowPunct/>
                    <w:topLinePunct w:val="0"/>
                    <w:bidi w:val="0"/>
                    <w:adjustRightInd w:val="0"/>
                    <w:snapToGrid w:val="0"/>
                    <w:jc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卫生防护距离初值（m）</w:t>
                  </w:r>
                </w:p>
              </w:tc>
              <w:tc>
                <w:tcPr>
                  <w:tcW w:w="886" w:type="pct"/>
                  <w:noWrap w:val="0"/>
                  <w:vAlign w:val="center"/>
                </w:tcPr>
                <w:p w14:paraId="119C963A">
                  <w:pPr>
                    <w:pStyle w:val="78"/>
                    <w:keepNext w:val="0"/>
                    <w:keepLines w:val="0"/>
                    <w:pageBreakBefore w:val="0"/>
                    <w:kinsoku/>
                    <w:wordWrap/>
                    <w:overflowPunct/>
                    <w:topLinePunct w:val="0"/>
                    <w:bidi w:val="0"/>
                    <w:adjustRightInd w:val="0"/>
                    <w:snapToGrid w:val="0"/>
                    <w:jc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卫生防护距离（m）</w:t>
                  </w:r>
                </w:p>
              </w:tc>
            </w:tr>
            <w:tr w14:paraId="1A76108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558" w:type="pct"/>
                  <w:noWrap w:val="0"/>
                  <w:vAlign w:val="center"/>
                </w:tcPr>
                <w:p w14:paraId="15B076C7">
                  <w:pPr>
                    <w:pStyle w:val="78"/>
                    <w:keepNext w:val="0"/>
                    <w:keepLines w:val="0"/>
                    <w:pageBreakBefore w:val="0"/>
                    <w:kinsoku/>
                    <w:wordWrap/>
                    <w:overflowPunct/>
                    <w:topLinePunct w:val="0"/>
                    <w:bidi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3#厂房</w:t>
                  </w:r>
                </w:p>
              </w:tc>
              <w:tc>
                <w:tcPr>
                  <w:tcW w:w="594" w:type="pct"/>
                  <w:noWrap w:val="0"/>
                  <w:vAlign w:val="center"/>
                </w:tcPr>
                <w:p w14:paraId="04D54863">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NMHC</w:t>
                  </w:r>
                </w:p>
              </w:tc>
              <w:tc>
                <w:tcPr>
                  <w:tcW w:w="757" w:type="pct"/>
                  <w:shd w:val="clear" w:color="auto" w:fill="auto"/>
                  <w:noWrap w:val="0"/>
                  <w:vAlign w:val="center"/>
                </w:tcPr>
                <w:p w14:paraId="2C872577">
                  <w:pPr>
                    <w:bidi w:val="0"/>
                    <w:jc w:val="center"/>
                    <w:rPr>
                      <w:rFonts w:hint="default" w:ascii="Times New Roman" w:hAnsi="Times New Roman" w:eastAsia="宋体" w:cs="Times New Roman"/>
                      <w:kern w:val="2"/>
                      <w:sz w:val="21"/>
                      <w:szCs w:val="24"/>
                      <w:lang w:val="en-US" w:eastAsia="zh-CN" w:bidi="ar-SA"/>
                    </w:rPr>
                  </w:pPr>
                  <w:r>
                    <w:rPr>
                      <w:rFonts w:hint="eastAsia"/>
                      <w:lang w:val="en-US" w:eastAsia="zh-CN"/>
                    </w:rPr>
                    <w:t>0.00063</w:t>
                  </w:r>
                </w:p>
              </w:tc>
              <w:tc>
                <w:tcPr>
                  <w:tcW w:w="675" w:type="pct"/>
                  <w:noWrap w:val="0"/>
                  <w:vAlign w:val="center"/>
                </w:tcPr>
                <w:p w14:paraId="52C4DF3E">
                  <w:pPr>
                    <w:pStyle w:val="78"/>
                    <w:keepNext w:val="0"/>
                    <w:keepLines w:val="0"/>
                    <w:pageBreakBefore w:val="0"/>
                    <w:kinsoku/>
                    <w:wordWrap/>
                    <w:overflowPunct/>
                    <w:topLinePunct w:val="0"/>
                    <w:bidi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2700</w:t>
                  </w:r>
                </w:p>
              </w:tc>
              <w:tc>
                <w:tcPr>
                  <w:tcW w:w="791" w:type="pct"/>
                  <w:noWrap w:val="0"/>
                  <w:vAlign w:val="center"/>
                </w:tcPr>
                <w:p w14:paraId="4EE958E5">
                  <w:pPr>
                    <w:pStyle w:val="78"/>
                    <w:keepNext w:val="0"/>
                    <w:keepLines w:val="0"/>
                    <w:pageBreakBefore w:val="0"/>
                    <w:kinsoku/>
                    <w:wordWrap/>
                    <w:overflowPunct/>
                    <w:topLinePunct w:val="0"/>
                    <w:bidi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2.0</w:t>
                  </w:r>
                </w:p>
              </w:tc>
              <w:tc>
                <w:tcPr>
                  <w:tcW w:w="734" w:type="pct"/>
                  <w:noWrap w:val="0"/>
                  <w:vAlign w:val="center"/>
                </w:tcPr>
                <w:p w14:paraId="6F08FD57">
                  <w:pPr>
                    <w:keepNext w:val="0"/>
                    <w:keepLines w:val="0"/>
                    <w:pageBreakBefore w:val="0"/>
                    <w:kinsoku/>
                    <w:wordWrap/>
                    <w:overflowPunct/>
                    <w:topLinePunct w:val="0"/>
                    <w:bidi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0.004</w:t>
                  </w:r>
                </w:p>
              </w:tc>
              <w:tc>
                <w:tcPr>
                  <w:tcW w:w="886" w:type="pct"/>
                  <w:noWrap w:val="0"/>
                  <w:vAlign w:val="center"/>
                </w:tcPr>
                <w:p w14:paraId="50FE8637">
                  <w:pPr>
                    <w:pStyle w:val="78"/>
                    <w:keepNext w:val="0"/>
                    <w:keepLines w:val="0"/>
                    <w:pageBreakBefore w:val="0"/>
                    <w:kinsoku/>
                    <w:wordWrap/>
                    <w:overflowPunct/>
                    <w:topLinePunct w:val="0"/>
                    <w:bidi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50</w:t>
                  </w:r>
                </w:p>
              </w:tc>
            </w:tr>
            <w:tr w14:paraId="7470CDD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558" w:type="pct"/>
                  <w:noWrap w:val="0"/>
                  <w:vAlign w:val="center"/>
                </w:tcPr>
                <w:p w14:paraId="243AF43A">
                  <w:pPr>
                    <w:pStyle w:val="78"/>
                    <w:keepNext w:val="0"/>
                    <w:keepLines w:val="0"/>
                    <w:pageBreakBefore w:val="0"/>
                    <w:kinsoku/>
                    <w:wordWrap/>
                    <w:overflowPunct/>
                    <w:topLinePunct w:val="0"/>
                    <w:bidi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4#厂房</w:t>
                  </w:r>
                </w:p>
              </w:tc>
              <w:tc>
                <w:tcPr>
                  <w:tcW w:w="594" w:type="pct"/>
                  <w:noWrap w:val="0"/>
                  <w:vAlign w:val="center"/>
                </w:tcPr>
                <w:p w14:paraId="58EC3321">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NMHC</w:t>
                  </w:r>
                </w:p>
              </w:tc>
              <w:tc>
                <w:tcPr>
                  <w:tcW w:w="757" w:type="pct"/>
                  <w:shd w:val="clear" w:color="auto" w:fill="auto"/>
                  <w:noWrap w:val="0"/>
                  <w:vAlign w:val="center"/>
                </w:tcPr>
                <w:p w14:paraId="00DCB9F5">
                  <w:pPr>
                    <w:bidi w:val="0"/>
                    <w:jc w:val="center"/>
                    <w:rPr>
                      <w:rFonts w:hint="eastAsia" w:ascii="Times New Roman" w:hAnsi="Times New Roman" w:eastAsia="宋体" w:cs="Times New Roman"/>
                      <w:kern w:val="2"/>
                      <w:sz w:val="21"/>
                      <w:szCs w:val="24"/>
                      <w:lang w:val="en-US" w:eastAsia="zh-CN" w:bidi="ar-SA"/>
                    </w:rPr>
                  </w:pPr>
                  <w:r>
                    <w:rPr>
                      <w:rFonts w:hint="eastAsia"/>
                      <w:lang w:val="en-US" w:eastAsia="zh-CN"/>
                    </w:rPr>
                    <w:t>0.00016</w:t>
                  </w:r>
                </w:p>
              </w:tc>
              <w:tc>
                <w:tcPr>
                  <w:tcW w:w="675" w:type="pct"/>
                  <w:noWrap w:val="0"/>
                  <w:vAlign w:val="center"/>
                </w:tcPr>
                <w:p w14:paraId="29E1CD7C">
                  <w:pPr>
                    <w:pStyle w:val="78"/>
                    <w:keepNext w:val="0"/>
                    <w:keepLines w:val="0"/>
                    <w:pageBreakBefore w:val="0"/>
                    <w:kinsoku/>
                    <w:wordWrap/>
                    <w:overflowPunct/>
                    <w:topLinePunct w:val="0"/>
                    <w:bidi w:val="0"/>
                    <w:snapToGrid w:val="0"/>
                    <w:jc w:val="center"/>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5400</w:t>
                  </w:r>
                </w:p>
              </w:tc>
              <w:tc>
                <w:tcPr>
                  <w:tcW w:w="791" w:type="pct"/>
                  <w:noWrap w:val="0"/>
                  <w:vAlign w:val="center"/>
                </w:tcPr>
                <w:p w14:paraId="526BC967">
                  <w:pPr>
                    <w:pStyle w:val="78"/>
                    <w:keepNext w:val="0"/>
                    <w:keepLines w:val="0"/>
                    <w:pageBreakBefore w:val="0"/>
                    <w:kinsoku/>
                    <w:wordWrap/>
                    <w:overflowPunct/>
                    <w:topLinePunct w:val="0"/>
                    <w:bidi w:val="0"/>
                    <w:snapToGrid w:val="0"/>
                    <w:jc w:val="center"/>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2.0</w:t>
                  </w:r>
                </w:p>
              </w:tc>
              <w:tc>
                <w:tcPr>
                  <w:tcW w:w="734" w:type="pct"/>
                  <w:noWrap w:val="0"/>
                  <w:vAlign w:val="center"/>
                </w:tcPr>
                <w:p w14:paraId="1B1F64EE">
                  <w:pPr>
                    <w:keepNext w:val="0"/>
                    <w:keepLines w:val="0"/>
                    <w:pageBreakBefore w:val="0"/>
                    <w:kinsoku/>
                    <w:wordWrap/>
                    <w:overflowPunct/>
                    <w:topLinePunct w:val="0"/>
                    <w:bidi w:val="0"/>
                    <w:snapToGrid w:val="0"/>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0.001</w:t>
                  </w:r>
                </w:p>
              </w:tc>
              <w:tc>
                <w:tcPr>
                  <w:tcW w:w="886" w:type="pct"/>
                  <w:noWrap w:val="0"/>
                  <w:vAlign w:val="center"/>
                </w:tcPr>
                <w:p w14:paraId="33958104">
                  <w:pPr>
                    <w:pStyle w:val="78"/>
                    <w:keepNext w:val="0"/>
                    <w:keepLines w:val="0"/>
                    <w:pageBreakBefore w:val="0"/>
                    <w:kinsoku/>
                    <w:wordWrap/>
                    <w:overflowPunct/>
                    <w:topLinePunct w:val="0"/>
                    <w:bidi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50</w:t>
                  </w:r>
                </w:p>
              </w:tc>
            </w:tr>
            <w:tr w14:paraId="0A5C7AF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558" w:type="pct"/>
                  <w:noWrap w:val="0"/>
                  <w:vAlign w:val="center"/>
                </w:tcPr>
                <w:p w14:paraId="68B4656B">
                  <w:pPr>
                    <w:pStyle w:val="78"/>
                    <w:keepNext w:val="0"/>
                    <w:keepLines w:val="0"/>
                    <w:pageBreakBefore w:val="0"/>
                    <w:kinsoku/>
                    <w:wordWrap/>
                    <w:overflowPunct/>
                    <w:topLinePunct w:val="0"/>
                    <w:bidi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7#厂房</w:t>
                  </w:r>
                </w:p>
              </w:tc>
              <w:tc>
                <w:tcPr>
                  <w:tcW w:w="594" w:type="pct"/>
                  <w:noWrap w:val="0"/>
                  <w:vAlign w:val="center"/>
                </w:tcPr>
                <w:p w14:paraId="3FB94FD3">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NMHC</w:t>
                  </w:r>
                </w:p>
              </w:tc>
              <w:tc>
                <w:tcPr>
                  <w:tcW w:w="757" w:type="pct"/>
                  <w:shd w:val="clear" w:color="auto" w:fill="auto"/>
                  <w:noWrap w:val="0"/>
                  <w:vAlign w:val="center"/>
                </w:tcPr>
                <w:p w14:paraId="645075C0">
                  <w:pPr>
                    <w:bidi w:val="0"/>
                    <w:jc w:val="center"/>
                    <w:rPr>
                      <w:rFonts w:hint="default" w:ascii="Times New Roman" w:hAnsi="Times New Roman" w:eastAsia="宋体" w:cs="Times New Roman"/>
                      <w:kern w:val="2"/>
                      <w:sz w:val="21"/>
                      <w:szCs w:val="24"/>
                      <w:lang w:val="en-US" w:eastAsia="zh-CN" w:bidi="ar-SA"/>
                    </w:rPr>
                  </w:pPr>
                  <w:r>
                    <w:rPr>
                      <w:rFonts w:hint="eastAsia"/>
                      <w:lang w:val="en-US" w:eastAsia="zh-CN"/>
                    </w:rPr>
                    <w:t>0.00083</w:t>
                  </w:r>
                </w:p>
              </w:tc>
              <w:tc>
                <w:tcPr>
                  <w:tcW w:w="675" w:type="pct"/>
                  <w:noWrap w:val="0"/>
                  <w:vAlign w:val="center"/>
                </w:tcPr>
                <w:p w14:paraId="3443540F">
                  <w:pPr>
                    <w:pStyle w:val="78"/>
                    <w:keepNext w:val="0"/>
                    <w:keepLines w:val="0"/>
                    <w:pageBreakBefore w:val="0"/>
                    <w:kinsoku/>
                    <w:wordWrap/>
                    <w:overflowPunct/>
                    <w:topLinePunct w:val="0"/>
                    <w:bidi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5400</w:t>
                  </w:r>
                </w:p>
              </w:tc>
              <w:tc>
                <w:tcPr>
                  <w:tcW w:w="791" w:type="pct"/>
                  <w:noWrap w:val="0"/>
                  <w:vAlign w:val="center"/>
                </w:tcPr>
                <w:p w14:paraId="29A6B905">
                  <w:pPr>
                    <w:pStyle w:val="78"/>
                    <w:keepNext w:val="0"/>
                    <w:keepLines w:val="0"/>
                    <w:pageBreakBefore w:val="0"/>
                    <w:kinsoku/>
                    <w:wordWrap/>
                    <w:overflowPunct/>
                    <w:topLinePunct w:val="0"/>
                    <w:bidi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2.0</w:t>
                  </w:r>
                </w:p>
              </w:tc>
              <w:tc>
                <w:tcPr>
                  <w:tcW w:w="734" w:type="pct"/>
                  <w:noWrap w:val="0"/>
                  <w:vAlign w:val="center"/>
                </w:tcPr>
                <w:p w14:paraId="47487DA4">
                  <w:pPr>
                    <w:keepNext w:val="0"/>
                    <w:keepLines w:val="0"/>
                    <w:pageBreakBefore w:val="0"/>
                    <w:kinsoku/>
                    <w:wordWrap/>
                    <w:overflowPunct/>
                    <w:topLinePunct w:val="0"/>
                    <w:bidi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0.004</w:t>
                  </w:r>
                </w:p>
              </w:tc>
              <w:tc>
                <w:tcPr>
                  <w:tcW w:w="886" w:type="pct"/>
                  <w:noWrap w:val="0"/>
                  <w:vAlign w:val="center"/>
                </w:tcPr>
                <w:p w14:paraId="7DC71785">
                  <w:pPr>
                    <w:pStyle w:val="78"/>
                    <w:keepNext w:val="0"/>
                    <w:keepLines w:val="0"/>
                    <w:pageBreakBefore w:val="0"/>
                    <w:kinsoku/>
                    <w:wordWrap/>
                    <w:overflowPunct/>
                    <w:topLinePunct w:val="0"/>
                    <w:bidi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50</w:t>
                  </w:r>
                </w:p>
              </w:tc>
            </w:tr>
          </w:tbl>
          <w:p w14:paraId="30710162">
            <w:pPr>
              <w:pStyle w:val="10"/>
              <w:keepNext w:val="0"/>
              <w:keepLines w:val="0"/>
              <w:pageBreakBefore w:val="0"/>
              <w:widowControl w:val="0"/>
              <w:kinsoku/>
              <w:wordWrap/>
              <w:overflowPunct/>
              <w:topLinePunct w:val="0"/>
              <w:autoSpaceDE/>
              <w:autoSpaceDN/>
              <w:bidi w:val="0"/>
              <w:adjustRightInd w:val="0"/>
              <w:snapToGrid w:val="0"/>
              <w:spacing w:before="148" w:beforeLines="50" w:after="0" w:line="360" w:lineRule="auto"/>
              <w:ind w:right="0" w:firstLine="420" w:firstLineChars="200"/>
              <w:textAlignment w:val="auto"/>
              <w:rPr>
                <w:color w:val="auto"/>
                <w:kern w:val="2"/>
                <w:sz w:val="21"/>
                <w:szCs w:val="21"/>
              </w:rPr>
            </w:pPr>
            <w:r>
              <w:rPr>
                <w:color w:val="auto"/>
                <w:kern w:val="2"/>
                <w:sz w:val="21"/>
                <w:szCs w:val="21"/>
              </w:rPr>
              <w:t>根据计算结果，最终确定本项目</w:t>
            </w:r>
            <w:r>
              <w:rPr>
                <w:rFonts w:hint="eastAsia"/>
                <w:color w:val="auto"/>
                <w:kern w:val="2"/>
                <w:sz w:val="21"/>
                <w:szCs w:val="21"/>
                <w:lang w:val="en-US" w:eastAsia="zh-CN"/>
              </w:rPr>
              <w:t>建成后</w:t>
            </w:r>
            <w:r>
              <w:rPr>
                <w:color w:val="auto"/>
                <w:kern w:val="2"/>
                <w:sz w:val="21"/>
                <w:szCs w:val="21"/>
              </w:rPr>
              <w:t>卫生防护距离设置为</w:t>
            </w:r>
            <w:r>
              <w:rPr>
                <w:rFonts w:hint="eastAsia"/>
                <w:color w:val="auto"/>
                <w:kern w:val="2"/>
                <w:sz w:val="21"/>
                <w:szCs w:val="21"/>
                <w:lang w:val="en-US" w:eastAsia="zh-CN"/>
              </w:rPr>
              <w:t>分别</w:t>
            </w:r>
            <w:r>
              <w:rPr>
                <w:rFonts w:hint="eastAsia"/>
                <w:color w:val="auto"/>
                <w:kern w:val="2"/>
                <w:sz w:val="21"/>
                <w:szCs w:val="24"/>
              </w:rPr>
              <w:t>以</w:t>
            </w:r>
            <w:r>
              <w:rPr>
                <w:rFonts w:hint="eastAsia"/>
                <w:color w:val="auto"/>
                <w:kern w:val="2"/>
                <w:sz w:val="21"/>
                <w:szCs w:val="24"/>
                <w:lang w:val="en-US" w:eastAsia="zh-CN"/>
              </w:rPr>
              <w:t>3#厂房、4#厂房和7#厂房</w:t>
            </w:r>
            <w:r>
              <w:rPr>
                <w:rFonts w:hint="eastAsia"/>
                <w:color w:val="auto"/>
                <w:kern w:val="2"/>
                <w:sz w:val="21"/>
                <w:szCs w:val="24"/>
              </w:rPr>
              <w:t>边界外扩50m的范围</w:t>
            </w:r>
            <w:r>
              <w:rPr>
                <w:color w:val="auto"/>
                <w:kern w:val="2"/>
                <w:sz w:val="21"/>
                <w:szCs w:val="21"/>
              </w:rPr>
              <w:t>形成的包络线。经查，本项目卫生防护距离范围内无居民点以及其他环境空气敏感保护点，该范围内不得建设居民区、学校和医院等敏感目标。</w:t>
            </w:r>
          </w:p>
          <w:p w14:paraId="2D48DBCF">
            <w:pPr>
              <w:pStyle w:val="10"/>
              <w:keepNext w:val="0"/>
              <w:keepLines w:val="0"/>
              <w:pageBreakBefore w:val="0"/>
              <w:widowControl w:val="0"/>
              <w:kinsoku/>
              <w:wordWrap/>
              <w:overflowPunct/>
              <w:topLinePunct w:val="0"/>
              <w:bidi w:val="0"/>
              <w:adjustRightInd w:val="0"/>
              <w:snapToGrid w:val="0"/>
              <w:spacing w:before="0" w:after="0" w:line="360" w:lineRule="auto"/>
              <w:ind w:right="0" w:firstLine="420" w:firstLineChars="200"/>
              <w:rPr>
                <w:color w:val="auto"/>
                <w:kern w:val="2"/>
                <w:sz w:val="21"/>
                <w:szCs w:val="21"/>
              </w:rPr>
            </w:pPr>
            <w:r>
              <w:rPr>
                <w:rFonts w:hint="eastAsia"/>
                <w:color w:val="auto"/>
                <w:kern w:val="2"/>
                <w:sz w:val="21"/>
                <w:szCs w:val="21"/>
              </w:rPr>
              <w:t>故</w:t>
            </w:r>
            <w:r>
              <w:rPr>
                <w:color w:val="auto"/>
                <w:kern w:val="2"/>
                <w:sz w:val="21"/>
                <w:szCs w:val="21"/>
              </w:rPr>
              <w:t>本项目无组织废气对当地的环境空气质量影响较小，可满足环境管理要求。</w:t>
            </w:r>
          </w:p>
          <w:p w14:paraId="6D67E930">
            <w:pPr>
              <w:keepNext w:val="0"/>
              <w:keepLines w:val="0"/>
              <w:pageBreakBefore w:val="0"/>
              <w:widowControl w:val="0"/>
              <w:numPr>
                <w:ilvl w:val="1"/>
                <w:numId w:val="0"/>
              </w:numPr>
              <w:kinsoku/>
              <w:wordWrap/>
              <w:overflowPunct/>
              <w:topLinePunct w:val="0"/>
              <w:autoSpaceDE/>
              <w:autoSpaceDN/>
              <w:bidi w:val="0"/>
              <w:adjustRightInd/>
              <w:snapToGrid w:val="0"/>
              <w:spacing w:line="360" w:lineRule="auto"/>
              <w:ind w:left="0" w:leftChars="0" w:firstLine="0" w:firstLineChars="0"/>
              <w:textAlignment w:val="auto"/>
              <w:rPr>
                <w:b/>
                <w:bCs/>
                <w:color w:val="auto"/>
                <w:szCs w:val="21"/>
              </w:rPr>
            </w:pPr>
            <w:r>
              <w:rPr>
                <w:rFonts w:hint="default" w:ascii="Times New Roman" w:hAnsi="Times New Roman" w:eastAsia="宋体" w:cs="Times New Roman"/>
                <w:b/>
                <w:bCs/>
                <w:color w:val="auto"/>
                <w:kern w:val="2"/>
                <w:sz w:val="21"/>
                <w:szCs w:val="21"/>
                <w:lang w:val="en-US" w:eastAsia="zh-CN" w:bidi="ar-SA"/>
              </w:rPr>
              <w:t>1.</w:t>
            </w:r>
            <w:r>
              <w:rPr>
                <w:rFonts w:hint="eastAsia" w:cs="Times New Roman"/>
                <w:b/>
                <w:bCs/>
                <w:color w:val="auto"/>
                <w:kern w:val="2"/>
                <w:sz w:val="21"/>
                <w:szCs w:val="21"/>
                <w:lang w:val="en-US" w:eastAsia="zh-CN" w:bidi="ar-SA"/>
              </w:rPr>
              <w:t>5</w:t>
            </w:r>
            <w:r>
              <w:rPr>
                <w:b/>
                <w:bCs/>
                <w:color w:val="auto"/>
                <w:szCs w:val="21"/>
              </w:rPr>
              <w:t>监测要求</w:t>
            </w:r>
          </w:p>
          <w:p w14:paraId="48A4F658">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auto"/>
              <w:rPr>
                <w:color w:val="auto"/>
                <w:szCs w:val="21"/>
              </w:rPr>
            </w:pPr>
            <w:r>
              <w:rPr>
                <w:color w:val="auto"/>
                <w:szCs w:val="21"/>
              </w:rPr>
              <w:t>对照</w:t>
            </w:r>
            <w:r>
              <w:rPr>
                <w:rFonts w:hint="eastAsia"/>
                <w:color w:val="auto"/>
                <w:szCs w:val="21"/>
              </w:rPr>
              <w:t>《排污单位自行监测技术指南 总则》（HJ819-2017）</w:t>
            </w:r>
            <w:r>
              <w:rPr>
                <w:rFonts w:hint="eastAsia"/>
                <w:color w:val="auto"/>
                <w:szCs w:val="21"/>
                <w:lang w:eastAsia="zh-CN"/>
              </w:rPr>
              <w:t>、《排污单位自行监测技术指南 印刷工业》（</w:t>
            </w:r>
            <w:r>
              <w:rPr>
                <w:rFonts w:hint="eastAsia"/>
                <w:color w:val="auto"/>
                <w:szCs w:val="21"/>
                <w:lang w:val="en-US" w:eastAsia="zh-CN"/>
              </w:rPr>
              <w:t>HJ1246-2022）</w:t>
            </w:r>
            <w:r>
              <w:rPr>
                <w:rFonts w:hint="eastAsia"/>
                <w:color w:val="auto"/>
                <w:szCs w:val="21"/>
                <w:lang w:eastAsia="zh-CN"/>
              </w:rPr>
              <w:t>、《排污许可证申请与核发技术规范 印刷工业》（</w:t>
            </w:r>
            <w:r>
              <w:rPr>
                <w:rFonts w:hint="eastAsia"/>
                <w:color w:val="auto"/>
                <w:szCs w:val="21"/>
                <w:lang w:val="en-US" w:eastAsia="zh-CN"/>
              </w:rPr>
              <w:t>HJ1066-2019</w:t>
            </w:r>
            <w:r>
              <w:rPr>
                <w:rFonts w:hint="eastAsia"/>
                <w:color w:val="auto"/>
                <w:szCs w:val="21"/>
                <w:lang w:eastAsia="zh-CN"/>
              </w:rPr>
              <w:t>）</w:t>
            </w:r>
            <w:r>
              <w:rPr>
                <w:rFonts w:hint="eastAsia"/>
                <w:color w:val="auto"/>
                <w:szCs w:val="21"/>
              </w:rPr>
              <w:t>及江苏省生态环境厅印发《江苏省污染源自动监控管理办法》（试行）相关要求，</w:t>
            </w:r>
            <w:r>
              <w:rPr>
                <w:color w:val="auto"/>
                <w:szCs w:val="21"/>
              </w:rPr>
              <w:t>建议建设单位按表</w:t>
            </w:r>
            <w:r>
              <w:rPr>
                <w:rFonts w:hint="eastAsia"/>
                <w:color w:val="auto"/>
                <w:szCs w:val="21"/>
              </w:rPr>
              <w:t>4</w:t>
            </w:r>
            <w:r>
              <w:rPr>
                <w:rFonts w:hint="eastAsia"/>
                <w:color w:val="auto"/>
                <w:szCs w:val="21"/>
                <w:lang w:val="en-US" w:eastAsia="zh-CN"/>
              </w:rPr>
              <w:t>-7</w:t>
            </w:r>
            <w:r>
              <w:rPr>
                <w:color w:val="auto"/>
                <w:szCs w:val="21"/>
              </w:rPr>
              <w:t>制定建设项目的日常废气监测计划。</w:t>
            </w:r>
          </w:p>
          <w:p w14:paraId="11A2FB4C">
            <w:pPr>
              <w:pStyle w:val="78"/>
              <w:keepNext w:val="0"/>
              <w:keepLines w:val="0"/>
              <w:pageBreakBefore w:val="0"/>
              <w:kinsoku/>
              <w:wordWrap/>
              <w:overflowPunct/>
              <w:topLinePunct w:val="0"/>
              <w:bidi w:val="0"/>
              <w:snapToGrid w:val="0"/>
              <w:spacing w:before="147" w:beforeLines="50" w:line="240" w:lineRule="auto"/>
              <w:rPr>
                <w:rFonts w:ascii="Times New Roman" w:hAnsi="Times New Roman"/>
                <w:b/>
                <w:bCs/>
                <w:color w:val="auto"/>
                <w:szCs w:val="21"/>
              </w:rPr>
            </w:pPr>
            <w:r>
              <w:rPr>
                <w:rFonts w:ascii="Times New Roman" w:hAnsi="Times New Roman"/>
                <w:b/>
                <w:bCs/>
                <w:color w:val="auto"/>
                <w:szCs w:val="21"/>
              </w:rPr>
              <w:t>表4</w:t>
            </w:r>
            <w:r>
              <w:rPr>
                <w:rFonts w:hint="eastAsia" w:ascii="Times New Roman" w:hAnsi="Times New Roman"/>
                <w:b/>
                <w:bCs/>
                <w:color w:val="auto"/>
                <w:szCs w:val="21"/>
                <w:lang w:val="en-US" w:eastAsia="zh-CN"/>
              </w:rPr>
              <w:t>-12</w:t>
            </w:r>
            <w:r>
              <w:rPr>
                <w:rFonts w:hint="eastAsia" w:ascii="Times New Roman" w:hAnsi="Times New Roman"/>
                <w:b/>
                <w:bCs/>
                <w:color w:val="auto"/>
                <w:szCs w:val="21"/>
              </w:rPr>
              <w:t xml:space="preserve"> </w:t>
            </w:r>
            <w:r>
              <w:rPr>
                <w:rFonts w:ascii="Times New Roman" w:hAnsi="Times New Roman"/>
                <w:b/>
                <w:bCs/>
                <w:color w:val="auto"/>
                <w:szCs w:val="21"/>
              </w:rPr>
              <w:t>日常废气监测计划表</w:t>
            </w:r>
          </w:p>
          <w:tbl>
            <w:tblPr>
              <w:tblStyle w:val="3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73"/>
              <w:gridCol w:w="885"/>
              <w:gridCol w:w="1500"/>
              <w:gridCol w:w="1530"/>
              <w:gridCol w:w="1320"/>
              <w:gridCol w:w="2694"/>
            </w:tblGrid>
            <w:tr w14:paraId="653CA7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458" w:type="dxa"/>
                  <w:gridSpan w:val="2"/>
                  <w:vAlign w:val="center"/>
                </w:tcPr>
                <w:p w14:paraId="47B3D648">
                  <w:pPr>
                    <w:keepNext w:val="0"/>
                    <w:keepLines w:val="0"/>
                    <w:pageBreakBefore w:val="0"/>
                    <w:widowControl/>
                    <w:kinsoku/>
                    <w:wordWrap/>
                    <w:overflowPunct/>
                    <w:topLinePunct w:val="0"/>
                    <w:bidi w:val="0"/>
                    <w:snapToGrid w:val="0"/>
                    <w:jc w:val="center"/>
                    <w:rPr>
                      <w:b/>
                      <w:bCs/>
                      <w:color w:val="auto"/>
                      <w:szCs w:val="21"/>
                    </w:rPr>
                  </w:pPr>
                  <w:r>
                    <w:rPr>
                      <w:b/>
                      <w:bCs/>
                      <w:color w:val="auto"/>
                      <w:szCs w:val="21"/>
                    </w:rPr>
                    <w:t>监测要素</w:t>
                  </w:r>
                </w:p>
              </w:tc>
              <w:tc>
                <w:tcPr>
                  <w:tcW w:w="1500" w:type="dxa"/>
                  <w:vAlign w:val="center"/>
                </w:tcPr>
                <w:p w14:paraId="54E3E153">
                  <w:pPr>
                    <w:keepNext w:val="0"/>
                    <w:keepLines w:val="0"/>
                    <w:pageBreakBefore w:val="0"/>
                    <w:widowControl/>
                    <w:kinsoku/>
                    <w:wordWrap/>
                    <w:overflowPunct/>
                    <w:topLinePunct w:val="0"/>
                    <w:bidi w:val="0"/>
                    <w:snapToGrid w:val="0"/>
                    <w:jc w:val="center"/>
                    <w:rPr>
                      <w:b/>
                      <w:bCs/>
                      <w:color w:val="auto"/>
                      <w:szCs w:val="21"/>
                    </w:rPr>
                  </w:pPr>
                  <w:r>
                    <w:rPr>
                      <w:b/>
                      <w:bCs/>
                      <w:color w:val="auto"/>
                      <w:szCs w:val="21"/>
                    </w:rPr>
                    <w:t>监测点位</w:t>
                  </w:r>
                </w:p>
              </w:tc>
              <w:tc>
                <w:tcPr>
                  <w:tcW w:w="1530" w:type="dxa"/>
                  <w:vAlign w:val="center"/>
                </w:tcPr>
                <w:p w14:paraId="50F8B5CF">
                  <w:pPr>
                    <w:keepNext w:val="0"/>
                    <w:keepLines w:val="0"/>
                    <w:pageBreakBefore w:val="0"/>
                    <w:widowControl/>
                    <w:kinsoku/>
                    <w:wordWrap/>
                    <w:overflowPunct/>
                    <w:topLinePunct w:val="0"/>
                    <w:bidi w:val="0"/>
                    <w:snapToGrid w:val="0"/>
                    <w:jc w:val="center"/>
                    <w:rPr>
                      <w:b/>
                      <w:bCs/>
                      <w:color w:val="auto"/>
                      <w:szCs w:val="21"/>
                    </w:rPr>
                  </w:pPr>
                  <w:r>
                    <w:rPr>
                      <w:b/>
                      <w:bCs/>
                      <w:color w:val="auto"/>
                      <w:szCs w:val="21"/>
                    </w:rPr>
                    <w:t>监测因子</w:t>
                  </w:r>
                </w:p>
              </w:tc>
              <w:tc>
                <w:tcPr>
                  <w:tcW w:w="1320" w:type="dxa"/>
                  <w:vAlign w:val="center"/>
                </w:tcPr>
                <w:p w14:paraId="126B4ED1">
                  <w:pPr>
                    <w:keepNext w:val="0"/>
                    <w:keepLines w:val="0"/>
                    <w:pageBreakBefore w:val="0"/>
                    <w:widowControl/>
                    <w:kinsoku/>
                    <w:wordWrap/>
                    <w:overflowPunct/>
                    <w:topLinePunct w:val="0"/>
                    <w:bidi w:val="0"/>
                    <w:snapToGrid w:val="0"/>
                    <w:jc w:val="center"/>
                    <w:rPr>
                      <w:b/>
                      <w:bCs/>
                      <w:color w:val="auto"/>
                      <w:szCs w:val="21"/>
                    </w:rPr>
                  </w:pPr>
                  <w:r>
                    <w:rPr>
                      <w:b/>
                      <w:bCs/>
                      <w:color w:val="auto"/>
                      <w:szCs w:val="21"/>
                    </w:rPr>
                    <w:t>监测频率</w:t>
                  </w:r>
                </w:p>
              </w:tc>
              <w:tc>
                <w:tcPr>
                  <w:tcW w:w="2694" w:type="dxa"/>
                  <w:vAlign w:val="center"/>
                </w:tcPr>
                <w:p w14:paraId="0E2060DA">
                  <w:pPr>
                    <w:keepNext w:val="0"/>
                    <w:keepLines w:val="0"/>
                    <w:pageBreakBefore w:val="0"/>
                    <w:widowControl/>
                    <w:kinsoku/>
                    <w:wordWrap/>
                    <w:overflowPunct/>
                    <w:topLinePunct w:val="0"/>
                    <w:bidi w:val="0"/>
                    <w:snapToGrid w:val="0"/>
                    <w:jc w:val="center"/>
                    <w:rPr>
                      <w:b/>
                      <w:bCs/>
                      <w:color w:val="auto"/>
                      <w:szCs w:val="21"/>
                    </w:rPr>
                  </w:pPr>
                  <w:r>
                    <w:rPr>
                      <w:b/>
                      <w:bCs/>
                      <w:color w:val="auto"/>
                      <w:szCs w:val="21"/>
                    </w:rPr>
                    <w:t>监测标准</w:t>
                  </w:r>
                </w:p>
              </w:tc>
            </w:tr>
            <w:tr w14:paraId="575AEE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73" w:type="dxa"/>
                  <w:vMerge w:val="restart"/>
                  <w:vAlign w:val="center"/>
                </w:tcPr>
                <w:p w14:paraId="6898AD30">
                  <w:pPr>
                    <w:keepNext w:val="0"/>
                    <w:keepLines w:val="0"/>
                    <w:pageBreakBefore w:val="0"/>
                    <w:widowControl/>
                    <w:kinsoku/>
                    <w:wordWrap/>
                    <w:overflowPunct/>
                    <w:topLinePunct w:val="0"/>
                    <w:bidi w:val="0"/>
                    <w:adjustRightInd w:val="0"/>
                    <w:snapToGrid w:val="0"/>
                    <w:jc w:val="center"/>
                    <w:rPr>
                      <w:rFonts w:hint="eastAsia" w:eastAsia="宋体"/>
                      <w:color w:val="auto"/>
                      <w:szCs w:val="21"/>
                      <w:lang w:val="en-US" w:eastAsia="zh-CN"/>
                    </w:rPr>
                  </w:pPr>
                  <w:r>
                    <w:rPr>
                      <w:rFonts w:hint="eastAsia"/>
                      <w:color w:val="auto"/>
                      <w:szCs w:val="21"/>
                      <w:lang w:val="en-US" w:eastAsia="zh-CN"/>
                    </w:rPr>
                    <w:t>废气</w:t>
                  </w:r>
                </w:p>
              </w:tc>
              <w:tc>
                <w:tcPr>
                  <w:tcW w:w="885" w:type="dxa"/>
                  <w:vMerge w:val="restart"/>
                  <w:vAlign w:val="center"/>
                </w:tcPr>
                <w:p w14:paraId="13569BD5">
                  <w:pPr>
                    <w:keepNext w:val="0"/>
                    <w:keepLines w:val="0"/>
                    <w:pageBreakBefore w:val="0"/>
                    <w:widowControl/>
                    <w:kinsoku/>
                    <w:wordWrap/>
                    <w:overflowPunct/>
                    <w:topLinePunct w:val="0"/>
                    <w:bidi w:val="0"/>
                    <w:adjustRightInd w:val="0"/>
                    <w:snapToGrid w:val="0"/>
                    <w:jc w:val="center"/>
                    <w:rPr>
                      <w:color w:val="auto"/>
                      <w:szCs w:val="21"/>
                    </w:rPr>
                  </w:pPr>
                  <w:r>
                    <w:rPr>
                      <w:rFonts w:hint="eastAsia"/>
                      <w:color w:val="auto"/>
                      <w:szCs w:val="21"/>
                      <w:lang w:val="en-US" w:eastAsia="zh-CN"/>
                    </w:rPr>
                    <w:t>有组织</w:t>
                  </w:r>
                </w:p>
              </w:tc>
              <w:tc>
                <w:tcPr>
                  <w:tcW w:w="1500" w:type="dxa"/>
                  <w:vAlign w:val="center"/>
                </w:tcPr>
                <w:p w14:paraId="232962DF">
                  <w:pPr>
                    <w:keepNext w:val="0"/>
                    <w:keepLines w:val="0"/>
                    <w:pageBreakBefore w:val="0"/>
                    <w:kinsoku/>
                    <w:wordWrap/>
                    <w:overflowPunct/>
                    <w:topLinePunct w:val="0"/>
                    <w:bidi w:val="0"/>
                    <w:adjustRightInd w:val="0"/>
                    <w:snapToGrid w:val="0"/>
                    <w:jc w:val="center"/>
                    <w:rPr>
                      <w:rFonts w:hint="default" w:eastAsia="宋体"/>
                      <w:bCs/>
                      <w:color w:val="auto"/>
                      <w:szCs w:val="21"/>
                      <w:lang w:val="en-US" w:eastAsia="zh-CN"/>
                    </w:rPr>
                  </w:pPr>
                  <w:r>
                    <w:rPr>
                      <w:rFonts w:hint="eastAsia"/>
                      <w:bCs/>
                      <w:color w:val="auto"/>
                      <w:szCs w:val="21"/>
                      <w:lang w:val="en-US" w:eastAsia="zh-CN"/>
                    </w:rPr>
                    <w:t>DA002</w:t>
                  </w:r>
                </w:p>
              </w:tc>
              <w:tc>
                <w:tcPr>
                  <w:tcW w:w="1530" w:type="dxa"/>
                  <w:vAlign w:val="center"/>
                </w:tcPr>
                <w:p w14:paraId="4CB792AE">
                  <w:pPr>
                    <w:keepNext w:val="0"/>
                    <w:keepLines w:val="0"/>
                    <w:pageBreakBefore w:val="0"/>
                    <w:kinsoku/>
                    <w:wordWrap/>
                    <w:overflowPunct/>
                    <w:topLinePunct w:val="0"/>
                    <w:bidi w:val="0"/>
                    <w:snapToGrid w:val="0"/>
                    <w:jc w:val="center"/>
                    <w:rPr>
                      <w:rFonts w:hint="default" w:eastAsia="宋体"/>
                      <w:color w:val="auto"/>
                      <w:szCs w:val="21"/>
                      <w:lang w:val="en-US" w:eastAsia="zh-CN"/>
                    </w:rPr>
                  </w:pPr>
                  <w:r>
                    <w:rPr>
                      <w:rFonts w:hint="eastAsia"/>
                      <w:color w:val="auto"/>
                      <w:szCs w:val="21"/>
                      <w:lang w:val="en-US" w:eastAsia="zh-CN"/>
                    </w:rPr>
                    <w:t>NMHC</w:t>
                  </w:r>
                </w:p>
              </w:tc>
              <w:tc>
                <w:tcPr>
                  <w:tcW w:w="1320" w:type="dxa"/>
                  <w:vAlign w:val="center"/>
                </w:tcPr>
                <w:p w14:paraId="3150F4F0">
                  <w:pPr>
                    <w:pStyle w:val="102"/>
                    <w:keepNext w:val="0"/>
                    <w:keepLines w:val="0"/>
                    <w:pageBreakBefore w:val="0"/>
                    <w:kinsoku/>
                    <w:wordWrap/>
                    <w:overflowPunct/>
                    <w:topLinePunct w:val="0"/>
                    <w:autoSpaceDE w:val="0"/>
                    <w:autoSpaceDN w:val="0"/>
                    <w:bidi w:val="0"/>
                    <w:adjustRightInd w:val="0"/>
                    <w:snapToGrid w:val="0"/>
                    <w:spacing w:before="0" w:after="0" w:line="240" w:lineRule="auto"/>
                    <w:ind w:right="0" w:firstLine="0" w:firstLineChars="0"/>
                    <w:jc w:val="center"/>
                    <w:rPr>
                      <w:b w:val="0"/>
                      <w:bCs/>
                      <w:color w:val="auto"/>
                      <w:sz w:val="21"/>
                      <w:szCs w:val="21"/>
                    </w:rPr>
                  </w:pPr>
                  <w:r>
                    <w:rPr>
                      <w:b w:val="0"/>
                      <w:bCs/>
                      <w:color w:val="auto"/>
                      <w:sz w:val="21"/>
                      <w:szCs w:val="21"/>
                    </w:rPr>
                    <w:t>1次/</w:t>
                  </w:r>
                  <w:r>
                    <w:rPr>
                      <w:rFonts w:hint="eastAsia"/>
                      <w:b w:val="0"/>
                      <w:bCs/>
                      <w:color w:val="auto"/>
                      <w:sz w:val="21"/>
                      <w:szCs w:val="21"/>
                      <w:lang w:val="en-US" w:eastAsia="zh-CN"/>
                    </w:rPr>
                    <w:t>半</w:t>
                  </w:r>
                  <w:r>
                    <w:rPr>
                      <w:b w:val="0"/>
                      <w:bCs/>
                      <w:color w:val="auto"/>
                      <w:sz w:val="21"/>
                      <w:szCs w:val="21"/>
                    </w:rPr>
                    <w:t>年</w:t>
                  </w:r>
                </w:p>
              </w:tc>
              <w:tc>
                <w:tcPr>
                  <w:tcW w:w="2694" w:type="dxa"/>
                  <w:vMerge w:val="restart"/>
                  <w:vAlign w:val="center"/>
                </w:tcPr>
                <w:p w14:paraId="265D7EEB">
                  <w:pPr>
                    <w:keepNext w:val="0"/>
                    <w:keepLines w:val="0"/>
                    <w:pageBreakBefore w:val="0"/>
                    <w:widowControl/>
                    <w:kinsoku/>
                    <w:wordWrap/>
                    <w:overflowPunct/>
                    <w:topLinePunct w:val="0"/>
                    <w:bidi w:val="0"/>
                    <w:snapToGrid w:val="0"/>
                    <w:jc w:val="center"/>
                    <w:textAlignment w:val="center"/>
                    <w:rPr>
                      <w:rFonts w:hint="eastAsia"/>
                      <w:color w:val="auto"/>
                    </w:rPr>
                  </w:pPr>
                  <w:r>
                    <w:rPr>
                      <w:rFonts w:hint="default" w:ascii="Times New Roman" w:hAnsi="Times New Roman" w:eastAsia="宋体" w:cs="Times New Roman"/>
                      <w:color w:val="auto"/>
                      <w:sz w:val="21"/>
                      <w:szCs w:val="21"/>
                    </w:rPr>
                    <w:t>《印刷工业大气污染物排放标准》</w:t>
                  </w:r>
                  <w:r>
                    <w:rPr>
                      <w:rFonts w:hint="eastAsia" w:cs="Times New Roman"/>
                      <w:color w:val="auto"/>
                      <w:sz w:val="21"/>
                      <w:szCs w:val="21"/>
                      <w:lang w:eastAsia="zh-CN"/>
                    </w:rPr>
                    <w:t>（</w:t>
                  </w:r>
                  <w:r>
                    <w:rPr>
                      <w:rFonts w:hint="default" w:ascii="Times New Roman" w:hAnsi="Times New Roman" w:eastAsia="宋体" w:cs="Times New Roman"/>
                      <w:color w:val="auto"/>
                      <w:sz w:val="21"/>
                      <w:szCs w:val="21"/>
                    </w:rPr>
                    <w:t>DB32/4438-2022</w:t>
                  </w:r>
                  <w:r>
                    <w:rPr>
                      <w:rFonts w:hint="eastAsia" w:cs="Times New Roman"/>
                      <w:color w:val="auto"/>
                      <w:sz w:val="21"/>
                      <w:szCs w:val="21"/>
                      <w:lang w:eastAsia="zh-CN"/>
                    </w:rPr>
                    <w:t>）</w:t>
                  </w:r>
                </w:p>
              </w:tc>
            </w:tr>
            <w:tr w14:paraId="548C05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73" w:type="dxa"/>
                  <w:vMerge w:val="continue"/>
                  <w:vAlign w:val="center"/>
                </w:tcPr>
                <w:p w14:paraId="346D0319">
                  <w:pPr>
                    <w:keepNext w:val="0"/>
                    <w:keepLines w:val="0"/>
                    <w:pageBreakBefore w:val="0"/>
                    <w:widowControl/>
                    <w:kinsoku/>
                    <w:wordWrap/>
                    <w:overflowPunct/>
                    <w:topLinePunct w:val="0"/>
                    <w:bidi w:val="0"/>
                    <w:adjustRightInd w:val="0"/>
                    <w:snapToGrid w:val="0"/>
                    <w:jc w:val="center"/>
                    <w:rPr>
                      <w:rFonts w:hint="eastAsia"/>
                      <w:color w:val="auto"/>
                      <w:szCs w:val="21"/>
                      <w:lang w:val="en-US" w:eastAsia="zh-CN"/>
                    </w:rPr>
                  </w:pPr>
                </w:p>
              </w:tc>
              <w:tc>
                <w:tcPr>
                  <w:tcW w:w="885" w:type="dxa"/>
                  <w:vMerge w:val="continue"/>
                  <w:vAlign w:val="center"/>
                </w:tcPr>
                <w:p w14:paraId="5397A415">
                  <w:pPr>
                    <w:keepNext w:val="0"/>
                    <w:keepLines w:val="0"/>
                    <w:pageBreakBefore w:val="0"/>
                    <w:widowControl/>
                    <w:kinsoku/>
                    <w:wordWrap/>
                    <w:overflowPunct/>
                    <w:topLinePunct w:val="0"/>
                    <w:bidi w:val="0"/>
                    <w:adjustRightInd w:val="0"/>
                    <w:snapToGrid w:val="0"/>
                    <w:jc w:val="center"/>
                    <w:rPr>
                      <w:rFonts w:hint="eastAsia"/>
                      <w:color w:val="auto"/>
                      <w:szCs w:val="21"/>
                    </w:rPr>
                  </w:pPr>
                </w:p>
              </w:tc>
              <w:tc>
                <w:tcPr>
                  <w:tcW w:w="1500" w:type="dxa"/>
                  <w:vAlign w:val="center"/>
                </w:tcPr>
                <w:p w14:paraId="531CFFB3">
                  <w:pPr>
                    <w:keepNext w:val="0"/>
                    <w:keepLines w:val="0"/>
                    <w:pageBreakBefore w:val="0"/>
                    <w:kinsoku/>
                    <w:wordWrap/>
                    <w:overflowPunct/>
                    <w:topLinePunct w:val="0"/>
                    <w:bidi w:val="0"/>
                    <w:adjustRightInd w:val="0"/>
                    <w:snapToGrid w:val="0"/>
                    <w:jc w:val="center"/>
                    <w:rPr>
                      <w:rFonts w:hint="default"/>
                      <w:bCs/>
                      <w:color w:val="auto"/>
                      <w:szCs w:val="21"/>
                      <w:lang w:val="en-US" w:eastAsia="zh-CN"/>
                    </w:rPr>
                  </w:pPr>
                  <w:r>
                    <w:rPr>
                      <w:rFonts w:hint="eastAsia"/>
                      <w:bCs/>
                      <w:color w:val="auto"/>
                      <w:szCs w:val="21"/>
                      <w:lang w:val="en-US" w:eastAsia="zh-CN"/>
                    </w:rPr>
                    <w:t>DA005</w:t>
                  </w:r>
                </w:p>
              </w:tc>
              <w:tc>
                <w:tcPr>
                  <w:tcW w:w="1530" w:type="dxa"/>
                  <w:vAlign w:val="center"/>
                </w:tcPr>
                <w:p w14:paraId="0C5E8EBA">
                  <w:pPr>
                    <w:keepNext w:val="0"/>
                    <w:keepLines w:val="0"/>
                    <w:pageBreakBefore w:val="0"/>
                    <w:kinsoku/>
                    <w:wordWrap/>
                    <w:overflowPunct/>
                    <w:topLinePunct w:val="0"/>
                    <w:bidi w:val="0"/>
                    <w:snapToGrid w:val="0"/>
                    <w:jc w:val="center"/>
                    <w:rPr>
                      <w:rFonts w:hint="eastAsia"/>
                      <w:color w:val="auto"/>
                      <w:szCs w:val="21"/>
                      <w:lang w:val="en-US" w:eastAsia="zh-CN"/>
                    </w:rPr>
                  </w:pPr>
                  <w:r>
                    <w:rPr>
                      <w:rFonts w:hint="eastAsia"/>
                      <w:color w:val="auto"/>
                      <w:szCs w:val="21"/>
                      <w:lang w:val="en-US" w:eastAsia="zh-CN"/>
                    </w:rPr>
                    <w:t>NMHC</w:t>
                  </w:r>
                </w:p>
              </w:tc>
              <w:tc>
                <w:tcPr>
                  <w:tcW w:w="1320" w:type="dxa"/>
                  <w:vAlign w:val="center"/>
                </w:tcPr>
                <w:p w14:paraId="0594E0D6">
                  <w:pPr>
                    <w:pStyle w:val="102"/>
                    <w:keepNext w:val="0"/>
                    <w:keepLines w:val="0"/>
                    <w:pageBreakBefore w:val="0"/>
                    <w:kinsoku/>
                    <w:wordWrap/>
                    <w:overflowPunct/>
                    <w:topLinePunct w:val="0"/>
                    <w:autoSpaceDE w:val="0"/>
                    <w:autoSpaceDN w:val="0"/>
                    <w:bidi w:val="0"/>
                    <w:adjustRightInd w:val="0"/>
                    <w:snapToGrid w:val="0"/>
                    <w:spacing w:before="0" w:after="0" w:line="240" w:lineRule="auto"/>
                    <w:ind w:right="0" w:firstLine="0" w:firstLineChars="0"/>
                    <w:jc w:val="center"/>
                    <w:rPr>
                      <w:b w:val="0"/>
                      <w:bCs/>
                      <w:color w:val="auto"/>
                      <w:sz w:val="21"/>
                      <w:szCs w:val="21"/>
                    </w:rPr>
                  </w:pPr>
                  <w:r>
                    <w:rPr>
                      <w:b w:val="0"/>
                      <w:bCs/>
                      <w:color w:val="auto"/>
                      <w:sz w:val="21"/>
                      <w:szCs w:val="21"/>
                    </w:rPr>
                    <w:t>1次/</w:t>
                  </w:r>
                  <w:r>
                    <w:rPr>
                      <w:rFonts w:hint="eastAsia"/>
                      <w:b w:val="0"/>
                      <w:bCs/>
                      <w:color w:val="auto"/>
                      <w:sz w:val="21"/>
                      <w:szCs w:val="21"/>
                      <w:lang w:val="en-US" w:eastAsia="zh-CN"/>
                    </w:rPr>
                    <w:t>半</w:t>
                  </w:r>
                  <w:r>
                    <w:rPr>
                      <w:b w:val="0"/>
                      <w:bCs/>
                      <w:color w:val="auto"/>
                      <w:sz w:val="21"/>
                      <w:szCs w:val="21"/>
                    </w:rPr>
                    <w:t>年</w:t>
                  </w:r>
                </w:p>
              </w:tc>
              <w:tc>
                <w:tcPr>
                  <w:tcW w:w="2694" w:type="dxa"/>
                  <w:vMerge w:val="continue"/>
                  <w:vAlign w:val="center"/>
                </w:tcPr>
                <w:p w14:paraId="3A211E65">
                  <w:pPr>
                    <w:keepNext w:val="0"/>
                    <w:keepLines w:val="0"/>
                    <w:pageBreakBefore w:val="0"/>
                    <w:widowControl/>
                    <w:kinsoku/>
                    <w:wordWrap/>
                    <w:overflowPunct/>
                    <w:topLinePunct w:val="0"/>
                    <w:bidi w:val="0"/>
                    <w:snapToGrid w:val="0"/>
                    <w:jc w:val="center"/>
                    <w:textAlignment w:val="center"/>
                    <w:rPr>
                      <w:rFonts w:hint="default" w:ascii="Times New Roman" w:hAnsi="Times New Roman" w:eastAsia="宋体" w:cs="Times New Roman"/>
                      <w:color w:val="auto"/>
                      <w:sz w:val="21"/>
                      <w:szCs w:val="21"/>
                    </w:rPr>
                  </w:pPr>
                </w:p>
              </w:tc>
            </w:tr>
            <w:tr w14:paraId="31DF95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73" w:type="dxa"/>
                  <w:vMerge w:val="continue"/>
                  <w:vAlign w:val="center"/>
                </w:tcPr>
                <w:p w14:paraId="3E3CB899">
                  <w:pPr>
                    <w:keepNext w:val="0"/>
                    <w:keepLines w:val="0"/>
                    <w:pageBreakBefore w:val="0"/>
                    <w:widowControl/>
                    <w:kinsoku/>
                    <w:wordWrap/>
                    <w:overflowPunct/>
                    <w:topLinePunct w:val="0"/>
                    <w:bidi w:val="0"/>
                    <w:adjustRightInd w:val="0"/>
                    <w:snapToGrid w:val="0"/>
                    <w:jc w:val="center"/>
                    <w:rPr>
                      <w:color w:val="auto"/>
                      <w:szCs w:val="21"/>
                    </w:rPr>
                  </w:pPr>
                </w:p>
              </w:tc>
              <w:tc>
                <w:tcPr>
                  <w:tcW w:w="885" w:type="dxa"/>
                  <w:vMerge w:val="restart"/>
                  <w:vAlign w:val="center"/>
                </w:tcPr>
                <w:p w14:paraId="70DB351C">
                  <w:pPr>
                    <w:keepNext w:val="0"/>
                    <w:keepLines w:val="0"/>
                    <w:pageBreakBefore w:val="0"/>
                    <w:widowControl/>
                    <w:kinsoku/>
                    <w:wordWrap/>
                    <w:overflowPunct/>
                    <w:topLinePunct w:val="0"/>
                    <w:bidi w:val="0"/>
                    <w:adjustRightInd w:val="0"/>
                    <w:snapToGrid w:val="0"/>
                    <w:jc w:val="center"/>
                    <w:rPr>
                      <w:rFonts w:hint="eastAsia" w:eastAsia="宋体"/>
                      <w:color w:val="auto"/>
                      <w:szCs w:val="21"/>
                      <w:lang w:val="en-US" w:eastAsia="zh-CN"/>
                    </w:rPr>
                  </w:pPr>
                  <w:r>
                    <w:rPr>
                      <w:rFonts w:hint="eastAsia"/>
                      <w:color w:val="auto"/>
                      <w:szCs w:val="21"/>
                      <w:lang w:val="en-US" w:eastAsia="zh-CN"/>
                    </w:rPr>
                    <w:t>无组织</w:t>
                  </w:r>
                </w:p>
              </w:tc>
              <w:tc>
                <w:tcPr>
                  <w:tcW w:w="1500" w:type="dxa"/>
                  <w:vAlign w:val="center"/>
                </w:tcPr>
                <w:p w14:paraId="7E148B01">
                  <w:pPr>
                    <w:keepNext w:val="0"/>
                    <w:keepLines w:val="0"/>
                    <w:pageBreakBefore w:val="0"/>
                    <w:kinsoku/>
                    <w:wordWrap/>
                    <w:overflowPunct/>
                    <w:topLinePunct w:val="0"/>
                    <w:bidi w:val="0"/>
                    <w:adjustRightInd w:val="0"/>
                    <w:snapToGrid w:val="0"/>
                    <w:jc w:val="center"/>
                    <w:rPr>
                      <w:rFonts w:hint="eastAsia"/>
                      <w:color w:val="auto"/>
                      <w:szCs w:val="21"/>
                    </w:rPr>
                  </w:pPr>
                  <w:r>
                    <w:rPr>
                      <w:rFonts w:hint="eastAsia"/>
                      <w:color w:val="auto"/>
                      <w:szCs w:val="21"/>
                    </w:rPr>
                    <w:t>厂界</w:t>
                  </w:r>
                </w:p>
              </w:tc>
              <w:tc>
                <w:tcPr>
                  <w:tcW w:w="1530" w:type="dxa"/>
                  <w:vAlign w:val="center"/>
                </w:tcPr>
                <w:p w14:paraId="19F0205E">
                  <w:pPr>
                    <w:keepNext w:val="0"/>
                    <w:keepLines w:val="0"/>
                    <w:pageBreakBefore w:val="0"/>
                    <w:kinsoku/>
                    <w:wordWrap/>
                    <w:overflowPunct/>
                    <w:topLinePunct w:val="0"/>
                    <w:bidi w:val="0"/>
                    <w:snapToGrid w:val="0"/>
                    <w:jc w:val="center"/>
                    <w:rPr>
                      <w:rFonts w:hint="default" w:eastAsia="宋体"/>
                      <w:color w:val="auto"/>
                      <w:szCs w:val="21"/>
                      <w:lang w:val="en-US" w:eastAsia="zh-CN"/>
                    </w:rPr>
                  </w:pPr>
                  <w:r>
                    <w:rPr>
                      <w:rFonts w:hint="eastAsia"/>
                      <w:color w:val="auto"/>
                      <w:szCs w:val="21"/>
                      <w:lang w:val="en-US" w:eastAsia="zh-CN"/>
                    </w:rPr>
                    <w:t>NMHC</w:t>
                  </w:r>
                </w:p>
              </w:tc>
              <w:tc>
                <w:tcPr>
                  <w:tcW w:w="1320" w:type="dxa"/>
                  <w:vAlign w:val="center"/>
                </w:tcPr>
                <w:p w14:paraId="41A43424">
                  <w:pPr>
                    <w:pStyle w:val="102"/>
                    <w:keepNext w:val="0"/>
                    <w:keepLines w:val="0"/>
                    <w:pageBreakBefore w:val="0"/>
                    <w:kinsoku/>
                    <w:wordWrap/>
                    <w:overflowPunct/>
                    <w:topLinePunct w:val="0"/>
                    <w:autoSpaceDE w:val="0"/>
                    <w:autoSpaceDN w:val="0"/>
                    <w:bidi w:val="0"/>
                    <w:adjustRightInd w:val="0"/>
                    <w:snapToGrid w:val="0"/>
                    <w:spacing w:before="0" w:after="0" w:line="240" w:lineRule="auto"/>
                    <w:ind w:right="0" w:firstLine="0" w:firstLineChars="0"/>
                    <w:jc w:val="center"/>
                    <w:rPr>
                      <w:rFonts w:hint="default" w:eastAsia="宋体"/>
                      <w:b w:val="0"/>
                      <w:bCs/>
                      <w:color w:val="auto"/>
                      <w:sz w:val="21"/>
                      <w:szCs w:val="21"/>
                      <w:lang w:val="en-US" w:eastAsia="zh-CN"/>
                    </w:rPr>
                  </w:pPr>
                  <w:r>
                    <w:rPr>
                      <w:rFonts w:hint="eastAsia"/>
                      <w:b w:val="0"/>
                      <w:bCs/>
                      <w:color w:val="auto"/>
                      <w:sz w:val="21"/>
                      <w:szCs w:val="21"/>
                      <w:lang w:val="en-US" w:eastAsia="zh-CN"/>
                    </w:rPr>
                    <w:t>1次/年</w:t>
                  </w:r>
                </w:p>
              </w:tc>
              <w:tc>
                <w:tcPr>
                  <w:tcW w:w="2694" w:type="dxa"/>
                  <w:vAlign w:val="center"/>
                </w:tcPr>
                <w:p w14:paraId="0FE2B2F5">
                  <w:pPr>
                    <w:keepNext w:val="0"/>
                    <w:keepLines w:val="0"/>
                    <w:pageBreakBefore w:val="0"/>
                    <w:widowControl/>
                    <w:kinsoku/>
                    <w:wordWrap/>
                    <w:overflowPunct/>
                    <w:topLinePunct w:val="0"/>
                    <w:bidi w:val="0"/>
                    <w:snapToGrid w:val="0"/>
                    <w:jc w:val="center"/>
                    <w:textAlignment w:val="center"/>
                    <w:rPr>
                      <w:rFonts w:hint="eastAsia"/>
                      <w:color w:val="auto"/>
                    </w:rPr>
                  </w:pPr>
                  <w:r>
                    <w:rPr>
                      <w:rFonts w:hint="eastAsia"/>
                      <w:color w:val="auto"/>
                    </w:rPr>
                    <w:t>《大气污染物综合排放标准》</w:t>
                  </w:r>
                  <w:r>
                    <w:rPr>
                      <w:rFonts w:hint="eastAsia"/>
                      <w:color w:val="auto"/>
                      <w:lang w:eastAsia="zh-CN"/>
                    </w:rPr>
                    <w:t>（</w:t>
                  </w:r>
                  <w:r>
                    <w:rPr>
                      <w:rFonts w:hint="eastAsia"/>
                      <w:color w:val="auto"/>
                    </w:rPr>
                    <w:t>DB32/4041-2021</w:t>
                  </w:r>
                  <w:r>
                    <w:rPr>
                      <w:rFonts w:hint="eastAsia"/>
                      <w:color w:val="auto"/>
                      <w:lang w:eastAsia="zh-CN"/>
                    </w:rPr>
                    <w:t>）</w:t>
                  </w:r>
                </w:p>
              </w:tc>
            </w:tr>
            <w:tr w14:paraId="3A29A5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73" w:type="dxa"/>
                  <w:vMerge w:val="continue"/>
                  <w:vAlign w:val="center"/>
                </w:tcPr>
                <w:p w14:paraId="5C5CB098">
                  <w:pPr>
                    <w:keepNext w:val="0"/>
                    <w:keepLines w:val="0"/>
                    <w:pageBreakBefore w:val="0"/>
                    <w:widowControl/>
                    <w:kinsoku/>
                    <w:wordWrap/>
                    <w:overflowPunct/>
                    <w:topLinePunct w:val="0"/>
                    <w:bidi w:val="0"/>
                    <w:adjustRightInd w:val="0"/>
                    <w:snapToGrid w:val="0"/>
                    <w:jc w:val="center"/>
                    <w:rPr>
                      <w:color w:val="auto"/>
                      <w:szCs w:val="21"/>
                    </w:rPr>
                  </w:pPr>
                </w:p>
              </w:tc>
              <w:tc>
                <w:tcPr>
                  <w:tcW w:w="885" w:type="dxa"/>
                  <w:vMerge w:val="continue"/>
                  <w:vAlign w:val="center"/>
                </w:tcPr>
                <w:p w14:paraId="174BB73C">
                  <w:pPr>
                    <w:keepNext w:val="0"/>
                    <w:keepLines w:val="0"/>
                    <w:pageBreakBefore w:val="0"/>
                    <w:widowControl/>
                    <w:kinsoku/>
                    <w:wordWrap/>
                    <w:overflowPunct/>
                    <w:topLinePunct w:val="0"/>
                    <w:bidi w:val="0"/>
                    <w:adjustRightInd w:val="0"/>
                    <w:snapToGrid w:val="0"/>
                    <w:jc w:val="center"/>
                    <w:rPr>
                      <w:rFonts w:hint="eastAsia"/>
                      <w:color w:val="auto"/>
                      <w:szCs w:val="21"/>
                    </w:rPr>
                  </w:pPr>
                </w:p>
              </w:tc>
              <w:tc>
                <w:tcPr>
                  <w:tcW w:w="1500" w:type="dxa"/>
                  <w:vAlign w:val="center"/>
                </w:tcPr>
                <w:p w14:paraId="2142AA2F">
                  <w:pPr>
                    <w:keepNext w:val="0"/>
                    <w:keepLines w:val="0"/>
                    <w:pageBreakBefore w:val="0"/>
                    <w:kinsoku/>
                    <w:wordWrap/>
                    <w:overflowPunct/>
                    <w:topLinePunct w:val="0"/>
                    <w:bidi w:val="0"/>
                    <w:adjustRightInd w:val="0"/>
                    <w:snapToGrid w:val="0"/>
                    <w:jc w:val="center"/>
                    <w:rPr>
                      <w:rFonts w:hint="default" w:eastAsia="宋体"/>
                      <w:color w:val="auto"/>
                      <w:szCs w:val="21"/>
                      <w:lang w:val="en-US" w:eastAsia="zh-CN"/>
                    </w:rPr>
                  </w:pPr>
                  <w:r>
                    <w:rPr>
                      <w:rFonts w:hint="eastAsia"/>
                      <w:color w:val="auto"/>
                      <w:szCs w:val="21"/>
                      <w:lang w:val="en-US" w:eastAsia="zh-CN"/>
                    </w:rPr>
                    <w:t>厂区内厂房外</w:t>
                  </w:r>
                </w:p>
              </w:tc>
              <w:tc>
                <w:tcPr>
                  <w:tcW w:w="1530" w:type="dxa"/>
                  <w:vAlign w:val="center"/>
                </w:tcPr>
                <w:p w14:paraId="5B023C55">
                  <w:pPr>
                    <w:keepNext w:val="0"/>
                    <w:keepLines w:val="0"/>
                    <w:pageBreakBefore w:val="0"/>
                    <w:kinsoku/>
                    <w:wordWrap/>
                    <w:overflowPunct/>
                    <w:topLinePunct w:val="0"/>
                    <w:bidi w:val="0"/>
                    <w:snapToGrid w:val="0"/>
                    <w:jc w:val="center"/>
                    <w:rPr>
                      <w:rFonts w:hint="default"/>
                      <w:color w:val="auto"/>
                      <w:szCs w:val="21"/>
                      <w:lang w:val="en-US" w:eastAsia="zh-CN"/>
                    </w:rPr>
                  </w:pPr>
                  <w:r>
                    <w:rPr>
                      <w:rFonts w:hint="eastAsia"/>
                      <w:color w:val="auto"/>
                      <w:szCs w:val="21"/>
                      <w:lang w:val="en-US" w:eastAsia="zh-CN"/>
                    </w:rPr>
                    <w:t>NMHC</w:t>
                  </w:r>
                </w:p>
              </w:tc>
              <w:tc>
                <w:tcPr>
                  <w:tcW w:w="1320" w:type="dxa"/>
                  <w:vAlign w:val="center"/>
                </w:tcPr>
                <w:p w14:paraId="26EDBD5C">
                  <w:pPr>
                    <w:pStyle w:val="102"/>
                    <w:keepNext w:val="0"/>
                    <w:keepLines w:val="0"/>
                    <w:pageBreakBefore w:val="0"/>
                    <w:kinsoku/>
                    <w:wordWrap/>
                    <w:overflowPunct/>
                    <w:topLinePunct w:val="0"/>
                    <w:autoSpaceDE w:val="0"/>
                    <w:autoSpaceDN w:val="0"/>
                    <w:bidi w:val="0"/>
                    <w:adjustRightInd w:val="0"/>
                    <w:snapToGrid w:val="0"/>
                    <w:spacing w:before="0" w:after="0" w:line="240" w:lineRule="auto"/>
                    <w:ind w:right="0" w:firstLine="0" w:firstLineChars="0"/>
                    <w:jc w:val="center"/>
                    <w:rPr>
                      <w:rFonts w:hint="default"/>
                      <w:b w:val="0"/>
                      <w:bCs/>
                      <w:color w:val="auto"/>
                      <w:sz w:val="21"/>
                      <w:szCs w:val="21"/>
                      <w:lang w:val="en-US" w:eastAsia="zh-CN"/>
                    </w:rPr>
                  </w:pPr>
                  <w:r>
                    <w:rPr>
                      <w:rFonts w:hint="eastAsia"/>
                      <w:b w:val="0"/>
                      <w:bCs/>
                      <w:color w:val="auto"/>
                      <w:sz w:val="21"/>
                      <w:szCs w:val="21"/>
                      <w:lang w:val="en-US" w:eastAsia="zh-CN"/>
                    </w:rPr>
                    <w:t>1次/半年</w:t>
                  </w:r>
                </w:p>
              </w:tc>
              <w:tc>
                <w:tcPr>
                  <w:tcW w:w="2694" w:type="dxa"/>
                  <w:vAlign w:val="center"/>
                </w:tcPr>
                <w:p w14:paraId="413522CB">
                  <w:pPr>
                    <w:keepNext w:val="0"/>
                    <w:keepLines w:val="0"/>
                    <w:pageBreakBefore w:val="0"/>
                    <w:widowControl/>
                    <w:kinsoku/>
                    <w:wordWrap/>
                    <w:overflowPunct/>
                    <w:topLinePunct w:val="0"/>
                    <w:bidi w:val="0"/>
                    <w:snapToGrid w:val="0"/>
                    <w:jc w:val="center"/>
                    <w:textAlignment w:val="center"/>
                    <w:rPr>
                      <w:rFonts w:hint="eastAsia"/>
                      <w:color w:val="auto"/>
                    </w:rPr>
                  </w:pPr>
                  <w:r>
                    <w:rPr>
                      <w:rFonts w:hint="eastAsia"/>
                      <w:color w:val="auto"/>
                    </w:rPr>
                    <w:t>《玻璃工业大气污染物排放标准》</w:t>
                  </w:r>
                  <w:r>
                    <w:rPr>
                      <w:rFonts w:hint="eastAsia"/>
                      <w:color w:val="auto"/>
                      <w:lang w:eastAsia="zh-CN"/>
                    </w:rPr>
                    <w:t>（</w:t>
                  </w:r>
                  <w:r>
                    <w:rPr>
                      <w:rFonts w:hint="eastAsia"/>
                      <w:color w:val="auto"/>
                    </w:rPr>
                    <w:t>GB26453-2022</w:t>
                  </w:r>
                  <w:r>
                    <w:rPr>
                      <w:rFonts w:hint="eastAsia"/>
                      <w:color w:val="auto"/>
                      <w:lang w:eastAsia="zh-CN"/>
                    </w:rPr>
                    <w:t>）</w:t>
                  </w:r>
                </w:p>
              </w:tc>
            </w:tr>
          </w:tbl>
          <w:p w14:paraId="7C3F31D3">
            <w:pPr>
              <w:keepNext w:val="0"/>
              <w:keepLines w:val="0"/>
              <w:pageBreakBefore w:val="0"/>
              <w:widowControl w:val="0"/>
              <w:numPr>
                <w:ilvl w:val="0"/>
                <w:numId w:val="0"/>
              </w:numPr>
              <w:kinsoku/>
              <w:wordWrap/>
              <w:overflowPunct/>
              <w:topLinePunct w:val="0"/>
              <w:autoSpaceDE/>
              <w:autoSpaceDN/>
              <w:bidi w:val="0"/>
              <w:adjustRightInd w:val="0"/>
              <w:snapToGrid w:val="0"/>
              <w:spacing w:before="148" w:beforeLines="50" w:line="360" w:lineRule="auto"/>
              <w:textAlignment w:val="auto"/>
              <w:rPr>
                <w:rFonts w:hint="eastAsia" w:cs="Times New Roman"/>
                <w:b/>
                <w:bCs/>
                <w:color w:val="auto"/>
                <w:kern w:val="2"/>
                <w:sz w:val="21"/>
                <w:szCs w:val="21"/>
                <w:lang w:val="en-US" w:eastAsia="zh-CN" w:bidi="ar-SA"/>
              </w:rPr>
            </w:pPr>
            <w:r>
              <w:rPr>
                <w:rFonts w:hint="eastAsia" w:cs="Times New Roman"/>
                <w:b/>
                <w:bCs/>
                <w:color w:val="auto"/>
                <w:kern w:val="2"/>
                <w:sz w:val="21"/>
                <w:szCs w:val="21"/>
                <w:lang w:val="en-US" w:eastAsia="zh-CN" w:bidi="ar-SA"/>
              </w:rPr>
              <w:t>1.6非正常工况</w:t>
            </w:r>
          </w:p>
          <w:p w14:paraId="09C6A17C">
            <w:pPr>
              <w:pageBreakBefore w:val="0"/>
              <w:tabs>
                <w:tab w:val="left" w:pos="850"/>
              </w:tabs>
              <w:kinsoku/>
              <w:wordWrap/>
              <w:overflowPunct/>
              <w:topLinePunct w:val="0"/>
              <w:bidi w:val="0"/>
              <w:adjustRightInd w:val="0"/>
              <w:snapToGrid w:val="0"/>
              <w:spacing w:line="360" w:lineRule="auto"/>
              <w:ind w:firstLine="420" w:firstLineChars="200"/>
              <w:jc w:val="left"/>
              <w:rPr>
                <w:color w:val="auto"/>
                <w:szCs w:val="21"/>
              </w:rPr>
            </w:pPr>
            <w:r>
              <w:rPr>
                <w:rFonts w:hint="eastAsia"/>
                <w:color w:val="auto"/>
                <w:szCs w:val="21"/>
              </w:rPr>
              <w:t>非正常工况指生产过程中开停车、设备检修、工艺设备运转异常等非正常工况下的污染物排放，以及污染物排放控制措施达不到应有效率等情况下的排放。</w:t>
            </w:r>
            <w:r>
              <w:rPr>
                <w:color w:val="auto"/>
                <w:szCs w:val="21"/>
              </w:rPr>
              <w:t>本项目非正常工况主要考虑废气处理装置发生故障，导致废气去除效率降低的情况。</w:t>
            </w:r>
          </w:p>
          <w:p w14:paraId="71D0954A">
            <w:pPr>
              <w:pageBreakBefore w:val="0"/>
              <w:tabs>
                <w:tab w:val="left" w:pos="850"/>
              </w:tabs>
              <w:kinsoku/>
              <w:wordWrap/>
              <w:overflowPunct/>
              <w:topLinePunct w:val="0"/>
              <w:bidi w:val="0"/>
              <w:adjustRightInd w:val="0"/>
              <w:snapToGrid w:val="0"/>
              <w:spacing w:line="360" w:lineRule="auto"/>
              <w:ind w:firstLine="420" w:firstLineChars="200"/>
              <w:jc w:val="left"/>
              <w:rPr>
                <w:rFonts w:hint="eastAsia"/>
                <w:color w:val="auto"/>
                <w:szCs w:val="21"/>
              </w:rPr>
            </w:pPr>
            <w:r>
              <w:rPr>
                <w:rFonts w:hint="eastAsia"/>
                <w:color w:val="auto"/>
                <w:szCs w:val="21"/>
              </w:rPr>
              <w:t>根据工程分析，假设废气处理装置故障，处理效率为0%，非正常排放时间取事故发生后0.5h。本着最不利影响原则，将非正常排放源强确定为项目产生的污染物不经任何处理直接排放。</w:t>
            </w:r>
          </w:p>
          <w:p w14:paraId="7D04F8F4">
            <w:pPr>
              <w:pageBreakBefore w:val="0"/>
              <w:tabs>
                <w:tab w:val="left" w:pos="850"/>
              </w:tabs>
              <w:kinsoku/>
              <w:wordWrap/>
              <w:overflowPunct/>
              <w:topLinePunct w:val="0"/>
              <w:bidi w:val="0"/>
              <w:adjustRightInd w:val="0"/>
              <w:snapToGrid w:val="0"/>
              <w:spacing w:line="360" w:lineRule="auto"/>
              <w:ind w:firstLine="420" w:firstLineChars="200"/>
              <w:jc w:val="left"/>
              <w:rPr>
                <w:rFonts w:hint="eastAsia"/>
                <w:color w:val="auto"/>
                <w:szCs w:val="21"/>
              </w:rPr>
            </w:pPr>
            <w:r>
              <w:rPr>
                <w:rFonts w:hint="default" w:ascii="Times New Roman" w:hAnsi="Times New Roman" w:cs="Times New Roman"/>
                <w:color w:val="auto"/>
                <w:sz w:val="21"/>
                <w:szCs w:val="21"/>
                <w:highlight w:val="none"/>
              </w:rPr>
              <w:t>项目废气非正常排放情况具体见</w:t>
            </w:r>
            <w:r>
              <w:rPr>
                <w:rFonts w:hint="eastAsia" w:cs="Times New Roman"/>
                <w:color w:val="auto"/>
                <w:sz w:val="21"/>
                <w:szCs w:val="21"/>
                <w:highlight w:val="none"/>
                <w:lang w:val="en-US" w:eastAsia="zh-CN"/>
              </w:rPr>
              <w:t>下表</w:t>
            </w:r>
            <w:r>
              <w:rPr>
                <w:rFonts w:hint="default" w:ascii="Times New Roman" w:hAnsi="Times New Roman" w:cs="Times New Roman"/>
                <w:color w:val="auto"/>
                <w:sz w:val="21"/>
                <w:szCs w:val="21"/>
                <w:highlight w:val="none"/>
              </w:rPr>
              <w:t>。</w:t>
            </w:r>
          </w:p>
          <w:p w14:paraId="4DE87989">
            <w:pPr>
              <w:pStyle w:val="4"/>
              <w:pageBreakBefore w:val="0"/>
              <w:kinsoku/>
              <w:wordWrap/>
              <w:overflowPunct/>
              <w:topLinePunct w:val="0"/>
              <w:bidi w:val="0"/>
              <w:snapToGrid w:val="0"/>
              <w:spacing w:before="120" w:beforeLines="50" w:beforeAutospacing="0" w:after="0" w:afterAutospacing="0"/>
              <w:jc w:val="center"/>
              <w:rPr>
                <w:color w:val="auto"/>
                <w:sz w:val="21"/>
                <w:szCs w:val="21"/>
              </w:rPr>
            </w:pPr>
            <w:bookmarkStart w:id="16" w:name="_Toc40"/>
            <w:r>
              <w:rPr>
                <w:color w:val="auto"/>
                <w:sz w:val="21"/>
                <w:szCs w:val="21"/>
              </w:rPr>
              <w:t>表</w:t>
            </w:r>
            <w:r>
              <w:rPr>
                <w:rFonts w:ascii="Times New Roman" w:hAnsi="Calibri" w:cs="Times New Roman"/>
                <w:color w:val="auto"/>
                <w:kern w:val="2"/>
                <w:sz w:val="21"/>
                <w:szCs w:val="21"/>
                <w:lang w:bidi="ar-SA"/>
              </w:rPr>
              <w:t>4-1</w:t>
            </w:r>
            <w:r>
              <w:rPr>
                <w:rFonts w:hint="eastAsia" w:ascii="Times New Roman" w:hAnsi="Calibri" w:cs="Times New Roman"/>
                <w:color w:val="auto"/>
                <w:kern w:val="2"/>
                <w:sz w:val="21"/>
                <w:szCs w:val="21"/>
                <w:lang w:val="en-US" w:eastAsia="zh-CN" w:bidi="ar-SA"/>
              </w:rPr>
              <w:t>3</w:t>
            </w:r>
            <w:r>
              <w:rPr>
                <w:color w:val="auto"/>
                <w:sz w:val="21"/>
                <w:szCs w:val="21"/>
              </w:rPr>
              <w:t xml:space="preserve"> 污染源非正常排放量核算表</w:t>
            </w:r>
            <w:bookmarkEnd w:id="16"/>
          </w:p>
          <w:tbl>
            <w:tblPr>
              <w:tblStyle w:val="30"/>
              <w:tblW w:w="859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75"/>
              <w:gridCol w:w="929"/>
              <w:gridCol w:w="913"/>
              <w:gridCol w:w="1265"/>
              <w:gridCol w:w="1236"/>
              <w:gridCol w:w="849"/>
              <w:gridCol w:w="886"/>
              <w:gridCol w:w="1844"/>
            </w:tblGrid>
            <w:tr w14:paraId="37837C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3" w:hRule="atLeast"/>
                <w:tblHeader/>
                <w:jc w:val="center"/>
              </w:trPr>
              <w:tc>
                <w:tcPr>
                  <w:tcW w:w="675" w:type="dxa"/>
                  <w:noWrap w:val="0"/>
                  <w:vAlign w:val="center"/>
                </w:tcPr>
                <w:p w14:paraId="3CBBA7DE">
                  <w:pPr>
                    <w:pStyle w:val="85"/>
                    <w:pageBreakBefore w:val="0"/>
                    <w:kinsoku/>
                    <w:wordWrap/>
                    <w:overflowPunct/>
                    <w:topLinePunct w:val="0"/>
                    <w:bidi w:val="0"/>
                    <w:snapToGrid w:val="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污染源</w:t>
                  </w:r>
                </w:p>
              </w:tc>
              <w:tc>
                <w:tcPr>
                  <w:tcW w:w="929" w:type="dxa"/>
                  <w:noWrap w:val="0"/>
                  <w:vAlign w:val="center"/>
                </w:tcPr>
                <w:p w14:paraId="45A78927">
                  <w:pPr>
                    <w:pStyle w:val="85"/>
                    <w:pageBreakBefore w:val="0"/>
                    <w:kinsoku/>
                    <w:wordWrap/>
                    <w:overflowPunct/>
                    <w:topLinePunct w:val="0"/>
                    <w:bidi w:val="0"/>
                    <w:snapToGrid w:val="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非正常排放原因</w:t>
                  </w:r>
                </w:p>
              </w:tc>
              <w:tc>
                <w:tcPr>
                  <w:tcW w:w="913" w:type="dxa"/>
                  <w:noWrap w:val="0"/>
                  <w:vAlign w:val="center"/>
                </w:tcPr>
                <w:p w14:paraId="2EE9FB60">
                  <w:pPr>
                    <w:pStyle w:val="85"/>
                    <w:pageBreakBefore w:val="0"/>
                    <w:kinsoku/>
                    <w:wordWrap/>
                    <w:overflowPunct/>
                    <w:topLinePunct w:val="0"/>
                    <w:bidi w:val="0"/>
                    <w:snapToGrid w:val="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污染物</w:t>
                  </w:r>
                </w:p>
              </w:tc>
              <w:tc>
                <w:tcPr>
                  <w:tcW w:w="1265" w:type="dxa"/>
                  <w:noWrap w:val="0"/>
                  <w:vAlign w:val="center"/>
                </w:tcPr>
                <w:p w14:paraId="52F810ED">
                  <w:pPr>
                    <w:pStyle w:val="85"/>
                    <w:pageBreakBefore w:val="0"/>
                    <w:kinsoku/>
                    <w:wordWrap/>
                    <w:overflowPunct/>
                    <w:topLinePunct w:val="0"/>
                    <w:bidi w:val="0"/>
                    <w:snapToGrid w:val="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非正常排放浓度/（mg/m</w:t>
                  </w:r>
                  <w:r>
                    <w:rPr>
                      <w:rFonts w:hint="default" w:ascii="Times New Roman" w:hAnsi="Times New Roman" w:cs="Times New Roman" w:eastAsiaTheme="minorEastAsia"/>
                      <w:color w:val="auto"/>
                      <w:sz w:val="21"/>
                      <w:szCs w:val="21"/>
                      <w:vertAlign w:val="superscript"/>
                    </w:rPr>
                    <w:t>3</w:t>
                  </w:r>
                  <w:r>
                    <w:rPr>
                      <w:rFonts w:hint="default" w:ascii="Times New Roman" w:hAnsi="Times New Roman" w:cs="Times New Roman" w:eastAsiaTheme="minorEastAsia"/>
                      <w:color w:val="auto"/>
                      <w:sz w:val="21"/>
                      <w:szCs w:val="21"/>
                    </w:rPr>
                    <w:t>）</w:t>
                  </w:r>
                </w:p>
              </w:tc>
              <w:tc>
                <w:tcPr>
                  <w:tcW w:w="1236" w:type="dxa"/>
                  <w:noWrap w:val="0"/>
                  <w:vAlign w:val="center"/>
                </w:tcPr>
                <w:p w14:paraId="01DD6024">
                  <w:pPr>
                    <w:pStyle w:val="85"/>
                    <w:pageBreakBefore w:val="0"/>
                    <w:kinsoku/>
                    <w:wordWrap/>
                    <w:overflowPunct/>
                    <w:topLinePunct w:val="0"/>
                    <w:bidi w:val="0"/>
                    <w:snapToGrid w:val="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非正常排放速率/（kg/h）</w:t>
                  </w:r>
                </w:p>
              </w:tc>
              <w:tc>
                <w:tcPr>
                  <w:tcW w:w="849" w:type="dxa"/>
                  <w:noWrap w:val="0"/>
                  <w:vAlign w:val="center"/>
                </w:tcPr>
                <w:p w14:paraId="02ACF7BD">
                  <w:pPr>
                    <w:pStyle w:val="85"/>
                    <w:pageBreakBefore w:val="0"/>
                    <w:kinsoku/>
                    <w:wordWrap/>
                    <w:overflowPunct/>
                    <w:topLinePunct w:val="0"/>
                    <w:bidi w:val="0"/>
                    <w:snapToGrid w:val="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单次持续时间/h</w:t>
                  </w:r>
                </w:p>
              </w:tc>
              <w:tc>
                <w:tcPr>
                  <w:tcW w:w="886" w:type="dxa"/>
                  <w:noWrap w:val="0"/>
                  <w:vAlign w:val="center"/>
                </w:tcPr>
                <w:p w14:paraId="06965CB2">
                  <w:pPr>
                    <w:pStyle w:val="85"/>
                    <w:pageBreakBefore w:val="0"/>
                    <w:kinsoku/>
                    <w:wordWrap/>
                    <w:overflowPunct/>
                    <w:topLinePunct w:val="0"/>
                    <w:bidi w:val="0"/>
                    <w:snapToGrid w:val="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年发生频次/次</w:t>
                  </w:r>
                </w:p>
              </w:tc>
              <w:tc>
                <w:tcPr>
                  <w:tcW w:w="1844" w:type="dxa"/>
                  <w:noWrap w:val="0"/>
                  <w:vAlign w:val="center"/>
                </w:tcPr>
                <w:p w14:paraId="6ADF2941">
                  <w:pPr>
                    <w:pStyle w:val="85"/>
                    <w:pageBreakBefore w:val="0"/>
                    <w:kinsoku/>
                    <w:wordWrap/>
                    <w:overflowPunct/>
                    <w:topLinePunct w:val="0"/>
                    <w:bidi w:val="0"/>
                    <w:snapToGrid w:val="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应对措施</w:t>
                  </w:r>
                </w:p>
              </w:tc>
            </w:tr>
            <w:tr w14:paraId="0C8410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1" w:hRule="atLeast"/>
                <w:tblHeader/>
                <w:jc w:val="center"/>
              </w:trPr>
              <w:tc>
                <w:tcPr>
                  <w:tcW w:w="675" w:type="dxa"/>
                  <w:noWrap w:val="0"/>
                  <w:vAlign w:val="center"/>
                </w:tcPr>
                <w:p w14:paraId="738816C2">
                  <w:pPr>
                    <w:pageBreakBefore w:val="0"/>
                    <w:kinsoku/>
                    <w:wordWrap/>
                    <w:overflowPunct/>
                    <w:topLinePunct w:val="0"/>
                    <w:bidi w:val="0"/>
                    <w:adjustRightInd w:val="0"/>
                    <w:snapToGrid w:val="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lang w:val="en-US" w:eastAsia="zh-CN"/>
                    </w:rPr>
                    <w:t>DA002</w:t>
                  </w:r>
                </w:p>
              </w:tc>
              <w:tc>
                <w:tcPr>
                  <w:tcW w:w="929" w:type="dxa"/>
                  <w:noWrap w:val="0"/>
                  <w:vAlign w:val="center"/>
                </w:tcPr>
                <w:p w14:paraId="20AEBF40">
                  <w:pPr>
                    <w:pageBreakBefore w:val="0"/>
                    <w:kinsoku/>
                    <w:wordWrap/>
                    <w:overflowPunct/>
                    <w:topLinePunct w:val="0"/>
                    <w:bidi w:val="0"/>
                    <w:adjustRightInd w:val="0"/>
                    <w:snapToGrid w:val="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设施故障</w:t>
                  </w:r>
                </w:p>
              </w:tc>
              <w:tc>
                <w:tcPr>
                  <w:tcW w:w="913" w:type="dxa"/>
                  <w:noWrap w:val="0"/>
                  <w:vAlign w:val="center"/>
                </w:tcPr>
                <w:p w14:paraId="41AAAF3A">
                  <w:pPr>
                    <w:pageBreakBefore w:val="0"/>
                    <w:widowControl/>
                    <w:kinsoku/>
                    <w:wordWrap/>
                    <w:overflowPunct/>
                    <w:topLinePunct w:val="0"/>
                    <w:bidi w:val="0"/>
                    <w:snapToGrid w:val="0"/>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NMHC</w:t>
                  </w:r>
                </w:p>
              </w:tc>
              <w:tc>
                <w:tcPr>
                  <w:tcW w:w="1265" w:type="dxa"/>
                  <w:shd w:val="clear" w:color="auto" w:fill="auto"/>
                  <w:noWrap w:val="0"/>
                  <w:vAlign w:val="center"/>
                </w:tcPr>
                <w:p w14:paraId="63FBB43A">
                  <w:pPr>
                    <w:jc w:val="center"/>
                    <w:rPr>
                      <w:rFonts w:hint="default" w:ascii="Times New Roman" w:hAnsi="Times New Roman" w:eastAsia="宋体" w:cs="Times New Roman"/>
                      <w:b w:val="0"/>
                      <w:bCs w:val="0"/>
                      <w:kern w:val="2"/>
                      <w:sz w:val="21"/>
                      <w:szCs w:val="24"/>
                      <w:vertAlign w:val="baseline"/>
                      <w:lang w:val="en-US" w:eastAsia="zh-CN" w:bidi="ar-SA"/>
                    </w:rPr>
                  </w:pPr>
                  <w:r>
                    <w:rPr>
                      <w:rFonts w:hint="eastAsia"/>
                      <w:b w:val="0"/>
                      <w:bCs w:val="0"/>
                      <w:vertAlign w:val="baseline"/>
                      <w:lang w:val="en-US" w:eastAsia="zh-CN"/>
                    </w:rPr>
                    <w:t>50.5</w:t>
                  </w:r>
                </w:p>
              </w:tc>
              <w:tc>
                <w:tcPr>
                  <w:tcW w:w="1236" w:type="dxa"/>
                  <w:shd w:val="clear" w:color="auto" w:fill="auto"/>
                  <w:noWrap w:val="0"/>
                  <w:vAlign w:val="center"/>
                </w:tcPr>
                <w:p w14:paraId="48645E0B">
                  <w:pPr>
                    <w:jc w:val="center"/>
                    <w:rPr>
                      <w:rFonts w:hint="default" w:ascii="Times New Roman" w:hAnsi="Times New Roman" w:eastAsia="宋体" w:cs="Times New Roman"/>
                      <w:b w:val="0"/>
                      <w:bCs w:val="0"/>
                      <w:kern w:val="2"/>
                      <w:sz w:val="21"/>
                      <w:szCs w:val="24"/>
                      <w:vertAlign w:val="baseline"/>
                      <w:lang w:val="en-US" w:eastAsia="zh-CN" w:bidi="ar-SA"/>
                    </w:rPr>
                  </w:pPr>
                  <w:r>
                    <w:rPr>
                      <w:rFonts w:hint="eastAsia"/>
                      <w:b w:val="0"/>
                      <w:bCs w:val="0"/>
                      <w:vertAlign w:val="baseline"/>
                      <w:lang w:val="en-US" w:eastAsia="zh-CN"/>
                    </w:rPr>
                    <w:t>0.69</w:t>
                  </w:r>
                </w:p>
              </w:tc>
              <w:tc>
                <w:tcPr>
                  <w:tcW w:w="849" w:type="dxa"/>
                  <w:noWrap w:val="0"/>
                  <w:vAlign w:val="center"/>
                </w:tcPr>
                <w:p w14:paraId="74C1134B">
                  <w:pPr>
                    <w:pageBreakBefore w:val="0"/>
                    <w:kinsoku/>
                    <w:wordWrap/>
                    <w:overflowPunct/>
                    <w:topLinePunct w:val="0"/>
                    <w:bidi w:val="0"/>
                    <w:adjustRightInd w:val="0"/>
                    <w:snapToGrid w:val="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0.5</w:t>
                  </w:r>
                </w:p>
              </w:tc>
              <w:tc>
                <w:tcPr>
                  <w:tcW w:w="886" w:type="dxa"/>
                  <w:noWrap w:val="0"/>
                  <w:vAlign w:val="center"/>
                </w:tcPr>
                <w:p w14:paraId="1978336E">
                  <w:pPr>
                    <w:pageBreakBefore w:val="0"/>
                    <w:kinsoku/>
                    <w:wordWrap/>
                    <w:overflowPunct/>
                    <w:topLinePunct w:val="0"/>
                    <w:bidi w:val="0"/>
                    <w:adjustRightInd w:val="0"/>
                    <w:snapToGrid w:val="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≤1</w:t>
                  </w:r>
                </w:p>
              </w:tc>
              <w:tc>
                <w:tcPr>
                  <w:tcW w:w="1844" w:type="dxa"/>
                  <w:vMerge w:val="restart"/>
                  <w:noWrap w:val="0"/>
                  <w:vAlign w:val="center"/>
                </w:tcPr>
                <w:p w14:paraId="564BAF9D">
                  <w:pPr>
                    <w:pageBreakBefore w:val="0"/>
                    <w:kinsoku/>
                    <w:wordWrap/>
                    <w:overflowPunct/>
                    <w:topLinePunct w:val="0"/>
                    <w:bidi w:val="0"/>
                    <w:adjustRightInd w:val="0"/>
                    <w:snapToGrid w:val="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加强在岗人员培训，按规定及时对设备维修保养，保证处理效率</w:t>
                  </w:r>
                </w:p>
              </w:tc>
            </w:tr>
            <w:tr w14:paraId="3E20F9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87" w:hRule="atLeast"/>
                <w:tblHeader/>
                <w:jc w:val="center"/>
              </w:trPr>
              <w:tc>
                <w:tcPr>
                  <w:tcW w:w="675" w:type="dxa"/>
                  <w:noWrap w:val="0"/>
                  <w:vAlign w:val="center"/>
                </w:tcPr>
                <w:p w14:paraId="4C223F2C">
                  <w:pPr>
                    <w:pageBreakBefore w:val="0"/>
                    <w:kinsoku/>
                    <w:wordWrap/>
                    <w:overflowPunct/>
                    <w:topLinePunct w:val="0"/>
                    <w:bidi w:val="0"/>
                    <w:adjustRightInd w:val="0"/>
                    <w:snapToGrid w:val="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lang w:val="en-US" w:eastAsia="zh-CN"/>
                    </w:rPr>
                    <w:t>DA00</w:t>
                  </w:r>
                  <w:r>
                    <w:rPr>
                      <w:rFonts w:hint="eastAsia" w:ascii="Times New Roman" w:hAnsi="Times New Roman" w:cs="Times New Roman" w:eastAsiaTheme="minorEastAsia"/>
                      <w:color w:val="auto"/>
                      <w:sz w:val="21"/>
                      <w:szCs w:val="21"/>
                      <w:lang w:val="en-US" w:eastAsia="zh-CN"/>
                    </w:rPr>
                    <w:t>5</w:t>
                  </w:r>
                </w:p>
              </w:tc>
              <w:tc>
                <w:tcPr>
                  <w:tcW w:w="929" w:type="dxa"/>
                  <w:noWrap w:val="0"/>
                  <w:vAlign w:val="center"/>
                </w:tcPr>
                <w:p w14:paraId="3B3802B7">
                  <w:pPr>
                    <w:pageBreakBefore w:val="0"/>
                    <w:kinsoku/>
                    <w:wordWrap/>
                    <w:overflowPunct/>
                    <w:topLinePunct w:val="0"/>
                    <w:bidi w:val="0"/>
                    <w:adjustRightInd w:val="0"/>
                    <w:snapToGrid w:val="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设施故障</w:t>
                  </w:r>
                </w:p>
              </w:tc>
              <w:tc>
                <w:tcPr>
                  <w:tcW w:w="913" w:type="dxa"/>
                  <w:noWrap w:val="0"/>
                  <w:vAlign w:val="center"/>
                </w:tcPr>
                <w:p w14:paraId="6E6947D0">
                  <w:pPr>
                    <w:pageBreakBefore w:val="0"/>
                    <w:kinsoku/>
                    <w:wordWrap/>
                    <w:overflowPunct/>
                    <w:topLinePunct w:val="0"/>
                    <w:bidi w:val="0"/>
                    <w:snapToGrid w:val="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NMHC</w:t>
                  </w:r>
                </w:p>
              </w:tc>
              <w:tc>
                <w:tcPr>
                  <w:tcW w:w="1265" w:type="dxa"/>
                  <w:noWrap w:val="0"/>
                  <w:vAlign w:val="center"/>
                </w:tcPr>
                <w:p w14:paraId="08AAA871">
                  <w:pPr>
                    <w:pageBreakBefore w:val="0"/>
                    <w:kinsoku/>
                    <w:wordWrap/>
                    <w:overflowPunct/>
                    <w:topLinePunct w:val="0"/>
                    <w:bidi w:val="0"/>
                    <w:snapToGrid w:val="0"/>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sz w:val="21"/>
                      <w:szCs w:val="21"/>
                      <w:lang w:val="en-US" w:eastAsia="zh-CN"/>
                    </w:rPr>
                    <w:t>0.6</w:t>
                  </w:r>
                </w:p>
              </w:tc>
              <w:tc>
                <w:tcPr>
                  <w:tcW w:w="1236" w:type="dxa"/>
                  <w:noWrap w:val="0"/>
                  <w:vAlign w:val="center"/>
                </w:tcPr>
                <w:p w14:paraId="7059DCE3">
                  <w:pPr>
                    <w:pageBreakBefore w:val="0"/>
                    <w:kinsoku/>
                    <w:wordWrap/>
                    <w:overflowPunct/>
                    <w:topLinePunct w:val="0"/>
                    <w:bidi w:val="0"/>
                    <w:snapToGrid w:val="0"/>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sz w:val="21"/>
                      <w:szCs w:val="21"/>
                      <w:lang w:val="en-US" w:eastAsia="zh-CN"/>
                    </w:rPr>
                    <w:t>0.003</w:t>
                  </w:r>
                </w:p>
              </w:tc>
              <w:tc>
                <w:tcPr>
                  <w:tcW w:w="849" w:type="dxa"/>
                  <w:noWrap w:val="0"/>
                  <w:vAlign w:val="center"/>
                </w:tcPr>
                <w:p w14:paraId="765228D6">
                  <w:pPr>
                    <w:pageBreakBefore w:val="0"/>
                    <w:kinsoku/>
                    <w:wordWrap/>
                    <w:overflowPunct/>
                    <w:topLinePunct w:val="0"/>
                    <w:bidi w:val="0"/>
                    <w:adjustRightInd w:val="0"/>
                    <w:snapToGrid w:val="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0.5</w:t>
                  </w:r>
                </w:p>
              </w:tc>
              <w:tc>
                <w:tcPr>
                  <w:tcW w:w="886" w:type="dxa"/>
                  <w:noWrap w:val="0"/>
                  <w:vAlign w:val="center"/>
                </w:tcPr>
                <w:p w14:paraId="673FBDB8">
                  <w:pPr>
                    <w:pageBreakBefore w:val="0"/>
                    <w:kinsoku/>
                    <w:wordWrap/>
                    <w:overflowPunct/>
                    <w:topLinePunct w:val="0"/>
                    <w:bidi w:val="0"/>
                    <w:adjustRightInd w:val="0"/>
                    <w:snapToGrid w:val="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≤1</w:t>
                  </w:r>
                </w:p>
              </w:tc>
              <w:tc>
                <w:tcPr>
                  <w:tcW w:w="1844" w:type="dxa"/>
                  <w:vMerge w:val="continue"/>
                  <w:noWrap w:val="0"/>
                  <w:vAlign w:val="center"/>
                </w:tcPr>
                <w:p w14:paraId="2F7E54E7">
                  <w:pPr>
                    <w:pageBreakBefore w:val="0"/>
                    <w:kinsoku/>
                    <w:wordWrap/>
                    <w:overflowPunct/>
                    <w:topLinePunct w:val="0"/>
                    <w:bidi w:val="0"/>
                    <w:adjustRightInd w:val="0"/>
                    <w:snapToGrid w:val="0"/>
                    <w:jc w:val="center"/>
                    <w:rPr>
                      <w:rFonts w:hint="default" w:ascii="Times New Roman" w:hAnsi="Times New Roman" w:cs="Times New Roman" w:eastAsiaTheme="minorEastAsia"/>
                      <w:color w:val="auto"/>
                      <w:sz w:val="21"/>
                      <w:szCs w:val="21"/>
                    </w:rPr>
                  </w:pPr>
                </w:p>
              </w:tc>
            </w:tr>
          </w:tbl>
          <w:p w14:paraId="52B84D97">
            <w:pPr>
              <w:keepNext w:val="0"/>
              <w:keepLines w:val="0"/>
              <w:pageBreakBefore w:val="0"/>
              <w:widowControl w:val="0"/>
              <w:tabs>
                <w:tab w:val="left" w:pos="850"/>
              </w:tabs>
              <w:kinsoku/>
              <w:wordWrap/>
              <w:overflowPunct/>
              <w:topLinePunct w:val="0"/>
              <w:autoSpaceDE/>
              <w:autoSpaceDN/>
              <w:bidi w:val="0"/>
              <w:adjustRightInd w:val="0"/>
              <w:snapToGrid w:val="0"/>
              <w:spacing w:before="148" w:beforeLines="50" w:line="360" w:lineRule="auto"/>
              <w:ind w:right="0" w:firstLine="420" w:firstLineChars="200"/>
              <w:jc w:val="left"/>
              <w:textAlignment w:val="auto"/>
              <w:rPr>
                <w:rFonts w:hint="eastAsia"/>
                <w:color w:val="auto"/>
                <w:szCs w:val="21"/>
              </w:rPr>
            </w:pPr>
            <w:r>
              <w:rPr>
                <w:color w:val="auto"/>
                <w:szCs w:val="21"/>
              </w:rPr>
              <w:t>针对非正常工况，建设单位应加强对废气处理设施及其他环保设施的巡查、维护和保养，</w:t>
            </w:r>
            <w:r>
              <w:rPr>
                <w:rFonts w:hint="eastAsia"/>
                <w:color w:val="auto"/>
                <w:szCs w:val="21"/>
              </w:rPr>
              <w:t>按时更换耗材。</w:t>
            </w:r>
            <w:r>
              <w:rPr>
                <w:color w:val="auto"/>
                <w:szCs w:val="21"/>
              </w:rPr>
              <w:t>一旦发现设施运行异常，应暂停生产，迅速抢修或更换，待废气处理设施运行正常后恢复生产。</w:t>
            </w:r>
          </w:p>
          <w:p w14:paraId="7660B19A">
            <w:pPr>
              <w:pStyle w:val="10"/>
              <w:keepNext w:val="0"/>
              <w:keepLines w:val="0"/>
              <w:pageBreakBefore w:val="0"/>
              <w:kinsoku/>
              <w:wordWrap/>
              <w:overflowPunct/>
              <w:topLinePunct w:val="0"/>
              <w:autoSpaceDE/>
              <w:autoSpaceDN/>
              <w:bidi w:val="0"/>
              <w:snapToGrid w:val="0"/>
              <w:spacing w:before="0" w:after="0" w:line="360" w:lineRule="auto"/>
              <w:ind w:right="0" w:firstLine="420" w:firstLineChars="200"/>
              <w:textAlignment w:val="auto"/>
              <w:rPr>
                <w:rFonts w:hint="default"/>
                <w:lang w:val="en-US" w:eastAsia="zh-CN"/>
              </w:rPr>
            </w:pPr>
            <w:r>
              <w:rPr>
                <w:rFonts w:hint="eastAsia"/>
                <w:color w:val="auto"/>
                <w:sz w:val="21"/>
                <w:szCs w:val="21"/>
              </w:rPr>
              <w:t>项目建设运行后，企业应加强在岗人员培训，按规定及时对设备维修保养，保证处理效率，尽量降低、避免非正常情况的发生，确保生产废气达标排放。</w:t>
            </w:r>
          </w:p>
          <w:p w14:paraId="0FA4562B">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b/>
                <w:bCs/>
                <w:color w:val="auto"/>
                <w:szCs w:val="21"/>
              </w:rPr>
            </w:pPr>
            <w:r>
              <w:rPr>
                <w:rFonts w:hint="eastAsia" w:cs="Times New Roman"/>
                <w:b/>
                <w:bCs/>
                <w:color w:val="auto"/>
                <w:kern w:val="2"/>
                <w:sz w:val="21"/>
                <w:szCs w:val="21"/>
                <w:lang w:val="en-US" w:eastAsia="zh-CN" w:bidi="ar-SA"/>
              </w:rPr>
              <w:t>2、</w:t>
            </w:r>
            <w:r>
              <w:rPr>
                <w:rFonts w:hint="eastAsia"/>
                <w:b/>
                <w:bCs/>
                <w:color w:val="auto"/>
                <w:szCs w:val="21"/>
              </w:rPr>
              <w:t>废水</w:t>
            </w:r>
          </w:p>
          <w:p w14:paraId="0B9F0766">
            <w:pPr>
              <w:pStyle w:val="29"/>
              <w:keepNext w:val="0"/>
              <w:keepLines w:val="0"/>
              <w:pageBreakBefore w:val="0"/>
              <w:kinsoku/>
              <w:wordWrap/>
              <w:overflowPunct/>
              <w:topLinePunct w:val="0"/>
              <w:bidi w:val="0"/>
              <w:snapToGrid w:val="0"/>
              <w:spacing w:before="0" w:after="0" w:line="360" w:lineRule="auto"/>
              <w:ind w:left="0" w:leftChars="0" w:right="0" w:firstLine="0" w:firstLineChars="0"/>
              <w:jc w:val="both"/>
              <w:rPr>
                <w:rFonts w:hint="default" w:eastAsia="宋体"/>
                <w:b/>
                <w:bCs/>
                <w:color w:val="auto"/>
                <w:sz w:val="21"/>
                <w:szCs w:val="16"/>
                <w:lang w:val="en-US" w:eastAsia="zh-CN"/>
              </w:rPr>
            </w:pPr>
            <w:r>
              <w:rPr>
                <w:rFonts w:hint="eastAsia" w:eastAsia="宋体"/>
                <w:b/>
                <w:bCs/>
                <w:color w:val="auto"/>
                <w:sz w:val="21"/>
                <w:szCs w:val="16"/>
                <w:lang w:val="en-US" w:eastAsia="zh-CN"/>
              </w:rPr>
              <w:t>2.1废水产生及排放情况</w:t>
            </w:r>
          </w:p>
          <w:p w14:paraId="25FECA5A">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textAlignment w:val="auto"/>
              <w:rPr>
                <w:rFonts w:hint="eastAsia"/>
                <w:bCs/>
                <w:color w:val="auto"/>
                <w:szCs w:val="21"/>
              </w:rPr>
            </w:pPr>
            <w:r>
              <w:rPr>
                <w:bCs/>
                <w:color w:val="auto"/>
                <w:szCs w:val="21"/>
              </w:rPr>
              <w:t>本</w:t>
            </w:r>
            <w:r>
              <w:rPr>
                <w:rFonts w:hint="eastAsia"/>
                <w:bCs/>
                <w:color w:val="auto"/>
                <w:szCs w:val="21"/>
                <w:lang w:val="en-US" w:eastAsia="zh-CN"/>
              </w:rPr>
              <w:t>次扩建</w:t>
            </w:r>
            <w:r>
              <w:rPr>
                <w:bCs/>
                <w:color w:val="auto"/>
                <w:szCs w:val="21"/>
              </w:rPr>
              <w:t>项目</w:t>
            </w:r>
            <w:r>
              <w:rPr>
                <w:rFonts w:hint="eastAsia"/>
                <w:bCs/>
                <w:color w:val="auto"/>
                <w:szCs w:val="21"/>
              </w:rPr>
              <w:t>生产营运期间有生活污水</w:t>
            </w:r>
            <w:r>
              <w:rPr>
                <w:rFonts w:hint="eastAsia"/>
                <w:bCs/>
                <w:color w:val="auto"/>
                <w:szCs w:val="21"/>
                <w:lang w:val="en-US" w:eastAsia="zh-CN"/>
              </w:rPr>
              <w:t>和生产废水</w:t>
            </w:r>
            <w:r>
              <w:rPr>
                <w:rFonts w:hint="eastAsia"/>
                <w:bCs/>
                <w:color w:val="auto"/>
                <w:szCs w:val="21"/>
              </w:rPr>
              <w:t>产生。</w:t>
            </w:r>
          </w:p>
          <w:p w14:paraId="72CEEE3F">
            <w:pPr>
              <w:keepNext w:val="0"/>
              <w:keepLines w:val="0"/>
              <w:pageBreakBefore w:val="0"/>
              <w:kinsoku/>
              <w:wordWrap/>
              <w:overflowPunct/>
              <w:topLinePunct w:val="0"/>
              <w:bidi w:val="0"/>
              <w:adjustRightInd w:val="0"/>
              <w:snapToGrid w:val="0"/>
              <w:spacing w:line="360" w:lineRule="auto"/>
              <w:ind w:firstLine="420" w:firstLineChars="200"/>
              <w:jc w:val="left"/>
              <w:rPr>
                <w:rFonts w:hint="eastAsia"/>
                <w:bCs/>
                <w:color w:val="auto"/>
                <w:kern w:val="0"/>
                <w:szCs w:val="21"/>
              </w:rPr>
            </w:pPr>
            <w:r>
              <w:rPr>
                <w:rFonts w:hint="eastAsia"/>
                <w:bCs/>
                <w:color w:val="auto"/>
                <w:szCs w:val="21"/>
              </w:rPr>
              <w:t>本项目</w:t>
            </w:r>
            <w:r>
              <w:rPr>
                <w:bCs/>
                <w:color w:val="auto"/>
                <w:kern w:val="0"/>
                <w:szCs w:val="21"/>
              </w:rPr>
              <w:t>生活污水产生量为</w:t>
            </w:r>
            <w:r>
              <w:rPr>
                <w:rFonts w:hint="eastAsia"/>
                <w:bCs/>
                <w:color w:val="auto"/>
                <w:kern w:val="0"/>
                <w:szCs w:val="21"/>
                <w:lang w:val="en-US" w:eastAsia="zh-CN"/>
              </w:rPr>
              <w:t>576</w:t>
            </w:r>
            <w:r>
              <w:rPr>
                <w:rFonts w:hint="eastAsia"/>
                <w:bCs/>
                <w:color w:val="auto"/>
                <w:kern w:val="0"/>
                <w:szCs w:val="21"/>
              </w:rPr>
              <w:t>t/a</w:t>
            </w:r>
            <w:r>
              <w:rPr>
                <w:bCs/>
                <w:color w:val="auto"/>
                <w:kern w:val="0"/>
                <w:szCs w:val="21"/>
              </w:rPr>
              <w:t>。</w:t>
            </w:r>
            <w:r>
              <w:rPr>
                <w:rFonts w:hint="eastAsia"/>
                <w:bCs/>
                <w:color w:val="auto"/>
                <w:kern w:val="0"/>
                <w:szCs w:val="21"/>
              </w:rPr>
              <w:t>参照《排放源统计调查产排污核算方法和系数手册》生活源产排污核算方法和系数手册中生活污水相关污染物浓度，同时结合项目当地生活污水水质情况，本项目主要污染物产生浓度分别为COD</w:t>
            </w:r>
            <w:r>
              <w:rPr>
                <w:rFonts w:hint="eastAsia"/>
                <w:bCs/>
                <w:color w:val="auto"/>
                <w:kern w:val="0"/>
                <w:szCs w:val="21"/>
                <w:lang w:val="en-US" w:eastAsia="zh-CN"/>
              </w:rPr>
              <w:t>450</w:t>
            </w:r>
            <w:r>
              <w:rPr>
                <w:rFonts w:hint="eastAsia"/>
                <w:bCs/>
                <w:color w:val="auto"/>
                <w:kern w:val="0"/>
                <w:szCs w:val="21"/>
              </w:rPr>
              <w:t>mg/L、</w:t>
            </w:r>
            <w:r>
              <w:rPr>
                <w:rFonts w:hint="eastAsia"/>
                <w:color w:val="auto"/>
                <w:szCs w:val="21"/>
              </w:rPr>
              <w:t>BOD</w:t>
            </w:r>
            <w:r>
              <w:rPr>
                <w:rFonts w:hint="eastAsia"/>
                <w:color w:val="auto"/>
                <w:szCs w:val="21"/>
                <w:vertAlign w:val="subscript"/>
              </w:rPr>
              <w:t>5</w:t>
            </w:r>
            <w:r>
              <w:rPr>
                <w:rFonts w:hint="eastAsia" w:ascii="Times New Roman" w:hAnsi="Times New Roman"/>
                <w:color w:val="auto"/>
                <w:kern w:val="0"/>
                <w:szCs w:val="21"/>
                <w:lang w:bidi="ar"/>
              </w:rPr>
              <w:t>1</w:t>
            </w:r>
            <w:r>
              <w:rPr>
                <w:rFonts w:hint="eastAsia"/>
                <w:color w:val="auto"/>
                <w:kern w:val="0"/>
                <w:szCs w:val="21"/>
                <w:lang w:val="en-US" w:eastAsia="zh-CN" w:bidi="ar"/>
              </w:rPr>
              <w:t>0</w:t>
            </w:r>
            <w:r>
              <w:rPr>
                <w:rFonts w:hint="eastAsia" w:ascii="Times New Roman" w:hAnsi="Times New Roman"/>
                <w:color w:val="auto"/>
                <w:kern w:val="0"/>
                <w:szCs w:val="21"/>
                <w:lang w:bidi="ar"/>
              </w:rPr>
              <w:t>0</w:t>
            </w:r>
            <w:r>
              <w:rPr>
                <w:rFonts w:hint="eastAsia"/>
                <w:bCs/>
                <w:color w:val="auto"/>
                <w:kern w:val="0"/>
                <w:szCs w:val="21"/>
              </w:rPr>
              <w:t>mg/L、SS</w:t>
            </w:r>
            <w:r>
              <w:rPr>
                <w:rFonts w:hint="eastAsia"/>
                <w:bCs/>
                <w:color w:val="auto"/>
                <w:kern w:val="0"/>
                <w:szCs w:val="21"/>
                <w:lang w:val="en-US" w:eastAsia="zh-CN"/>
              </w:rPr>
              <w:t>40</w:t>
            </w:r>
            <w:r>
              <w:rPr>
                <w:rFonts w:hint="eastAsia"/>
                <w:bCs/>
                <w:color w:val="auto"/>
                <w:kern w:val="0"/>
                <w:szCs w:val="21"/>
              </w:rPr>
              <w:t>mg/L、氨氮25mg/L、总氮30mg/L、总磷</w:t>
            </w:r>
            <w:r>
              <w:rPr>
                <w:rFonts w:hint="eastAsia"/>
                <w:bCs/>
                <w:color w:val="auto"/>
                <w:kern w:val="0"/>
                <w:szCs w:val="21"/>
                <w:lang w:val="en-US" w:eastAsia="zh-CN"/>
              </w:rPr>
              <w:t>3</w:t>
            </w:r>
            <w:r>
              <w:rPr>
                <w:rFonts w:hint="eastAsia"/>
                <w:bCs/>
                <w:color w:val="auto"/>
                <w:kern w:val="0"/>
                <w:szCs w:val="21"/>
              </w:rPr>
              <w:t>mg/L。</w:t>
            </w:r>
          </w:p>
          <w:p w14:paraId="62E60225">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textAlignment w:val="auto"/>
              <w:rPr>
                <w:rFonts w:hint="eastAsia"/>
                <w:bCs/>
                <w:color w:val="auto"/>
                <w:kern w:val="0"/>
                <w:szCs w:val="21"/>
                <w:lang w:val="en-US" w:eastAsia="zh-CN"/>
              </w:rPr>
            </w:pPr>
            <w:r>
              <w:rPr>
                <w:rFonts w:hint="eastAsia"/>
                <w:bCs/>
                <w:color w:val="auto"/>
                <w:szCs w:val="21"/>
                <w:lang w:val="en-US" w:eastAsia="zh-CN"/>
              </w:rPr>
              <w:t>项目生产废水产生量为1800t/a。类别同类企业，废水中主要污染物产生浓度分别为</w:t>
            </w:r>
            <w:r>
              <w:rPr>
                <w:rFonts w:hint="eastAsia"/>
                <w:bCs/>
                <w:color w:val="auto"/>
                <w:kern w:val="0"/>
                <w:szCs w:val="21"/>
              </w:rPr>
              <w:t>COD</w:t>
            </w:r>
            <w:r>
              <w:rPr>
                <w:rFonts w:hint="eastAsia"/>
                <w:bCs/>
                <w:color w:val="auto"/>
                <w:kern w:val="0"/>
                <w:szCs w:val="21"/>
                <w:lang w:val="en-US" w:eastAsia="zh-CN"/>
              </w:rPr>
              <w:t>25</w:t>
            </w:r>
            <w:r>
              <w:rPr>
                <w:rFonts w:hint="eastAsia"/>
                <w:bCs/>
                <w:color w:val="auto"/>
                <w:kern w:val="0"/>
                <w:szCs w:val="21"/>
              </w:rPr>
              <w:t>0mg/L、</w:t>
            </w:r>
            <w:r>
              <w:rPr>
                <w:rFonts w:hint="eastAsia"/>
                <w:color w:val="auto"/>
                <w:szCs w:val="21"/>
              </w:rPr>
              <w:t>BOD</w:t>
            </w:r>
            <w:r>
              <w:rPr>
                <w:rFonts w:hint="eastAsia"/>
                <w:color w:val="auto"/>
                <w:szCs w:val="21"/>
                <w:vertAlign w:val="subscript"/>
              </w:rPr>
              <w:t>5</w:t>
            </w:r>
            <w:r>
              <w:rPr>
                <w:rFonts w:hint="eastAsia" w:ascii="Times New Roman" w:hAnsi="Times New Roman"/>
                <w:color w:val="auto"/>
                <w:kern w:val="0"/>
                <w:szCs w:val="21"/>
                <w:lang w:val="en-US" w:eastAsia="zh-CN" w:bidi="ar"/>
              </w:rPr>
              <w:t>12</w:t>
            </w:r>
            <w:r>
              <w:rPr>
                <w:rFonts w:hint="eastAsia" w:ascii="Times New Roman" w:hAnsi="Times New Roman"/>
                <w:color w:val="auto"/>
                <w:kern w:val="0"/>
                <w:szCs w:val="21"/>
                <w:lang w:bidi="ar"/>
              </w:rPr>
              <w:t>0</w:t>
            </w:r>
            <w:r>
              <w:rPr>
                <w:rFonts w:hint="eastAsia"/>
                <w:bCs/>
                <w:color w:val="auto"/>
                <w:kern w:val="0"/>
                <w:szCs w:val="21"/>
              </w:rPr>
              <w:t>mg/L、SS2</w:t>
            </w:r>
            <w:r>
              <w:rPr>
                <w:rFonts w:hint="eastAsia"/>
                <w:bCs/>
                <w:color w:val="auto"/>
                <w:kern w:val="0"/>
                <w:szCs w:val="21"/>
                <w:lang w:val="en-US" w:eastAsia="zh-CN"/>
              </w:rPr>
              <w:t>5</w:t>
            </w:r>
            <w:r>
              <w:rPr>
                <w:rFonts w:hint="eastAsia"/>
                <w:bCs/>
                <w:color w:val="auto"/>
                <w:kern w:val="0"/>
                <w:szCs w:val="21"/>
              </w:rPr>
              <w:t>0mg/L、氨氮2</w:t>
            </w:r>
            <w:r>
              <w:rPr>
                <w:rFonts w:hint="eastAsia"/>
                <w:bCs/>
                <w:color w:val="auto"/>
                <w:kern w:val="0"/>
                <w:szCs w:val="21"/>
                <w:lang w:val="en-US" w:eastAsia="zh-CN"/>
              </w:rPr>
              <w:t>0</w:t>
            </w:r>
            <w:r>
              <w:rPr>
                <w:rFonts w:hint="eastAsia"/>
                <w:bCs/>
                <w:color w:val="auto"/>
                <w:kern w:val="0"/>
                <w:szCs w:val="21"/>
              </w:rPr>
              <w:t>mg/L、总氮</w:t>
            </w:r>
            <w:r>
              <w:rPr>
                <w:rFonts w:hint="eastAsia"/>
                <w:bCs/>
                <w:color w:val="auto"/>
                <w:kern w:val="0"/>
                <w:szCs w:val="21"/>
                <w:lang w:val="en-US" w:eastAsia="zh-CN"/>
              </w:rPr>
              <w:t>25</w:t>
            </w:r>
            <w:r>
              <w:rPr>
                <w:rFonts w:hint="eastAsia"/>
                <w:bCs/>
                <w:color w:val="auto"/>
                <w:kern w:val="0"/>
                <w:szCs w:val="21"/>
              </w:rPr>
              <w:t>mg/L、总磷2mg/L</w:t>
            </w:r>
            <w:r>
              <w:rPr>
                <w:rFonts w:hint="eastAsia"/>
                <w:bCs/>
                <w:color w:val="auto"/>
                <w:kern w:val="0"/>
                <w:szCs w:val="21"/>
                <w:lang w:eastAsia="zh-CN"/>
              </w:rPr>
              <w:t>；</w:t>
            </w:r>
            <w:r>
              <w:rPr>
                <w:rFonts w:hint="eastAsia"/>
                <w:bCs/>
                <w:color w:val="auto"/>
                <w:kern w:val="0"/>
                <w:szCs w:val="21"/>
                <w:lang w:val="en-US" w:eastAsia="zh-CN"/>
              </w:rPr>
              <w:t>根据氟元素平衡，本项目氢氟酸（40%）年用量为1t/a，则废水中氟化物量为0.4t/a，则氟化物浓度为222.2mg/L。</w:t>
            </w:r>
          </w:p>
          <w:p w14:paraId="6BAA1F9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textAlignment w:val="auto"/>
              <w:rPr>
                <w:rFonts w:hint="eastAsia"/>
                <w:bCs/>
                <w:color w:val="auto"/>
                <w:kern w:val="0"/>
                <w:szCs w:val="21"/>
                <w:lang w:val="en-US" w:eastAsia="zh-CN"/>
              </w:rPr>
            </w:pPr>
            <w:r>
              <w:rPr>
                <w:rFonts w:hint="eastAsia"/>
                <w:bCs/>
                <w:color w:val="auto"/>
                <w:kern w:val="0"/>
                <w:szCs w:val="21"/>
                <w:lang w:val="en-US" w:eastAsia="zh-CN"/>
              </w:rPr>
              <w:t>本项目废水产排情况见下表。</w:t>
            </w:r>
          </w:p>
          <w:p w14:paraId="020B56DB">
            <w:pPr>
              <w:keepNext w:val="0"/>
              <w:keepLines w:val="0"/>
              <w:pageBreakBefore w:val="0"/>
              <w:widowControl w:val="0"/>
              <w:numPr>
                <w:ilvl w:val="0"/>
                <w:numId w:val="0"/>
              </w:numPr>
              <w:kinsoku/>
              <w:wordWrap/>
              <w:overflowPunct/>
              <w:topLinePunct w:val="0"/>
              <w:autoSpaceDE/>
              <w:autoSpaceDN/>
              <w:bidi w:val="0"/>
              <w:adjustRightInd w:val="0"/>
              <w:snapToGrid w:val="0"/>
              <w:spacing w:before="148" w:beforeLines="50" w:line="240" w:lineRule="auto"/>
              <w:jc w:val="center"/>
              <w:textAlignment w:val="auto"/>
              <w:rPr>
                <w:rFonts w:hint="eastAsia"/>
                <w:b/>
                <w:bCs w:val="0"/>
                <w:color w:val="auto"/>
                <w:kern w:val="0"/>
                <w:szCs w:val="21"/>
                <w:lang w:val="en-US" w:eastAsia="zh-CN"/>
              </w:rPr>
            </w:pPr>
            <w:r>
              <w:rPr>
                <w:rFonts w:hint="eastAsia"/>
                <w:b/>
                <w:bCs w:val="0"/>
                <w:color w:val="auto"/>
                <w:kern w:val="0"/>
                <w:szCs w:val="21"/>
                <w:lang w:val="en-US" w:eastAsia="zh-CN"/>
              </w:rPr>
              <w:t>表4-14 本项目废水产排情况一览表</w:t>
            </w:r>
          </w:p>
          <w:tbl>
            <w:tblPr>
              <w:tblStyle w:val="3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08"/>
              <w:gridCol w:w="750"/>
              <w:gridCol w:w="660"/>
              <w:gridCol w:w="675"/>
              <w:gridCol w:w="825"/>
              <w:gridCol w:w="960"/>
              <w:gridCol w:w="645"/>
              <w:gridCol w:w="585"/>
              <w:gridCol w:w="705"/>
              <w:gridCol w:w="705"/>
              <w:gridCol w:w="900"/>
              <w:gridCol w:w="684"/>
            </w:tblGrid>
            <w:tr w14:paraId="5491C5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restart"/>
                  <w:tcBorders>
                    <w:tl2br w:val="nil"/>
                    <w:tr2bl w:val="nil"/>
                  </w:tcBorders>
                  <w:shd w:val="clear" w:color="auto" w:fill="auto"/>
                  <w:vAlign w:val="center"/>
                </w:tcPr>
                <w:p w14:paraId="7DC4BDF9">
                  <w:pPr>
                    <w:keepNext w:val="0"/>
                    <w:keepLines w:val="0"/>
                    <w:pageBreakBefore w:val="0"/>
                    <w:kinsoku/>
                    <w:wordWrap/>
                    <w:overflowPunct/>
                    <w:topLinePunct w:val="0"/>
                    <w:bidi w:val="0"/>
                    <w:snapToGrid w:val="0"/>
                    <w:jc w:val="center"/>
                    <w:rPr>
                      <w:rFonts w:hint="default"/>
                      <w:b/>
                      <w:bCs w:val="0"/>
                      <w:color w:val="auto"/>
                      <w:kern w:val="0"/>
                      <w:szCs w:val="21"/>
                      <w:vertAlign w:val="baseline"/>
                      <w:lang w:val="en-US" w:eastAsia="zh-CN"/>
                    </w:rPr>
                  </w:pPr>
                  <w:r>
                    <w:rPr>
                      <w:b/>
                      <w:color w:val="auto"/>
                    </w:rPr>
                    <w:t>种类</w:t>
                  </w:r>
                </w:p>
              </w:tc>
              <w:tc>
                <w:tcPr>
                  <w:tcW w:w="750" w:type="dxa"/>
                  <w:vMerge w:val="restart"/>
                  <w:tcBorders>
                    <w:tl2br w:val="nil"/>
                    <w:tr2bl w:val="nil"/>
                  </w:tcBorders>
                  <w:shd w:val="clear" w:color="auto" w:fill="auto"/>
                  <w:vAlign w:val="center"/>
                </w:tcPr>
                <w:p w14:paraId="59035102">
                  <w:pPr>
                    <w:keepNext w:val="0"/>
                    <w:keepLines w:val="0"/>
                    <w:pageBreakBefore w:val="0"/>
                    <w:kinsoku/>
                    <w:wordWrap/>
                    <w:overflowPunct/>
                    <w:topLinePunct w:val="0"/>
                    <w:bidi w:val="0"/>
                    <w:snapToGrid w:val="0"/>
                    <w:jc w:val="center"/>
                    <w:rPr>
                      <w:rFonts w:hint="default"/>
                      <w:b/>
                      <w:bCs w:val="0"/>
                      <w:color w:val="auto"/>
                      <w:kern w:val="0"/>
                      <w:szCs w:val="21"/>
                      <w:vertAlign w:val="baseline"/>
                      <w:lang w:val="en-US" w:eastAsia="zh-CN"/>
                    </w:rPr>
                  </w:pPr>
                  <w:r>
                    <w:rPr>
                      <w:b/>
                      <w:color w:val="auto"/>
                    </w:rPr>
                    <w:t>污染物</w:t>
                  </w:r>
                </w:p>
              </w:tc>
              <w:tc>
                <w:tcPr>
                  <w:tcW w:w="3120" w:type="dxa"/>
                  <w:gridSpan w:val="4"/>
                  <w:tcBorders>
                    <w:tl2br w:val="nil"/>
                    <w:tr2bl w:val="nil"/>
                  </w:tcBorders>
                  <w:shd w:val="clear" w:color="auto" w:fill="auto"/>
                  <w:vAlign w:val="center"/>
                </w:tcPr>
                <w:p w14:paraId="66353080">
                  <w:pPr>
                    <w:keepNext w:val="0"/>
                    <w:keepLines w:val="0"/>
                    <w:pageBreakBefore w:val="0"/>
                    <w:kinsoku/>
                    <w:wordWrap/>
                    <w:overflowPunct/>
                    <w:topLinePunct w:val="0"/>
                    <w:bidi w:val="0"/>
                    <w:snapToGrid w:val="0"/>
                    <w:jc w:val="center"/>
                    <w:rPr>
                      <w:rFonts w:hint="default" w:ascii="Times New Roman" w:hAnsi="Times New Roman" w:eastAsia="宋体" w:cs="Times New Roman"/>
                      <w:b/>
                      <w:color w:val="auto"/>
                      <w:kern w:val="2"/>
                      <w:sz w:val="21"/>
                      <w:szCs w:val="24"/>
                      <w:lang w:val="en-US" w:eastAsia="zh-CN" w:bidi="ar-SA"/>
                    </w:rPr>
                  </w:pPr>
                  <w:r>
                    <w:rPr>
                      <w:b/>
                      <w:color w:val="auto"/>
                    </w:rPr>
                    <w:t>污染物产生量</w:t>
                  </w:r>
                </w:p>
              </w:tc>
              <w:tc>
                <w:tcPr>
                  <w:tcW w:w="1230" w:type="dxa"/>
                  <w:gridSpan w:val="2"/>
                  <w:tcBorders>
                    <w:tl2br w:val="nil"/>
                    <w:tr2bl w:val="nil"/>
                  </w:tcBorders>
                  <w:shd w:val="clear" w:color="auto" w:fill="auto"/>
                  <w:vAlign w:val="center"/>
                </w:tcPr>
                <w:p w14:paraId="068A6A93">
                  <w:pPr>
                    <w:keepNext w:val="0"/>
                    <w:keepLines w:val="0"/>
                    <w:pageBreakBefore w:val="0"/>
                    <w:kinsoku/>
                    <w:wordWrap/>
                    <w:overflowPunct/>
                    <w:topLinePunct w:val="0"/>
                    <w:bidi w:val="0"/>
                    <w:snapToGrid w:val="0"/>
                    <w:jc w:val="center"/>
                    <w:rPr>
                      <w:rFonts w:hint="default" w:ascii="Times New Roman" w:hAnsi="Times New Roman" w:eastAsia="宋体" w:cs="Times New Roman"/>
                      <w:b/>
                      <w:color w:val="auto"/>
                      <w:kern w:val="2"/>
                      <w:sz w:val="21"/>
                      <w:szCs w:val="24"/>
                      <w:lang w:val="en-US" w:eastAsia="zh-CN" w:bidi="ar-SA"/>
                    </w:rPr>
                  </w:pPr>
                  <w:r>
                    <w:rPr>
                      <w:b/>
                      <w:color w:val="auto"/>
                    </w:rPr>
                    <w:t>预处理措施</w:t>
                  </w:r>
                </w:p>
              </w:tc>
              <w:tc>
                <w:tcPr>
                  <w:tcW w:w="2310" w:type="dxa"/>
                  <w:gridSpan w:val="3"/>
                  <w:tcBorders>
                    <w:tl2br w:val="nil"/>
                    <w:tr2bl w:val="nil"/>
                  </w:tcBorders>
                  <w:shd w:val="clear" w:color="auto" w:fill="auto"/>
                  <w:vAlign w:val="center"/>
                </w:tcPr>
                <w:p w14:paraId="57064BA1">
                  <w:pPr>
                    <w:keepNext w:val="0"/>
                    <w:keepLines w:val="0"/>
                    <w:pageBreakBefore w:val="0"/>
                    <w:kinsoku/>
                    <w:wordWrap/>
                    <w:overflowPunct/>
                    <w:topLinePunct w:val="0"/>
                    <w:bidi w:val="0"/>
                    <w:snapToGrid w:val="0"/>
                    <w:jc w:val="center"/>
                    <w:rPr>
                      <w:rFonts w:hint="default" w:ascii="Times New Roman" w:hAnsi="Times New Roman" w:eastAsia="宋体" w:cs="Times New Roman"/>
                      <w:b/>
                      <w:color w:val="auto"/>
                      <w:kern w:val="2"/>
                      <w:sz w:val="21"/>
                      <w:szCs w:val="24"/>
                      <w:lang w:val="en-US" w:eastAsia="zh-CN" w:bidi="ar-SA"/>
                    </w:rPr>
                  </w:pPr>
                  <w:r>
                    <w:rPr>
                      <w:b/>
                      <w:color w:val="auto"/>
                    </w:rPr>
                    <w:t>污染物排放量</w:t>
                  </w:r>
                </w:p>
              </w:tc>
              <w:tc>
                <w:tcPr>
                  <w:tcW w:w="684" w:type="dxa"/>
                  <w:vMerge w:val="restart"/>
                  <w:tcBorders>
                    <w:tl2br w:val="nil"/>
                    <w:tr2bl w:val="nil"/>
                  </w:tcBorders>
                  <w:vAlign w:val="center"/>
                </w:tcPr>
                <w:p w14:paraId="0B99AA4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bCs w:val="0"/>
                      <w:color w:val="auto"/>
                      <w:kern w:val="0"/>
                      <w:szCs w:val="21"/>
                      <w:vertAlign w:val="baseline"/>
                      <w:lang w:val="en-US" w:eastAsia="zh-CN"/>
                    </w:rPr>
                  </w:pPr>
                  <w:r>
                    <w:rPr>
                      <w:b/>
                      <w:color w:val="auto"/>
                    </w:rPr>
                    <w:t>排放时间h</w:t>
                  </w:r>
                  <w:r>
                    <w:rPr>
                      <w:rFonts w:hint="eastAsia"/>
                      <w:b/>
                      <w:color w:val="auto"/>
                      <w:lang w:val="en-US" w:eastAsia="zh-CN"/>
                    </w:rPr>
                    <w:t>/a</w:t>
                  </w:r>
                </w:p>
              </w:tc>
            </w:tr>
            <w:tr w14:paraId="6E1FC1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continue"/>
                  <w:tcBorders>
                    <w:tl2br w:val="nil"/>
                    <w:tr2bl w:val="nil"/>
                  </w:tcBorders>
                  <w:vAlign w:val="center"/>
                </w:tcPr>
                <w:p w14:paraId="1C0F505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bCs w:val="0"/>
                      <w:color w:val="auto"/>
                      <w:kern w:val="0"/>
                      <w:szCs w:val="21"/>
                      <w:vertAlign w:val="baseline"/>
                      <w:lang w:val="en-US" w:eastAsia="zh-CN"/>
                    </w:rPr>
                  </w:pPr>
                </w:p>
              </w:tc>
              <w:tc>
                <w:tcPr>
                  <w:tcW w:w="750" w:type="dxa"/>
                  <w:vMerge w:val="continue"/>
                  <w:tcBorders>
                    <w:tl2br w:val="nil"/>
                    <w:tr2bl w:val="nil"/>
                  </w:tcBorders>
                  <w:vAlign w:val="center"/>
                </w:tcPr>
                <w:p w14:paraId="2D9A63D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bCs w:val="0"/>
                      <w:color w:val="auto"/>
                      <w:kern w:val="0"/>
                      <w:szCs w:val="21"/>
                      <w:vertAlign w:val="baseline"/>
                      <w:lang w:val="en-US" w:eastAsia="zh-CN"/>
                    </w:rPr>
                  </w:pPr>
                </w:p>
              </w:tc>
              <w:tc>
                <w:tcPr>
                  <w:tcW w:w="660" w:type="dxa"/>
                  <w:tcBorders>
                    <w:tl2br w:val="nil"/>
                    <w:tr2bl w:val="nil"/>
                  </w:tcBorders>
                  <w:shd w:val="clear" w:color="auto" w:fill="auto"/>
                  <w:vAlign w:val="center"/>
                </w:tcPr>
                <w:p w14:paraId="0BB7A7C3">
                  <w:pPr>
                    <w:keepNext w:val="0"/>
                    <w:keepLines w:val="0"/>
                    <w:pageBreakBefore w:val="0"/>
                    <w:kinsoku/>
                    <w:wordWrap/>
                    <w:overflowPunct/>
                    <w:topLinePunct w:val="0"/>
                    <w:bidi w:val="0"/>
                    <w:snapToGrid w:val="0"/>
                    <w:jc w:val="center"/>
                    <w:rPr>
                      <w:rFonts w:hint="default" w:ascii="Times New Roman" w:hAnsi="Times New Roman" w:eastAsia="宋体" w:cs="Times New Roman"/>
                      <w:b/>
                      <w:color w:val="auto"/>
                      <w:kern w:val="2"/>
                      <w:sz w:val="21"/>
                      <w:szCs w:val="24"/>
                      <w:lang w:val="en-US" w:eastAsia="zh-CN" w:bidi="ar-SA"/>
                    </w:rPr>
                  </w:pPr>
                  <w:r>
                    <w:rPr>
                      <w:b/>
                      <w:color w:val="auto"/>
                    </w:rPr>
                    <w:t>核算方法</w:t>
                  </w:r>
                </w:p>
              </w:tc>
              <w:tc>
                <w:tcPr>
                  <w:tcW w:w="675" w:type="dxa"/>
                  <w:tcBorders>
                    <w:tl2br w:val="nil"/>
                    <w:tr2bl w:val="nil"/>
                  </w:tcBorders>
                  <w:shd w:val="clear" w:color="auto" w:fill="auto"/>
                  <w:vAlign w:val="center"/>
                </w:tcPr>
                <w:p w14:paraId="0D803372">
                  <w:pPr>
                    <w:keepNext w:val="0"/>
                    <w:keepLines w:val="0"/>
                    <w:pageBreakBefore w:val="0"/>
                    <w:kinsoku/>
                    <w:wordWrap/>
                    <w:overflowPunct/>
                    <w:topLinePunct w:val="0"/>
                    <w:bidi w:val="0"/>
                    <w:snapToGrid w:val="0"/>
                    <w:jc w:val="center"/>
                    <w:rPr>
                      <w:rFonts w:hint="default" w:ascii="Times New Roman" w:hAnsi="Times New Roman" w:eastAsia="宋体" w:cs="Times New Roman"/>
                      <w:b/>
                      <w:color w:val="auto"/>
                      <w:kern w:val="2"/>
                      <w:sz w:val="21"/>
                      <w:szCs w:val="24"/>
                      <w:lang w:val="en-US" w:eastAsia="zh-CN" w:bidi="ar-SA"/>
                    </w:rPr>
                  </w:pPr>
                  <w:r>
                    <w:rPr>
                      <w:b/>
                      <w:color w:val="auto"/>
                    </w:rPr>
                    <w:t>产生废水量m</w:t>
                  </w:r>
                  <w:r>
                    <w:rPr>
                      <w:b/>
                      <w:color w:val="auto"/>
                      <w:vertAlign w:val="superscript"/>
                    </w:rPr>
                    <w:t>3</w:t>
                  </w:r>
                  <w:r>
                    <w:rPr>
                      <w:b/>
                      <w:color w:val="auto"/>
                    </w:rPr>
                    <w:t>/a</w:t>
                  </w:r>
                </w:p>
              </w:tc>
              <w:tc>
                <w:tcPr>
                  <w:tcW w:w="825" w:type="dxa"/>
                  <w:tcBorders>
                    <w:tl2br w:val="nil"/>
                    <w:tr2bl w:val="nil"/>
                  </w:tcBorders>
                  <w:shd w:val="clear" w:color="auto" w:fill="auto"/>
                  <w:vAlign w:val="center"/>
                </w:tcPr>
                <w:p w14:paraId="197E5B76">
                  <w:pPr>
                    <w:keepNext w:val="0"/>
                    <w:keepLines w:val="0"/>
                    <w:pageBreakBefore w:val="0"/>
                    <w:kinsoku/>
                    <w:wordWrap/>
                    <w:overflowPunct/>
                    <w:topLinePunct w:val="0"/>
                    <w:bidi w:val="0"/>
                    <w:snapToGrid w:val="0"/>
                    <w:jc w:val="center"/>
                    <w:rPr>
                      <w:rFonts w:hint="default" w:ascii="Times New Roman" w:hAnsi="Times New Roman" w:eastAsia="宋体" w:cs="Times New Roman"/>
                      <w:b/>
                      <w:color w:val="auto"/>
                      <w:kern w:val="2"/>
                      <w:sz w:val="21"/>
                      <w:szCs w:val="24"/>
                      <w:lang w:val="en-US" w:eastAsia="zh-CN" w:bidi="ar-SA"/>
                    </w:rPr>
                  </w:pPr>
                  <w:r>
                    <w:rPr>
                      <w:b/>
                      <w:color w:val="auto"/>
                    </w:rPr>
                    <w:t>产生浓度mg/L</w:t>
                  </w:r>
                </w:p>
              </w:tc>
              <w:tc>
                <w:tcPr>
                  <w:tcW w:w="960" w:type="dxa"/>
                  <w:tcBorders>
                    <w:tl2br w:val="nil"/>
                    <w:tr2bl w:val="nil"/>
                  </w:tcBorders>
                  <w:shd w:val="clear" w:color="auto" w:fill="auto"/>
                  <w:vAlign w:val="center"/>
                </w:tcPr>
                <w:p w14:paraId="07E3AAAD">
                  <w:pPr>
                    <w:keepNext w:val="0"/>
                    <w:keepLines w:val="0"/>
                    <w:pageBreakBefore w:val="0"/>
                    <w:kinsoku/>
                    <w:wordWrap/>
                    <w:overflowPunct/>
                    <w:topLinePunct w:val="0"/>
                    <w:bidi w:val="0"/>
                    <w:snapToGrid w:val="0"/>
                    <w:jc w:val="center"/>
                    <w:rPr>
                      <w:rFonts w:hint="default" w:ascii="Times New Roman" w:hAnsi="Times New Roman" w:eastAsia="宋体" w:cs="Times New Roman"/>
                      <w:b/>
                      <w:color w:val="auto"/>
                      <w:kern w:val="2"/>
                      <w:sz w:val="21"/>
                      <w:szCs w:val="24"/>
                      <w:lang w:val="en-US" w:eastAsia="zh-CN" w:bidi="ar-SA"/>
                    </w:rPr>
                  </w:pPr>
                  <w:r>
                    <w:rPr>
                      <w:b/>
                      <w:color w:val="auto"/>
                    </w:rPr>
                    <w:t>产生量t/a</w:t>
                  </w:r>
                </w:p>
              </w:tc>
              <w:tc>
                <w:tcPr>
                  <w:tcW w:w="645" w:type="dxa"/>
                  <w:tcBorders>
                    <w:tl2br w:val="nil"/>
                    <w:tr2bl w:val="nil"/>
                  </w:tcBorders>
                  <w:shd w:val="clear" w:color="auto" w:fill="auto"/>
                  <w:vAlign w:val="center"/>
                </w:tcPr>
                <w:p w14:paraId="5A520CC8">
                  <w:pPr>
                    <w:keepNext w:val="0"/>
                    <w:keepLines w:val="0"/>
                    <w:pageBreakBefore w:val="0"/>
                    <w:kinsoku/>
                    <w:wordWrap/>
                    <w:overflowPunct/>
                    <w:topLinePunct w:val="0"/>
                    <w:bidi w:val="0"/>
                    <w:snapToGrid w:val="0"/>
                    <w:jc w:val="center"/>
                    <w:rPr>
                      <w:rFonts w:hint="default" w:ascii="Times New Roman" w:hAnsi="Times New Roman" w:eastAsia="宋体" w:cs="Times New Roman"/>
                      <w:b/>
                      <w:color w:val="auto"/>
                      <w:kern w:val="2"/>
                      <w:sz w:val="21"/>
                      <w:szCs w:val="24"/>
                      <w:lang w:val="en-US" w:eastAsia="zh-CN" w:bidi="ar-SA"/>
                    </w:rPr>
                  </w:pPr>
                  <w:r>
                    <w:rPr>
                      <w:rFonts w:hint="eastAsia"/>
                      <w:b/>
                      <w:color w:val="auto"/>
                      <w:lang w:val="en-US" w:eastAsia="zh-CN"/>
                    </w:rPr>
                    <w:t>工艺</w:t>
                  </w:r>
                </w:p>
              </w:tc>
              <w:tc>
                <w:tcPr>
                  <w:tcW w:w="585" w:type="dxa"/>
                  <w:tcBorders>
                    <w:tl2br w:val="nil"/>
                    <w:tr2bl w:val="nil"/>
                  </w:tcBorders>
                  <w:shd w:val="clear" w:color="auto" w:fill="auto"/>
                  <w:vAlign w:val="center"/>
                </w:tcPr>
                <w:p w14:paraId="2D08E9D4">
                  <w:pPr>
                    <w:keepNext w:val="0"/>
                    <w:keepLines w:val="0"/>
                    <w:pageBreakBefore w:val="0"/>
                    <w:kinsoku/>
                    <w:wordWrap/>
                    <w:overflowPunct/>
                    <w:topLinePunct w:val="0"/>
                    <w:bidi w:val="0"/>
                    <w:snapToGrid w:val="0"/>
                    <w:jc w:val="center"/>
                    <w:rPr>
                      <w:rFonts w:hint="default" w:ascii="Times New Roman" w:hAnsi="Times New Roman" w:eastAsia="宋体" w:cs="Times New Roman"/>
                      <w:b/>
                      <w:color w:val="auto"/>
                      <w:kern w:val="2"/>
                      <w:sz w:val="21"/>
                      <w:szCs w:val="24"/>
                      <w:lang w:val="en-US" w:eastAsia="zh-CN" w:bidi="ar-SA"/>
                    </w:rPr>
                  </w:pPr>
                  <w:r>
                    <w:rPr>
                      <w:rFonts w:hint="eastAsia"/>
                      <w:b/>
                      <w:color w:val="auto"/>
                      <w:lang w:val="en-US" w:eastAsia="zh-CN"/>
                    </w:rPr>
                    <w:t>效率%</w:t>
                  </w:r>
                </w:p>
              </w:tc>
              <w:tc>
                <w:tcPr>
                  <w:tcW w:w="705" w:type="dxa"/>
                  <w:tcBorders>
                    <w:tl2br w:val="nil"/>
                    <w:tr2bl w:val="nil"/>
                  </w:tcBorders>
                  <w:shd w:val="clear" w:color="auto" w:fill="auto"/>
                  <w:vAlign w:val="center"/>
                </w:tcPr>
                <w:p w14:paraId="3A24FACF">
                  <w:pPr>
                    <w:keepNext w:val="0"/>
                    <w:keepLines w:val="0"/>
                    <w:pageBreakBefore w:val="0"/>
                    <w:kinsoku/>
                    <w:wordWrap/>
                    <w:overflowPunct/>
                    <w:topLinePunct w:val="0"/>
                    <w:bidi w:val="0"/>
                    <w:snapToGrid w:val="0"/>
                    <w:jc w:val="center"/>
                    <w:rPr>
                      <w:rFonts w:hint="default" w:ascii="Times New Roman" w:hAnsi="Times New Roman" w:eastAsia="宋体" w:cs="Times New Roman"/>
                      <w:b/>
                      <w:color w:val="auto"/>
                      <w:kern w:val="2"/>
                      <w:sz w:val="21"/>
                      <w:szCs w:val="24"/>
                      <w:lang w:val="en-US" w:eastAsia="zh-CN" w:bidi="ar-SA"/>
                    </w:rPr>
                  </w:pPr>
                  <w:r>
                    <w:rPr>
                      <w:b/>
                      <w:color w:val="auto"/>
                    </w:rPr>
                    <w:t>排放废水量m</w:t>
                  </w:r>
                  <w:r>
                    <w:rPr>
                      <w:b/>
                      <w:color w:val="auto"/>
                      <w:vertAlign w:val="superscript"/>
                    </w:rPr>
                    <w:t>3</w:t>
                  </w:r>
                  <w:r>
                    <w:rPr>
                      <w:b/>
                      <w:color w:val="auto"/>
                    </w:rPr>
                    <w:t>/a</w:t>
                  </w:r>
                </w:p>
              </w:tc>
              <w:tc>
                <w:tcPr>
                  <w:tcW w:w="705" w:type="dxa"/>
                  <w:tcBorders>
                    <w:tl2br w:val="nil"/>
                    <w:tr2bl w:val="nil"/>
                  </w:tcBorders>
                  <w:shd w:val="clear" w:color="auto" w:fill="auto"/>
                  <w:vAlign w:val="center"/>
                </w:tcPr>
                <w:p w14:paraId="7E4D1F6F">
                  <w:pPr>
                    <w:keepNext w:val="0"/>
                    <w:keepLines w:val="0"/>
                    <w:pageBreakBefore w:val="0"/>
                    <w:kinsoku/>
                    <w:wordWrap/>
                    <w:overflowPunct/>
                    <w:topLinePunct w:val="0"/>
                    <w:bidi w:val="0"/>
                    <w:snapToGrid w:val="0"/>
                    <w:jc w:val="center"/>
                    <w:rPr>
                      <w:rFonts w:hint="default" w:ascii="Times New Roman" w:hAnsi="Times New Roman" w:eastAsia="宋体" w:cs="Times New Roman"/>
                      <w:b/>
                      <w:color w:val="auto"/>
                      <w:kern w:val="2"/>
                      <w:sz w:val="21"/>
                      <w:szCs w:val="24"/>
                      <w:lang w:val="en-US" w:eastAsia="zh-CN" w:bidi="ar-SA"/>
                    </w:rPr>
                  </w:pPr>
                  <w:r>
                    <w:rPr>
                      <w:b/>
                      <w:color w:val="auto"/>
                    </w:rPr>
                    <w:t>排放浓度mg/L</w:t>
                  </w:r>
                </w:p>
              </w:tc>
              <w:tc>
                <w:tcPr>
                  <w:tcW w:w="900" w:type="dxa"/>
                  <w:tcBorders>
                    <w:tl2br w:val="nil"/>
                    <w:tr2bl w:val="nil"/>
                  </w:tcBorders>
                  <w:shd w:val="clear" w:color="auto" w:fill="auto"/>
                  <w:vAlign w:val="center"/>
                </w:tcPr>
                <w:p w14:paraId="3FE45071">
                  <w:pPr>
                    <w:keepNext w:val="0"/>
                    <w:keepLines w:val="0"/>
                    <w:pageBreakBefore w:val="0"/>
                    <w:kinsoku/>
                    <w:wordWrap/>
                    <w:overflowPunct/>
                    <w:topLinePunct w:val="0"/>
                    <w:bidi w:val="0"/>
                    <w:snapToGrid w:val="0"/>
                    <w:jc w:val="center"/>
                    <w:rPr>
                      <w:rFonts w:hint="default" w:ascii="Times New Roman" w:hAnsi="Times New Roman" w:eastAsia="宋体" w:cs="Times New Roman"/>
                      <w:b/>
                      <w:color w:val="auto"/>
                      <w:kern w:val="2"/>
                      <w:sz w:val="21"/>
                      <w:szCs w:val="24"/>
                      <w:lang w:val="en-US" w:eastAsia="zh-CN" w:bidi="ar-SA"/>
                    </w:rPr>
                  </w:pPr>
                  <w:r>
                    <w:rPr>
                      <w:b/>
                      <w:color w:val="auto"/>
                    </w:rPr>
                    <w:t>排放量t/a</w:t>
                  </w:r>
                </w:p>
              </w:tc>
              <w:tc>
                <w:tcPr>
                  <w:tcW w:w="684" w:type="dxa"/>
                  <w:vMerge w:val="continue"/>
                  <w:tcBorders>
                    <w:tl2br w:val="nil"/>
                    <w:tr2bl w:val="nil"/>
                  </w:tcBorders>
                  <w:vAlign w:val="center"/>
                </w:tcPr>
                <w:p w14:paraId="7D3AF25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bCs w:val="0"/>
                      <w:color w:val="auto"/>
                      <w:kern w:val="0"/>
                      <w:szCs w:val="21"/>
                      <w:vertAlign w:val="baseline"/>
                      <w:lang w:val="en-US" w:eastAsia="zh-CN"/>
                    </w:rPr>
                  </w:pPr>
                </w:p>
              </w:tc>
            </w:tr>
            <w:tr w14:paraId="7C09AF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restart"/>
                  <w:tcBorders>
                    <w:tl2br w:val="nil"/>
                    <w:tr2bl w:val="nil"/>
                  </w:tcBorders>
                  <w:vAlign w:val="center"/>
                </w:tcPr>
                <w:p w14:paraId="3E939D1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生活污水</w:t>
                  </w:r>
                </w:p>
              </w:tc>
              <w:tc>
                <w:tcPr>
                  <w:tcW w:w="750" w:type="dxa"/>
                  <w:tcBorders>
                    <w:tl2br w:val="nil"/>
                    <w:tr2bl w:val="nil"/>
                  </w:tcBorders>
                  <w:vAlign w:val="center"/>
                </w:tcPr>
                <w:p w14:paraId="79888B5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pH</w:t>
                  </w:r>
                </w:p>
              </w:tc>
              <w:tc>
                <w:tcPr>
                  <w:tcW w:w="660" w:type="dxa"/>
                  <w:vMerge w:val="restart"/>
                  <w:tcBorders>
                    <w:tl2br w:val="nil"/>
                    <w:tr2bl w:val="nil"/>
                  </w:tcBorders>
                  <w:vAlign w:val="center"/>
                </w:tcPr>
                <w:p w14:paraId="55F101E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类比法</w:t>
                  </w:r>
                </w:p>
              </w:tc>
              <w:tc>
                <w:tcPr>
                  <w:tcW w:w="675" w:type="dxa"/>
                  <w:vMerge w:val="restart"/>
                  <w:tcBorders>
                    <w:tl2br w:val="nil"/>
                    <w:tr2bl w:val="nil"/>
                  </w:tcBorders>
                  <w:vAlign w:val="center"/>
                </w:tcPr>
                <w:p w14:paraId="3570791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576</w:t>
                  </w:r>
                </w:p>
              </w:tc>
              <w:tc>
                <w:tcPr>
                  <w:tcW w:w="825" w:type="dxa"/>
                  <w:tcBorders>
                    <w:tl2br w:val="nil"/>
                    <w:tr2bl w:val="nil"/>
                  </w:tcBorders>
                  <w:vAlign w:val="center"/>
                </w:tcPr>
                <w:p w14:paraId="4B2538D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6~9</w:t>
                  </w:r>
                </w:p>
              </w:tc>
              <w:tc>
                <w:tcPr>
                  <w:tcW w:w="960" w:type="dxa"/>
                  <w:tcBorders>
                    <w:tl2br w:val="nil"/>
                    <w:tr2bl w:val="nil"/>
                  </w:tcBorders>
                  <w:vAlign w:val="center"/>
                </w:tcPr>
                <w:p w14:paraId="1F81148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w:t>
                  </w:r>
                </w:p>
              </w:tc>
              <w:tc>
                <w:tcPr>
                  <w:tcW w:w="645" w:type="dxa"/>
                  <w:vMerge w:val="restart"/>
                  <w:tcBorders>
                    <w:tl2br w:val="nil"/>
                    <w:tr2bl w:val="nil"/>
                  </w:tcBorders>
                  <w:vAlign w:val="center"/>
                </w:tcPr>
                <w:p w14:paraId="10C2C61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化粪池</w:t>
                  </w:r>
                </w:p>
              </w:tc>
              <w:tc>
                <w:tcPr>
                  <w:tcW w:w="585" w:type="dxa"/>
                  <w:tcBorders>
                    <w:tl2br w:val="nil"/>
                    <w:tr2bl w:val="nil"/>
                  </w:tcBorders>
                  <w:vAlign w:val="center"/>
                </w:tcPr>
                <w:p w14:paraId="3A8A1F1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w:t>
                  </w:r>
                </w:p>
              </w:tc>
              <w:tc>
                <w:tcPr>
                  <w:tcW w:w="705" w:type="dxa"/>
                  <w:vMerge w:val="restart"/>
                  <w:tcBorders>
                    <w:tl2br w:val="nil"/>
                    <w:tr2bl w:val="nil"/>
                  </w:tcBorders>
                  <w:vAlign w:val="center"/>
                </w:tcPr>
                <w:p w14:paraId="07201AC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576</w:t>
                  </w:r>
                </w:p>
              </w:tc>
              <w:tc>
                <w:tcPr>
                  <w:tcW w:w="705" w:type="dxa"/>
                  <w:tcBorders>
                    <w:tl2br w:val="nil"/>
                    <w:tr2bl w:val="nil"/>
                  </w:tcBorders>
                  <w:vAlign w:val="center"/>
                </w:tcPr>
                <w:p w14:paraId="2E401D1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6~9</w:t>
                  </w:r>
                </w:p>
              </w:tc>
              <w:tc>
                <w:tcPr>
                  <w:tcW w:w="900" w:type="dxa"/>
                  <w:tcBorders>
                    <w:tl2br w:val="nil"/>
                    <w:tr2bl w:val="nil"/>
                  </w:tcBorders>
                  <w:vAlign w:val="center"/>
                </w:tcPr>
                <w:p w14:paraId="3C95832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w:t>
                  </w:r>
                </w:p>
              </w:tc>
              <w:tc>
                <w:tcPr>
                  <w:tcW w:w="684" w:type="dxa"/>
                  <w:vMerge w:val="restart"/>
                  <w:tcBorders>
                    <w:tl2br w:val="nil"/>
                    <w:tr2bl w:val="nil"/>
                  </w:tcBorders>
                  <w:vAlign w:val="center"/>
                </w:tcPr>
                <w:p w14:paraId="49E2D0D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7200</w:t>
                  </w:r>
                </w:p>
              </w:tc>
            </w:tr>
            <w:tr w14:paraId="29EA21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continue"/>
                  <w:tcBorders>
                    <w:tl2br w:val="nil"/>
                    <w:tr2bl w:val="nil"/>
                  </w:tcBorders>
                  <w:vAlign w:val="center"/>
                </w:tcPr>
                <w:p w14:paraId="58F3129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50" w:type="dxa"/>
                  <w:tcBorders>
                    <w:tl2br w:val="nil"/>
                    <w:tr2bl w:val="nil"/>
                  </w:tcBorders>
                  <w:shd w:val="clear" w:color="auto" w:fill="auto"/>
                  <w:vAlign w:val="center"/>
                </w:tcPr>
                <w:p w14:paraId="42DBC821">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COD</w:t>
                  </w:r>
                </w:p>
              </w:tc>
              <w:tc>
                <w:tcPr>
                  <w:tcW w:w="660" w:type="dxa"/>
                  <w:vMerge w:val="continue"/>
                  <w:tcBorders>
                    <w:tl2br w:val="nil"/>
                    <w:tr2bl w:val="nil"/>
                  </w:tcBorders>
                  <w:vAlign w:val="center"/>
                </w:tcPr>
                <w:p w14:paraId="422ABB3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675" w:type="dxa"/>
                  <w:vMerge w:val="continue"/>
                  <w:tcBorders>
                    <w:tl2br w:val="nil"/>
                    <w:tr2bl w:val="nil"/>
                  </w:tcBorders>
                  <w:vAlign w:val="center"/>
                </w:tcPr>
                <w:p w14:paraId="1E3F83E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825" w:type="dxa"/>
                  <w:tcBorders>
                    <w:tl2br w:val="nil"/>
                    <w:tr2bl w:val="nil"/>
                  </w:tcBorders>
                  <w:shd w:val="clear" w:color="auto" w:fill="auto"/>
                  <w:vAlign w:val="center"/>
                </w:tcPr>
                <w:p w14:paraId="19305792">
                  <w:pPr>
                    <w:keepNext w:val="0"/>
                    <w:keepLines w:val="0"/>
                    <w:pageBreakBefore w:val="0"/>
                    <w:widowControl/>
                    <w:suppressLineNumbers w:val="0"/>
                    <w:kinsoku/>
                    <w:wordWrap/>
                    <w:overflowPunct/>
                    <w:topLinePunct w:val="0"/>
                    <w:bidi w:val="0"/>
                    <w:snapToGrid w:val="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i w:val="0"/>
                      <w:iCs w:val="0"/>
                      <w:color w:val="auto"/>
                      <w:kern w:val="0"/>
                      <w:sz w:val="21"/>
                      <w:szCs w:val="21"/>
                      <w:u w:val="none"/>
                      <w:lang w:val="en-US" w:eastAsia="zh-CN" w:bidi="ar"/>
                    </w:rPr>
                    <w:t>450</w:t>
                  </w:r>
                </w:p>
              </w:tc>
              <w:tc>
                <w:tcPr>
                  <w:tcW w:w="960" w:type="dxa"/>
                  <w:tcBorders>
                    <w:tl2br w:val="nil"/>
                    <w:tr2bl w:val="nil"/>
                  </w:tcBorders>
                  <w:vAlign w:val="center"/>
                </w:tcPr>
                <w:p w14:paraId="72E50CE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0.259</w:t>
                  </w:r>
                </w:p>
              </w:tc>
              <w:tc>
                <w:tcPr>
                  <w:tcW w:w="645" w:type="dxa"/>
                  <w:vMerge w:val="continue"/>
                  <w:tcBorders>
                    <w:tl2br w:val="nil"/>
                    <w:tr2bl w:val="nil"/>
                  </w:tcBorders>
                  <w:vAlign w:val="center"/>
                </w:tcPr>
                <w:p w14:paraId="160A051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585" w:type="dxa"/>
                  <w:tcBorders>
                    <w:tl2br w:val="nil"/>
                    <w:tr2bl w:val="nil"/>
                  </w:tcBorders>
                  <w:shd w:val="clear" w:color="auto" w:fill="auto"/>
                  <w:vAlign w:val="center"/>
                </w:tcPr>
                <w:p w14:paraId="4C288D95">
                  <w:pPr>
                    <w:keepNext w:val="0"/>
                    <w:keepLines w:val="0"/>
                    <w:pageBreakBefore w:val="0"/>
                    <w:widowControl/>
                    <w:kinsoku/>
                    <w:wordWrap/>
                    <w:overflowPunct/>
                    <w:topLinePunct w:val="0"/>
                    <w:bidi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13.3</w:t>
                  </w:r>
                </w:p>
              </w:tc>
              <w:tc>
                <w:tcPr>
                  <w:tcW w:w="705" w:type="dxa"/>
                  <w:vMerge w:val="continue"/>
                  <w:tcBorders>
                    <w:tl2br w:val="nil"/>
                    <w:tr2bl w:val="nil"/>
                  </w:tcBorders>
                  <w:vAlign w:val="center"/>
                </w:tcPr>
                <w:p w14:paraId="07FC7FC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05" w:type="dxa"/>
                  <w:tcBorders>
                    <w:tl2br w:val="nil"/>
                    <w:tr2bl w:val="nil"/>
                  </w:tcBorders>
                  <w:shd w:val="clear" w:color="auto" w:fill="auto"/>
                  <w:vAlign w:val="center"/>
                </w:tcPr>
                <w:p w14:paraId="3E1ED38C">
                  <w:pPr>
                    <w:keepNext w:val="0"/>
                    <w:keepLines w:val="0"/>
                    <w:pageBreakBefore w:val="0"/>
                    <w:kinsoku/>
                    <w:wordWrap/>
                    <w:overflowPunct/>
                    <w:topLinePunct w:val="0"/>
                    <w:bidi w:val="0"/>
                    <w:snapToGrid w:val="0"/>
                    <w:jc w:val="center"/>
                    <w:rPr>
                      <w:rFonts w:hint="default" w:ascii="Times New Roman" w:hAnsi="Times New Roman" w:eastAsia="宋体" w:cs="Times New Roman"/>
                      <w:bCs/>
                      <w:color w:val="auto"/>
                      <w:kern w:val="2"/>
                      <w:sz w:val="21"/>
                      <w:szCs w:val="24"/>
                      <w:lang w:val="en-US" w:eastAsia="zh-CN" w:bidi="ar-SA"/>
                    </w:rPr>
                  </w:pPr>
                  <w:r>
                    <w:rPr>
                      <w:rFonts w:hint="eastAsia"/>
                      <w:bCs/>
                      <w:color w:val="auto"/>
                      <w:lang w:val="en-US" w:eastAsia="zh-CN"/>
                    </w:rPr>
                    <w:t>390</w:t>
                  </w:r>
                </w:p>
              </w:tc>
              <w:tc>
                <w:tcPr>
                  <w:tcW w:w="900" w:type="dxa"/>
                  <w:tcBorders>
                    <w:tl2br w:val="nil"/>
                    <w:tr2bl w:val="nil"/>
                  </w:tcBorders>
                  <w:vAlign w:val="center"/>
                </w:tcPr>
                <w:p w14:paraId="5452020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0.225</w:t>
                  </w:r>
                </w:p>
              </w:tc>
              <w:tc>
                <w:tcPr>
                  <w:tcW w:w="684" w:type="dxa"/>
                  <w:vMerge w:val="continue"/>
                  <w:tcBorders>
                    <w:tl2br w:val="nil"/>
                    <w:tr2bl w:val="nil"/>
                  </w:tcBorders>
                  <w:vAlign w:val="center"/>
                </w:tcPr>
                <w:p w14:paraId="4A4EF71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r>
            <w:tr w14:paraId="2AD42C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continue"/>
                  <w:tcBorders>
                    <w:tl2br w:val="nil"/>
                    <w:tr2bl w:val="nil"/>
                  </w:tcBorders>
                  <w:vAlign w:val="center"/>
                </w:tcPr>
                <w:p w14:paraId="55CF146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50" w:type="dxa"/>
                  <w:tcBorders>
                    <w:tl2br w:val="nil"/>
                    <w:tr2bl w:val="nil"/>
                  </w:tcBorders>
                  <w:shd w:val="clear" w:color="auto" w:fill="auto"/>
                  <w:vAlign w:val="center"/>
                </w:tcPr>
                <w:p w14:paraId="1CF06FD8">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lang w:val="en-US" w:eastAsia="zh-CN" w:bidi="ar-SA"/>
                    </w:rPr>
                  </w:pPr>
                  <w:r>
                    <w:rPr>
                      <w:rFonts w:hint="eastAsia"/>
                      <w:color w:val="auto"/>
                      <w:szCs w:val="21"/>
                      <w:lang w:val="en-US" w:eastAsia="zh-CN"/>
                    </w:rPr>
                    <w:t>BOD</w:t>
                  </w:r>
                  <w:r>
                    <w:rPr>
                      <w:rFonts w:hint="eastAsia"/>
                      <w:color w:val="auto"/>
                      <w:szCs w:val="21"/>
                      <w:vertAlign w:val="subscript"/>
                      <w:lang w:val="en-US" w:eastAsia="zh-CN"/>
                    </w:rPr>
                    <w:t>5</w:t>
                  </w:r>
                </w:p>
              </w:tc>
              <w:tc>
                <w:tcPr>
                  <w:tcW w:w="660" w:type="dxa"/>
                  <w:vMerge w:val="continue"/>
                  <w:tcBorders>
                    <w:tl2br w:val="nil"/>
                    <w:tr2bl w:val="nil"/>
                  </w:tcBorders>
                  <w:vAlign w:val="center"/>
                </w:tcPr>
                <w:p w14:paraId="4396708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675" w:type="dxa"/>
                  <w:vMerge w:val="continue"/>
                  <w:tcBorders>
                    <w:tl2br w:val="nil"/>
                    <w:tr2bl w:val="nil"/>
                  </w:tcBorders>
                  <w:vAlign w:val="center"/>
                </w:tcPr>
                <w:p w14:paraId="450CAD9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825" w:type="dxa"/>
                  <w:tcBorders>
                    <w:tl2br w:val="nil"/>
                    <w:tr2bl w:val="nil"/>
                  </w:tcBorders>
                  <w:shd w:val="clear" w:color="auto" w:fill="auto"/>
                  <w:vAlign w:val="center"/>
                </w:tcPr>
                <w:p w14:paraId="1AE91ADF">
                  <w:pPr>
                    <w:keepNext w:val="0"/>
                    <w:keepLines w:val="0"/>
                    <w:pageBreakBefore w:val="0"/>
                    <w:widowControl/>
                    <w:suppressLineNumbers w:val="0"/>
                    <w:kinsoku/>
                    <w:wordWrap/>
                    <w:overflowPunct/>
                    <w:topLinePunct w:val="0"/>
                    <w:bidi w:val="0"/>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100</w:t>
                  </w:r>
                </w:p>
              </w:tc>
              <w:tc>
                <w:tcPr>
                  <w:tcW w:w="960" w:type="dxa"/>
                  <w:tcBorders>
                    <w:tl2br w:val="nil"/>
                    <w:tr2bl w:val="nil"/>
                  </w:tcBorders>
                  <w:vAlign w:val="center"/>
                </w:tcPr>
                <w:p w14:paraId="373BCD4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0.058</w:t>
                  </w:r>
                </w:p>
              </w:tc>
              <w:tc>
                <w:tcPr>
                  <w:tcW w:w="645" w:type="dxa"/>
                  <w:vMerge w:val="continue"/>
                  <w:tcBorders>
                    <w:tl2br w:val="nil"/>
                    <w:tr2bl w:val="nil"/>
                  </w:tcBorders>
                  <w:vAlign w:val="center"/>
                </w:tcPr>
                <w:p w14:paraId="2F93BCC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585" w:type="dxa"/>
                  <w:tcBorders>
                    <w:tl2br w:val="nil"/>
                    <w:tr2bl w:val="nil"/>
                  </w:tcBorders>
                  <w:shd w:val="clear" w:color="auto" w:fill="auto"/>
                  <w:vAlign w:val="center"/>
                </w:tcPr>
                <w:p w14:paraId="59F87F70">
                  <w:pPr>
                    <w:keepNext w:val="0"/>
                    <w:keepLines w:val="0"/>
                    <w:pageBreakBefore w:val="0"/>
                    <w:widowControl/>
                    <w:kinsoku/>
                    <w:wordWrap/>
                    <w:overflowPunct/>
                    <w:topLinePunct w:val="0"/>
                    <w:bidi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0</w:t>
                  </w:r>
                </w:p>
              </w:tc>
              <w:tc>
                <w:tcPr>
                  <w:tcW w:w="705" w:type="dxa"/>
                  <w:vMerge w:val="continue"/>
                  <w:tcBorders>
                    <w:tl2br w:val="nil"/>
                    <w:tr2bl w:val="nil"/>
                  </w:tcBorders>
                  <w:vAlign w:val="center"/>
                </w:tcPr>
                <w:p w14:paraId="153A80A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05" w:type="dxa"/>
                  <w:tcBorders>
                    <w:tl2br w:val="nil"/>
                    <w:tr2bl w:val="nil"/>
                  </w:tcBorders>
                  <w:shd w:val="clear" w:color="auto" w:fill="auto"/>
                  <w:vAlign w:val="center"/>
                </w:tcPr>
                <w:p w14:paraId="252C9FD9">
                  <w:pPr>
                    <w:keepNext w:val="0"/>
                    <w:keepLines w:val="0"/>
                    <w:pageBreakBefore w:val="0"/>
                    <w:kinsoku/>
                    <w:wordWrap/>
                    <w:overflowPunct/>
                    <w:topLinePunct w:val="0"/>
                    <w:bidi w:val="0"/>
                    <w:snapToGrid w:val="0"/>
                    <w:jc w:val="center"/>
                    <w:rPr>
                      <w:rFonts w:hint="default" w:ascii="Times New Roman" w:hAnsi="Times New Roman" w:eastAsia="宋体" w:cs="Times New Roman"/>
                      <w:bCs/>
                      <w:color w:val="auto"/>
                      <w:kern w:val="2"/>
                      <w:sz w:val="21"/>
                      <w:szCs w:val="24"/>
                      <w:lang w:val="en-US" w:eastAsia="zh-CN" w:bidi="ar-SA"/>
                    </w:rPr>
                  </w:pPr>
                  <w:r>
                    <w:rPr>
                      <w:rFonts w:hint="eastAsia"/>
                      <w:bCs/>
                      <w:color w:val="auto"/>
                    </w:rPr>
                    <w:t>1</w:t>
                  </w:r>
                  <w:r>
                    <w:rPr>
                      <w:rFonts w:hint="eastAsia"/>
                      <w:bCs/>
                      <w:color w:val="auto"/>
                      <w:lang w:val="en-US" w:eastAsia="zh-CN"/>
                    </w:rPr>
                    <w:t>00</w:t>
                  </w:r>
                </w:p>
              </w:tc>
              <w:tc>
                <w:tcPr>
                  <w:tcW w:w="900" w:type="dxa"/>
                  <w:tcBorders>
                    <w:tl2br w:val="nil"/>
                    <w:tr2bl w:val="nil"/>
                  </w:tcBorders>
                  <w:vAlign w:val="center"/>
                </w:tcPr>
                <w:p w14:paraId="03A2D72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0.058</w:t>
                  </w:r>
                </w:p>
              </w:tc>
              <w:tc>
                <w:tcPr>
                  <w:tcW w:w="684" w:type="dxa"/>
                  <w:vMerge w:val="continue"/>
                  <w:tcBorders>
                    <w:tl2br w:val="nil"/>
                    <w:tr2bl w:val="nil"/>
                  </w:tcBorders>
                  <w:vAlign w:val="center"/>
                </w:tcPr>
                <w:p w14:paraId="7296F75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r>
            <w:tr w14:paraId="2B6DA5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continue"/>
                  <w:tcBorders>
                    <w:tl2br w:val="nil"/>
                    <w:tr2bl w:val="nil"/>
                  </w:tcBorders>
                  <w:vAlign w:val="center"/>
                </w:tcPr>
                <w:p w14:paraId="306BB0B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50" w:type="dxa"/>
                  <w:tcBorders>
                    <w:tl2br w:val="nil"/>
                    <w:tr2bl w:val="nil"/>
                  </w:tcBorders>
                  <w:shd w:val="clear" w:color="auto" w:fill="auto"/>
                  <w:vAlign w:val="center"/>
                </w:tcPr>
                <w:p w14:paraId="12EB71E8">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SS</w:t>
                  </w:r>
                </w:p>
              </w:tc>
              <w:tc>
                <w:tcPr>
                  <w:tcW w:w="660" w:type="dxa"/>
                  <w:vMerge w:val="continue"/>
                  <w:tcBorders>
                    <w:tl2br w:val="nil"/>
                    <w:tr2bl w:val="nil"/>
                  </w:tcBorders>
                  <w:vAlign w:val="center"/>
                </w:tcPr>
                <w:p w14:paraId="49CDDD5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675" w:type="dxa"/>
                  <w:vMerge w:val="continue"/>
                  <w:tcBorders>
                    <w:tl2br w:val="nil"/>
                    <w:tr2bl w:val="nil"/>
                  </w:tcBorders>
                  <w:vAlign w:val="center"/>
                </w:tcPr>
                <w:p w14:paraId="4B30F10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825" w:type="dxa"/>
                  <w:tcBorders>
                    <w:tl2br w:val="nil"/>
                    <w:tr2bl w:val="nil"/>
                  </w:tcBorders>
                  <w:shd w:val="clear" w:color="auto" w:fill="auto"/>
                  <w:vAlign w:val="center"/>
                </w:tcPr>
                <w:p w14:paraId="6B00C582">
                  <w:pPr>
                    <w:keepNext w:val="0"/>
                    <w:keepLines w:val="0"/>
                    <w:pageBreakBefore w:val="0"/>
                    <w:widowControl/>
                    <w:suppressLineNumbers w:val="0"/>
                    <w:kinsoku/>
                    <w:wordWrap/>
                    <w:overflowPunct/>
                    <w:topLinePunct w:val="0"/>
                    <w:bidi w:val="0"/>
                    <w:snapToGrid w:val="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bidi="ar-SA"/>
                    </w:rPr>
                    <w:t>40</w:t>
                  </w:r>
                </w:p>
              </w:tc>
              <w:tc>
                <w:tcPr>
                  <w:tcW w:w="960" w:type="dxa"/>
                  <w:tcBorders>
                    <w:tl2br w:val="nil"/>
                    <w:tr2bl w:val="nil"/>
                  </w:tcBorders>
                  <w:vAlign w:val="center"/>
                </w:tcPr>
                <w:p w14:paraId="07F9E03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0.023</w:t>
                  </w:r>
                </w:p>
              </w:tc>
              <w:tc>
                <w:tcPr>
                  <w:tcW w:w="645" w:type="dxa"/>
                  <w:vMerge w:val="continue"/>
                  <w:tcBorders>
                    <w:tl2br w:val="nil"/>
                    <w:tr2bl w:val="nil"/>
                  </w:tcBorders>
                  <w:vAlign w:val="center"/>
                </w:tcPr>
                <w:p w14:paraId="7960FFA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585" w:type="dxa"/>
                  <w:tcBorders>
                    <w:tl2br w:val="nil"/>
                    <w:tr2bl w:val="nil"/>
                  </w:tcBorders>
                  <w:shd w:val="clear" w:color="auto" w:fill="auto"/>
                  <w:vAlign w:val="center"/>
                </w:tcPr>
                <w:p w14:paraId="06292E5C">
                  <w:pPr>
                    <w:keepNext w:val="0"/>
                    <w:keepLines w:val="0"/>
                    <w:pageBreakBefore w:val="0"/>
                    <w:widowControl/>
                    <w:kinsoku/>
                    <w:wordWrap/>
                    <w:overflowPunct/>
                    <w:topLinePunct w:val="0"/>
                    <w:bidi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color w:val="auto"/>
                      <w:kern w:val="0"/>
                      <w:szCs w:val="21"/>
                      <w:lang w:bidi="ar"/>
                    </w:rPr>
                    <w:t>25</w:t>
                  </w:r>
                </w:p>
              </w:tc>
              <w:tc>
                <w:tcPr>
                  <w:tcW w:w="705" w:type="dxa"/>
                  <w:vMerge w:val="continue"/>
                  <w:tcBorders>
                    <w:tl2br w:val="nil"/>
                    <w:tr2bl w:val="nil"/>
                  </w:tcBorders>
                  <w:vAlign w:val="center"/>
                </w:tcPr>
                <w:p w14:paraId="4211F11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05" w:type="dxa"/>
                  <w:tcBorders>
                    <w:tl2br w:val="nil"/>
                    <w:tr2bl w:val="nil"/>
                  </w:tcBorders>
                  <w:shd w:val="clear" w:color="auto" w:fill="auto"/>
                  <w:vAlign w:val="center"/>
                </w:tcPr>
                <w:p w14:paraId="18921DE3">
                  <w:pPr>
                    <w:keepNext w:val="0"/>
                    <w:keepLines w:val="0"/>
                    <w:pageBreakBefore w:val="0"/>
                    <w:kinsoku/>
                    <w:wordWrap/>
                    <w:overflowPunct/>
                    <w:topLinePunct w:val="0"/>
                    <w:bidi w:val="0"/>
                    <w:snapToGrid w:val="0"/>
                    <w:jc w:val="center"/>
                    <w:rPr>
                      <w:rFonts w:hint="default" w:ascii="Times New Roman" w:hAnsi="Times New Roman" w:eastAsia="宋体" w:cs="Times New Roman"/>
                      <w:bCs/>
                      <w:color w:val="auto"/>
                      <w:kern w:val="2"/>
                      <w:sz w:val="21"/>
                      <w:szCs w:val="24"/>
                      <w:lang w:val="en-US" w:eastAsia="zh-CN" w:bidi="ar-SA"/>
                    </w:rPr>
                  </w:pPr>
                  <w:r>
                    <w:rPr>
                      <w:rFonts w:hint="eastAsia"/>
                      <w:bCs/>
                      <w:color w:val="auto"/>
                      <w:lang w:val="en-US" w:eastAsia="zh-CN"/>
                    </w:rPr>
                    <w:t>30</w:t>
                  </w:r>
                </w:p>
              </w:tc>
              <w:tc>
                <w:tcPr>
                  <w:tcW w:w="900" w:type="dxa"/>
                  <w:tcBorders>
                    <w:tl2br w:val="nil"/>
                    <w:tr2bl w:val="nil"/>
                  </w:tcBorders>
                  <w:vAlign w:val="center"/>
                </w:tcPr>
                <w:p w14:paraId="1359989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0.0173</w:t>
                  </w:r>
                </w:p>
              </w:tc>
              <w:tc>
                <w:tcPr>
                  <w:tcW w:w="684" w:type="dxa"/>
                  <w:vMerge w:val="continue"/>
                  <w:tcBorders>
                    <w:tl2br w:val="nil"/>
                    <w:tr2bl w:val="nil"/>
                  </w:tcBorders>
                  <w:vAlign w:val="center"/>
                </w:tcPr>
                <w:p w14:paraId="059131D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r>
            <w:tr w14:paraId="57944D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continue"/>
                  <w:tcBorders>
                    <w:tl2br w:val="nil"/>
                    <w:tr2bl w:val="nil"/>
                  </w:tcBorders>
                  <w:vAlign w:val="center"/>
                </w:tcPr>
                <w:p w14:paraId="5316094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50" w:type="dxa"/>
                  <w:tcBorders>
                    <w:tl2br w:val="nil"/>
                    <w:tr2bl w:val="nil"/>
                  </w:tcBorders>
                  <w:shd w:val="clear" w:color="auto" w:fill="auto"/>
                  <w:vAlign w:val="center"/>
                </w:tcPr>
                <w:p w14:paraId="5C462AE1">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氨氮</w:t>
                  </w:r>
                </w:p>
              </w:tc>
              <w:tc>
                <w:tcPr>
                  <w:tcW w:w="660" w:type="dxa"/>
                  <w:vMerge w:val="continue"/>
                  <w:tcBorders>
                    <w:tl2br w:val="nil"/>
                    <w:tr2bl w:val="nil"/>
                  </w:tcBorders>
                  <w:vAlign w:val="center"/>
                </w:tcPr>
                <w:p w14:paraId="7414A91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675" w:type="dxa"/>
                  <w:vMerge w:val="continue"/>
                  <w:tcBorders>
                    <w:tl2br w:val="nil"/>
                    <w:tr2bl w:val="nil"/>
                  </w:tcBorders>
                  <w:vAlign w:val="center"/>
                </w:tcPr>
                <w:p w14:paraId="6F3B9EC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825" w:type="dxa"/>
                  <w:tcBorders>
                    <w:tl2br w:val="nil"/>
                    <w:tr2bl w:val="nil"/>
                  </w:tcBorders>
                  <w:shd w:val="clear" w:color="auto" w:fill="auto"/>
                  <w:vAlign w:val="center"/>
                </w:tcPr>
                <w:p w14:paraId="53E0768D">
                  <w:pPr>
                    <w:keepNext w:val="0"/>
                    <w:keepLines w:val="0"/>
                    <w:pageBreakBefore w:val="0"/>
                    <w:widowControl/>
                    <w:suppressLineNumbers w:val="0"/>
                    <w:kinsoku/>
                    <w:wordWrap/>
                    <w:overflowPunct/>
                    <w:topLinePunct w:val="0"/>
                    <w:bidi w:val="0"/>
                    <w:snapToGrid w:val="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bidi="ar-SA"/>
                    </w:rPr>
                    <w:t>25</w:t>
                  </w:r>
                </w:p>
              </w:tc>
              <w:tc>
                <w:tcPr>
                  <w:tcW w:w="960" w:type="dxa"/>
                  <w:tcBorders>
                    <w:tl2br w:val="nil"/>
                    <w:tr2bl w:val="nil"/>
                  </w:tcBorders>
                  <w:vAlign w:val="center"/>
                </w:tcPr>
                <w:p w14:paraId="1446641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0.0144</w:t>
                  </w:r>
                </w:p>
              </w:tc>
              <w:tc>
                <w:tcPr>
                  <w:tcW w:w="645" w:type="dxa"/>
                  <w:vMerge w:val="continue"/>
                  <w:tcBorders>
                    <w:tl2br w:val="nil"/>
                    <w:tr2bl w:val="nil"/>
                  </w:tcBorders>
                  <w:vAlign w:val="center"/>
                </w:tcPr>
                <w:p w14:paraId="2F60089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585" w:type="dxa"/>
                  <w:tcBorders>
                    <w:tl2br w:val="nil"/>
                    <w:tr2bl w:val="nil"/>
                  </w:tcBorders>
                  <w:shd w:val="clear" w:color="auto" w:fill="auto"/>
                  <w:vAlign w:val="center"/>
                </w:tcPr>
                <w:p w14:paraId="1EDE4944">
                  <w:pPr>
                    <w:keepNext w:val="0"/>
                    <w:keepLines w:val="0"/>
                    <w:pageBreakBefore w:val="0"/>
                    <w:widowControl/>
                    <w:kinsoku/>
                    <w:wordWrap/>
                    <w:overflowPunct/>
                    <w:topLinePunct w:val="0"/>
                    <w:bidi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color w:val="auto"/>
                      <w:kern w:val="0"/>
                      <w:szCs w:val="21"/>
                      <w:lang w:bidi="ar"/>
                    </w:rPr>
                    <w:t>0</w:t>
                  </w:r>
                </w:p>
              </w:tc>
              <w:tc>
                <w:tcPr>
                  <w:tcW w:w="705" w:type="dxa"/>
                  <w:vMerge w:val="continue"/>
                  <w:tcBorders>
                    <w:tl2br w:val="nil"/>
                    <w:tr2bl w:val="nil"/>
                  </w:tcBorders>
                  <w:vAlign w:val="center"/>
                </w:tcPr>
                <w:p w14:paraId="119E130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05" w:type="dxa"/>
                  <w:tcBorders>
                    <w:tl2br w:val="nil"/>
                    <w:tr2bl w:val="nil"/>
                  </w:tcBorders>
                  <w:shd w:val="clear" w:color="auto" w:fill="auto"/>
                  <w:vAlign w:val="center"/>
                </w:tcPr>
                <w:p w14:paraId="2B84BEC1">
                  <w:pPr>
                    <w:keepNext w:val="0"/>
                    <w:keepLines w:val="0"/>
                    <w:pageBreakBefore w:val="0"/>
                    <w:kinsoku/>
                    <w:wordWrap/>
                    <w:overflowPunct/>
                    <w:topLinePunct w:val="0"/>
                    <w:bidi w:val="0"/>
                    <w:snapToGrid w:val="0"/>
                    <w:jc w:val="center"/>
                    <w:rPr>
                      <w:rFonts w:hint="default" w:ascii="Times New Roman" w:hAnsi="Times New Roman" w:eastAsia="宋体" w:cs="Times New Roman"/>
                      <w:bCs/>
                      <w:color w:val="auto"/>
                      <w:kern w:val="2"/>
                      <w:sz w:val="21"/>
                      <w:szCs w:val="24"/>
                      <w:lang w:val="en-US" w:eastAsia="zh-CN" w:bidi="ar-SA"/>
                    </w:rPr>
                  </w:pPr>
                  <w:r>
                    <w:rPr>
                      <w:rFonts w:hint="eastAsia"/>
                      <w:bCs/>
                      <w:color w:val="auto"/>
                    </w:rPr>
                    <w:t>25</w:t>
                  </w:r>
                </w:p>
              </w:tc>
              <w:tc>
                <w:tcPr>
                  <w:tcW w:w="900" w:type="dxa"/>
                  <w:tcBorders>
                    <w:tl2br w:val="nil"/>
                    <w:tr2bl w:val="nil"/>
                  </w:tcBorders>
                  <w:vAlign w:val="center"/>
                </w:tcPr>
                <w:p w14:paraId="380C6CE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0.0144</w:t>
                  </w:r>
                </w:p>
              </w:tc>
              <w:tc>
                <w:tcPr>
                  <w:tcW w:w="684" w:type="dxa"/>
                  <w:vMerge w:val="continue"/>
                  <w:tcBorders>
                    <w:tl2br w:val="nil"/>
                    <w:tr2bl w:val="nil"/>
                  </w:tcBorders>
                  <w:vAlign w:val="center"/>
                </w:tcPr>
                <w:p w14:paraId="6AFC679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r>
            <w:tr w14:paraId="0007BE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continue"/>
                  <w:tcBorders>
                    <w:tl2br w:val="nil"/>
                    <w:tr2bl w:val="nil"/>
                  </w:tcBorders>
                  <w:vAlign w:val="center"/>
                </w:tcPr>
                <w:p w14:paraId="0A6B5CE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50" w:type="dxa"/>
                  <w:tcBorders>
                    <w:tl2br w:val="nil"/>
                    <w:tr2bl w:val="nil"/>
                  </w:tcBorders>
                  <w:shd w:val="clear" w:color="auto" w:fill="auto"/>
                  <w:vAlign w:val="center"/>
                </w:tcPr>
                <w:p w14:paraId="20DB6285">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总氮</w:t>
                  </w:r>
                </w:p>
              </w:tc>
              <w:tc>
                <w:tcPr>
                  <w:tcW w:w="660" w:type="dxa"/>
                  <w:vMerge w:val="continue"/>
                  <w:tcBorders>
                    <w:tl2br w:val="nil"/>
                    <w:tr2bl w:val="nil"/>
                  </w:tcBorders>
                  <w:vAlign w:val="center"/>
                </w:tcPr>
                <w:p w14:paraId="21D9775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675" w:type="dxa"/>
                  <w:vMerge w:val="continue"/>
                  <w:tcBorders>
                    <w:tl2br w:val="nil"/>
                    <w:tr2bl w:val="nil"/>
                  </w:tcBorders>
                  <w:vAlign w:val="center"/>
                </w:tcPr>
                <w:p w14:paraId="2EB84B0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825" w:type="dxa"/>
                  <w:tcBorders>
                    <w:tl2br w:val="nil"/>
                    <w:tr2bl w:val="nil"/>
                  </w:tcBorders>
                  <w:shd w:val="clear" w:color="auto" w:fill="auto"/>
                  <w:vAlign w:val="center"/>
                </w:tcPr>
                <w:p w14:paraId="2999FFC8">
                  <w:pPr>
                    <w:keepNext w:val="0"/>
                    <w:keepLines w:val="0"/>
                    <w:pageBreakBefore w:val="0"/>
                    <w:widowControl/>
                    <w:suppressLineNumbers w:val="0"/>
                    <w:kinsoku/>
                    <w:wordWrap/>
                    <w:overflowPunct/>
                    <w:topLinePunct w:val="0"/>
                    <w:bidi w:val="0"/>
                    <w:snapToGrid w:val="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bidi="ar-SA"/>
                    </w:rPr>
                    <w:t>30</w:t>
                  </w:r>
                </w:p>
              </w:tc>
              <w:tc>
                <w:tcPr>
                  <w:tcW w:w="960" w:type="dxa"/>
                  <w:tcBorders>
                    <w:tl2br w:val="nil"/>
                    <w:tr2bl w:val="nil"/>
                  </w:tcBorders>
                  <w:vAlign w:val="center"/>
                </w:tcPr>
                <w:p w14:paraId="37CDBC4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0.0173</w:t>
                  </w:r>
                </w:p>
              </w:tc>
              <w:tc>
                <w:tcPr>
                  <w:tcW w:w="645" w:type="dxa"/>
                  <w:vMerge w:val="continue"/>
                  <w:tcBorders>
                    <w:tl2br w:val="nil"/>
                    <w:tr2bl w:val="nil"/>
                  </w:tcBorders>
                  <w:vAlign w:val="center"/>
                </w:tcPr>
                <w:p w14:paraId="54AA998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585" w:type="dxa"/>
                  <w:tcBorders>
                    <w:tl2br w:val="nil"/>
                    <w:tr2bl w:val="nil"/>
                  </w:tcBorders>
                  <w:shd w:val="clear" w:color="auto" w:fill="auto"/>
                  <w:vAlign w:val="center"/>
                </w:tcPr>
                <w:p w14:paraId="4924C3AA">
                  <w:pPr>
                    <w:keepNext w:val="0"/>
                    <w:keepLines w:val="0"/>
                    <w:pageBreakBefore w:val="0"/>
                    <w:widowControl/>
                    <w:kinsoku/>
                    <w:wordWrap/>
                    <w:overflowPunct/>
                    <w:topLinePunct w:val="0"/>
                    <w:bidi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color w:val="auto"/>
                      <w:kern w:val="0"/>
                      <w:szCs w:val="21"/>
                      <w:lang w:bidi="ar"/>
                    </w:rPr>
                    <w:t>0</w:t>
                  </w:r>
                </w:p>
              </w:tc>
              <w:tc>
                <w:tcPr>
                  <w:tcW w:w="705" w:type="dxa"/>
                  <w:vMerge w:val="continue"/>
                  <w:tcBorders>
                    <w:tl2br w:val="nil"/>
                    <w:tr2bl w:val="nil"/>
                  </w:tcBorders>
                  <w:vAlign w:val="center"/>
                </w:tcPr>
                <w:p w14:paraId="0FE50AE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05" w:type="dxa"/>
                  <w:tcBorders>
                    <w:tl2br w:val="nil"/>
                    <w:tr2bl w:val="nil"/>
                  </w:tcBorders>
                  <w:shd w:val="clear" w:color="auto" w:fill="auto"/>
                  <w:vAlign w:val="center"/>
                </w:tcPr>
                <w:p w14:paraId="11B28F5B">
                  <w:pPr>
                    <w:keepNext w:val="0"/>
                    <w:keepLines w:val="0"/>
                    <w:pageBreakBefore w:val="0"/>
                    <w:kinsoku/>
                    <w:wordWrap/>
                    <w:overflowPunct/>
                    <w:topLinePunct w:val="0"/>
                    <w:bidi w:val="0"/>
                    <w:snapToGrid w:val="0"/>
                    <w:jc w:val="center"/>
                    <w:rPr>
                      <w:rFonts w:hint="default" w:ascii="Times New Roman" w:hAnsi="Times New Roman" w:eastAsia="宋体" w:cs="Times New Roman"/>
                      <w:bCs/>
                      <w:color w:val="auto"/>
                      <w:kern w:val="2"/>
                      <w:sz w:val="21"/>
                      <w:szCs w:val="24"/>
                      <w:lang w:val="en-US" w:eastAsia="zh-CN" w:bidi="ar-SA"/>
                    </w:rPr>
                  </w:pPr>
                  <w:r>
                    <w:rPr>
                      <w:rFonts w:hint="eastAsia"/>
                      <w:bCs/>
                      <w:color w:val="auto"/>
                    </w:rPr>
                    <w:t>30</w:t>
                  </w:r>
                </w:p>
              </w:tc>
              <w:tc>
                <w:tcPr>
                  <w:tcW w:w="900" w:type="dxa"/>
                  <w:tcBorders>
                    <w:tl2br w:val="nil"/>
                    <w:tr2bl w:val="nil"/>
                  </w:tcBorders>
                  <w:shd w:val="clear" w:color="auto" w:fill="auto"/>
                  <w:vAlign w:val="center"/>
                </w:tcPr>
                <w:p w14:paraId="6E9B855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0.0173</w:t>
                  </w:r>
                </w:p>
              </w:tc>
              <w:tc>
                <w:tcPr>
                  <w:tcW w:w="684" w:type="dxa"/>
                  <w:vMerge w:val="continue"/>
                  <w:tcBorders>
                    <w:tl2br w:val="nil"/>
                    <w:tr2bl w:val="nil"/>
                  </w:tcBorders>
                  <w:vAlign w:val="center"/>
                </w:tcPr>
                <w:p w14:paraId="53995EE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r>
            <w:tr w14:paraId="7E41C0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continue"/>
                  <w:tcBorders>
                    <w:tl2br w:val="nil"/>
                    <w:tr2bl w:val="nil"/>
                  </w:tcBorders>
                  <w:vAlign w:val="center"/>
                </w:tcPr>
                <w:p w14:paraId="3C41968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50" w:type="dxa"/>
                  <w:tcBorders>
                    <w:tl2br w:val="nil"/>
                    <w:tr2bl w:val="nil"/>
                  </w:tcBorders>
                  <w:shd w:val="clear" w:color="auto" w:fill="auto"/>
                  <w:vAlign w:val="center"/>
                </w:tcPr>
                <w:p w14:paraId="632C19B0">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总磷</w:t>
                  </w:r>
                </w:p>
              </w:tc>
              <w:tc>
                <w:tcPr>
                  <w:tcW w:w="660" w:type="dxa"/>
                  <w:vMerge w:val="continue"/>
                  <w:tcBorders>
                    <w:tl2br w:val="nil"/>
                    <w:tr2bl w:val="nil"/>
                  </w:tcBorders>
                  <w:vAlign w:val="center"/>
                </w:tcPr>
                <w:p w14:paraId="34E12F6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675" w:type="dxa"/>
                  <w:vMerge w:val="continue"/>
                  <w:tcBorders>
                    <w:tl2br w:val="nil"/>
                    <w:tr2bl w:val="nil"/>
                  </w:tcBorders>
                  <w:vAlign w:val="center"/>
                </w:tcPr>
                <w:p w14:paraId="37A0D54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825" w:type="dxa"/>
                  <w:tcBorders>
                    <w:tl2br w:val="nil"/>
                    <w:tr2bl w:val="nil"/>
                  </w:tcBorders>
                  <w:shd w:val="clear" w:color="auto" w:fill="auto"/>
                  <w:vAlign w:val="center"/>
                </w:tcPr>
                <w:p w14:paraId="2E6CCC88">
                  <w:pPr>
                    <w:keepNext w:val="0"/>
                    <w:keepLines w:val="0"/>
                    <w:pageBreakBefore w:val="0"/>
                    <w:widowControl/>
                    <w:suppressLineNumbers w:val="0"/>
                    <w:kinsoku/>
                    <w:wordWrap/>
                    <w:overflowPunct/>
                    <w:topLinePunct w:val="0"/>
                    <w:bidi w:val="0"/>
                    <w:snapToGrid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w:t>
                  </w:r>
                </w:p>
              </w:tc>
              <w:tc>
                <w:tcPr>
                  <w:tcW w:w="960" w:type="dxa"/>
                  <w:tcBorders>
                    <w:tl2br w:val="nil"/>
                    <w:tr2bl w:val="nil"/>
                  </w:tcBorders>
                  <w:vAlign w:val="center"/>
                </w:tcPr>
                <w:p w14:paraId="753D207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0.00173</w:t>
                  </w:r>
                </w:p>
              </w:tc>
              <w:tc>
                <w:tcPr>
                  <w:tcW w:w="645" w:type="dxa"/>
                  <w:vMerge w:val="continue"/>
                  <w:tcBorders>
                    <w:tl2br w:val="nil"/>
                    <w:tr2bl w:val="nil"/>
                  </w:tcBorders>
                  <w:vAlign w:val="center"/>
                </w:tcPr>
                <w:p w14:paraId="3CE2354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585" w:type="dxa"/>
                  <w:tcBorders>
                    <w:tl2br w:val="nil"/>
                    <w:tr2bl w:val="nil"/>
                  </w:tcBorders>
                  <w:shd w:val="clear" w:color="auto" w:fill="auto"/>
                  <w:vAlign w:val="center"/>
                </w:tcPr>
                <w:p w14:paraId="2EB8F46A">
                  <w:pPr>
                    <w:keepNext w:val="0"/>
                    <w:keepLines w:val="0"/>
                    <w:pageBreakBefore w:val="0"/>
                    <w:widowControl/>
                    <w:kinsoku/>
                    <w:wordWrap/>
                    <w:overflowPunct/>
                    <w:topLinePunct w:val="0"/>
                    <w:bidi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color w:val="auto"/>
                      <w:kern w:val="0"/>
                      <w:szCs w:val="21"/>
                      <w:lang w:bidi="ar"/>
                    </w:rPr>
                    <w:t>0</w:t>
                  </w:r>
                </w:p>
              </w:tc>
              <w:tc>
                <w:tcPr>
                  <w:tcW w:w="705" w:type="dxa"/>
                  <w:vMerge w:val="continue"/>
                  <w:tcBorders>
                    <w:tl2br w:val="nil"/>
                    <w:tr2bl w:val="nil"/>
                  </w:tcBorders>
                  <w:vAlign w:val="center"/>
                </w:tcPr>
                <w:p w14:paraId="01D2E84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05" w:type="dxa"/>
                  <w:tcBorders>
                    <w:tl2br w:val="nil"/>
                    <w:tr2bl w:val="nil"/>
                  </w:tcBorders>
                  <w:shd w:val="clear" w:color="auto" w:fill="auto"/>
                  <w:vAlign w:val="center"/>
                </w:tcPr>
                <w:p w14:paraId="71006FEA">
                  <w:pPr>
                    <w:keepNext w:val="0"/>
                    <w:keepLines w:val="0"/>
                    <w:pageBreakBefore w:val="0"/>
                    <w:kinsoku/>
                    <w:wordWrap/>
                    <w:overflowPunct/>
                    <w:topLinePunct w:val="0"/>
                    <w:bidi w:val="0"/>
                    <w:snapToGrid w:val="0"/>
                    <w:jc w:val="center"/>
                    <w:rPr>
                      <w:rFonts w:hint="default" w:ascii="Times New Roman" w:hAnsi="Times New Roman" w:eastAsia="宋体" w:cs="Times New Roman"/>
                      <w:bCs/>
                      <w:color w:val="auto"/>
                      <w:kern w:val="2"/>
                      <w:sz w:val="21"/>
                      <w:szCs w:val="24"/>
                      <w:lang w:val="en-US" w:eastAsia="zh-CN" w:bidi="ar-SA"/>
                    </w:rPr>
                  </w:pPr>
                  <w:r>
                    <w:rPr>
                      <w:rFonts w:hint="eastAsia"/>
                      <w:bCs/>
                      <w:color w:val="auto"/>
                    </w:rPr>
                    <w:t>3</w:t>
                  </w:r>
                </w:p>
              </w:tc>
              <w:tc>
                <w:tcPr>
                  <w:tcW w:w="900" w:type="dxa"/>
                  <w:tcBorders>
                    <w:tl2br w:val="nil"/>
                    <w:tr2bl w:val="nil"/>
                  </w:tcBorders>
                  <w:vAlign w:val="center"/>
                </w:tcPr>
                <w:p w14:paraId="47E000E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0.00173</w:t>
                  </w:r>
                </w:p>
              </w:tc>
              <w:tc>
                <w:tcPr>
                  <w:tcW w:w="684" w:type="dxa"/>
                  <w:vMerge w:val="continue"/>
                  <w:tcBorders>
                    <w:tl2br w:val="nil"/>
                    <w:tr2bl w:val="nil"/>
                  </w:tcBorders>
                  <w:vAlign w:val="center"/>
                </w:tcPr>
                <w:p w14:paraId="0A2768B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r>
            <w:tr w14:paraId="7E7575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restart"/>
                  <w:tcBorders>
                    <w:tl2br w:val="nil"/>
                    <w:tr2bl w:val="nil"/>
                  </w:tcBorders>
                  <w:vAlign w:val="center"/>
                </w:tcPr>
                <w:p w14:paraId="3BD78A9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生产废水</w:t>
                  </w:r>
                </w:p>
              </w:tc>
              <w:tc>
                <w:tcPr>
                  <w:tcW w:w="750" w:type="dxa"/>
                  <w:tcBorders>
                    <w:tl2br w:val="nil"/>
                    <w:tr2bl w:val="nil"/>
                  </w:tcBorders>
                  <w:shd w:val="clear" w:color="auto" w:fill="auto"/>
                  <w:vAlign w:val="center"/>
                </w:tcPr>
                <w:p w14:paraId="52714BB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pH</w:t>
                  </w:r>
                </w:p>
              </w:tc>
              <w:tc>
                <w:tcPr>
                  <w:tcW w:w="660" w:type="dxa"/>
                  <w:vMerge w:val="restart"/>
                  <w:tcBorders>
                    <w:tl2br w:val="nil"/>
                    <w:tr2bl w:val="nil"/>
                  </w:tcBorders>
                  <w:vAlign w:val="center"/>
                </w:tcPr>
                <w:p w14:paraId="16E1165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类比法</w:t>
                  </w:r>
                </w:p>
              </w:tc>
              <w:tc>
                <w:tcPr>
                  <w:tcW w:w="675" w:type="dxa"/>
                  <w:vMerge w:val="restart"/>
                  <w:tcBorders>
                    <w:tl2br w:val="nil"/>
                    <w:tr2bl w:val="nil"/>
                  </w:tcBorders>
                  <w:vAlign w:val="center"/>
                </w:tcPr>
                <w:p w14:paraId="3BE145A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1800</w:t>
                  </w:r>
                </w:p>
              </w:tc>
              <w:tc>
                <w:tcPr>
                  <w:tcW w:w="825" w:type="dxa"/>
                  <w:tcBorders>
                    <w:tl2br w:val="nil"/>
                    <w:tr2bl w:val="nil"/>
                  </w:tcBorders>
                  <w:vAlign w:val="center"/>
                </w:tcPr>
                <w:p w14:paraId="436300E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4~6</w:t>
                  </w:r>
                </w:p>
              </w:tc>
              <w:tc>
                <w:tcPr>
                  <w:tcW w:w="960" w:type="dxa"/>
                  <w:tcBorders>
                    <w:tl2br w:val="nil"/>
                    <w:tr2bl w:val="nil"/>
                  </w:tcBorders>
                  <w:vAlign w:val="center"/>
                </w:tcPr>
                <w:p w14:paraId="21CDB83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w:t>
                  </w:r>
                </w:p>
              </w:tc>
              <w:tc>
                <w:tcPr>
                  <w:tcW w:w="645" w:type="dxa"/>
                  <w:vMerge w:val="restart"/>
                  <w:tcBorders>
                    <w:tl2br w:val="nil"/>
                    <w:tr2bl w:val="nil"/>
                  </w:tcBorders>
                  <w:vAlign w:val="center"/>
                </w:tcPr>
                <w:p w14:paraId="272701F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cs="Times New Roman"/>
                      <w:color w:val="auto"/>
                      <w:sz w:val="21"/>
                      <w:szCs w:val="21"/>
                      <w:lang w:val="en-US" w:eastAsia="zh-CN"/>
                    </w:rPr>
                    <w:t>调节+中和</w:t>
                  </w:r>
                  <w:r>
                    <w:rPr>
                      <w:rFonts w:hint="default" w:ascii="Times New Roman" w:hAnsi="Times New Roman" w:eastAsia="宋体" w:cs="Times New Roman"/>
                      <w:bCs/>
                      <w:color w:val="auto"/>
                      <w:kern w:val="0"/>
                      <w:szCs w:val="21"/>
                    </w:rPr>
                    <w:t>+</w:t>
                  </w:r>
                  <w:r>
                    <w:rPr>
                      <w:rFonts w:hint="eastAsia" w:cs="Times New Roman"/>
                      <w:bCs/>
                      <w:color w:val="auto"/>
                      <w:kern w:val="0"/>
                      <w:szCs w:val="21"/>
                      <w:lang w:val="en-US" w:eastAsia="zh-CN"/>
                    </w:rPr>
                    <w:t>混</w:t>
                  </w:r>
                  <w:r>
                    <w:rPr>
                      <w:rFonts w:hint="eastAsia" w:ascii="Times New Roman" w:hAnsi="Times New Roman" w:cs="Times New Roman"/>
                      <w:bCs/>
                      <w:color w:val="auto"/>
                      <w:kern w:val="0"/>
                      <w:szCs w:val="21"/>
                      <w:lang w:val="en-US" w:eastAsia="zh-CN"/>
                    </w:rPr>
                    <w:t>凝沉淀</w:t>
                  </w:r>
                  <w:r>
                    <w:rPr>
                      <w:rFonts w:hint="eastAsia" w:cs="Times New Roman"/>
                      <w:bCs/>
                      <w:color w:val="auto"/>
                      <w:kern w:val="0"/>
                      <w:szCs w:val="21"/>
                      <w:lang w:val="en-US" w:eastAsia="zh-CN"/>
                    </w:rPr>
                    <w:t>+高效过滤</w:t>
                  </w:r>
                </w:p>
              </w:tc>
              <w:tc>
                <w:tcPr>
                  <w:tcW w:w="585" w:type="dxa"/>
                  <w:tcBorders>
                    <w:tl2br w:val="nil"/>
                    <w:tr2bl w:val="nil"/>
                  </w:tcBorders>
                  <w:vAlign w:val="center"/>
                </w:tcPr>
                <w:p w14:paraId="0449983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w:t>
                  </w:r>
                </w:p>
              </w:tc>
              <w:tc>
                <w:tcPr>
                  <w:tcW w:w="705" w:type="dxa"/>
                  <w:vMerge w:val="restart"/>
                  <w:tcBorders>
                    <w:tl2br w:val="nil"/>
                    <w:tr2bl w:val="nil"/>
                  </w:tcBorders>
                  <w:vAlign w:val="center"/>
                </w:tcPr>
                <w:p w14:paraId="3BF2D87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1800</w:t>
                  </w:r>
                </w:p>
              </w:tc>
              <w:tc>
                <w:tcPr>
                  <w:tcW w:w="705" w:type="dxa"/>
                  <w:tcBorders>
                    <w:tl2br w:val="nil"/>
                    <w:tr2bl w:val="nil"/>
                  </w:tcBorders>
                  <w:vAlign w:val="center"/>
                </w:tcPr>
                <w:p w14:paraId="382A0DD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6~9</w:t>
                  </w:r>
                </w:p>
              </w:tc>
              <w:tc>
                <w:tcPr>
                  <w:tcW w:w="900" w:type="dxa"/>
                  <w:tcBorders>
                    <w:tl2br w:val="nil"/>
                    <w:tr2bl w:val="nil"/>
                  </w:tcBorders>
                  <w:vAlign w:val="center"/>
                </w:tcPr>
                <w:p w14:paraId="7ECCBCB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w:t>
                  </w:r>
                </w:p>
              </w:tc>
              <w:tc>
                <w:tcPr>
                  <w:tcW w:w="684" w:type="dxa"/>
                  <w:vMerge w:val="continue"/>
                  <w:tcBorders>
                    <w:tl2br w:val="nil"/>
                    <w:tr2bl w:val="nil"/>
                  </w:tcBorders>
                  <w:vAlign w:val="center"/>
                </w:tcPr>
                <w:p w14:paraId="174F106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r>
            <w:tr w14:paraId="2DE7BB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continue"/>
                  <w:tcBorders>
                    <w:tl2br w:val="nil"/>
                    <w:tr2bl w:val="nil"/>
                  </w:tcBorders>
                  <w:vAlign w:val="center"/>
                </w:tcPr>
                <w:p w14:paraId="1A835A2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50" w:type="dxa"/>
                  <w:tcBorders>
                    <w:tl2br w:val="nil"/>
                    <w:tr2bl w:val="nil"/>
                  </w:tcBorders>
                  <w:shd w:val="clear" w:color="auto" w:fill="auto"/>
                  <w:vAlign w:val="center"/>
                </w:tcPr>
                <w:p w14:paraId="2B87BA35">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COD</w:t>
                  </w:r>
                </w:p>
              </w:tc>
              <w:tc>
                <w:tcPr>
                  <w:tcW w:w="660" w:type="dxa"/>
                  <w:vMerge w:val="continue"/>
                  <w:tcBorders>
                    <w:tl2br w:val="nil"/>
                    <w:tr2bl w:val="nil"/>
                  </w:tcBorders>
                  <w:vAlign w:val="center"/>
                </w:tcPr>
                <w:p w14:paraId="18044CB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675" w:type="dxa"/>
                  <w:vMerge w:val="continue"/>
                  <w:tcBorders>
                    <w:tl2br w:val="nil"/>
                    <w:tr2bl w:val="nil"/>
                  </w:tcBorders>
                  <w:vAlign w:val="center"/>
                </w:tcPr>
                <w:p w14:paraId="4054F35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825" w:type="dxa"/>
                  <w:tcBorders>
                    <w:tl2br w:val="nil"/>
                    <w:tr2bl w:val="nil"/>
                  </w:tcBorders>
                  <w:vAlign w:val="center"/>
                </w:tcPr>
                <w:p w14:paraId="3C42F92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250</w:t>
                  </w:r>
                </w:p>
              </w:tc>
              <w:tc>
                <w:tcPr>
                  <w:tcW w:w="960" w:type="dxa"/>
                  <w:tcBorders>
                    <w:tl2br w:val="nil"/>
                    <w:tr2bl w:val="nil"/>
                  </w:tcBorders>
                  <w:vAlign w:val="center"/>
                </w:tcPr>
                <w:p w14:paraId="023CA66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0.45</w:t>
                  </w:r>
                </w:p>
              </w:tc>
              <w:tc>
                <w:tcPr>
                  <w:tcW w:w="645" w:type="dxa"/>
                  <w:vMerge w:val="continue"/>
                  <w:tcBorders>
                    <w:tl2br w:val="nil"/>
                    <w:tr2bl w:val="nil"/>
                  </w:tcBorders>
                  <w:vAlign w:val="center"/>
                </w:tcPr>
                <w:p w14:paraId="1BE3458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585" w:type="dxa"/>
                  <w:tcBorders>
                    <w:tl2br w:val="nil"/>
                    <w:tr2bl w:val="nil"/>
                  </w:tcBorders>
                  <w:vAlign w:val="center"/>
                </w:tcPr>
                <w:p w14:paraId="42E8B7C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30</w:t>
                  </w:r>
                </w:p>
              </w:tc>
              <w:tc>
                <w:tcPr>
                  <w:tcW w:w="705" w:type="dxa"/>
                  <w:vMerge w:val="continue"/>
                  <w:tcBorders>
                    <w:tl2br w:val="nil"/>
                    <w:tr2bl w:val="nil"/>
                  </w:tcBorders>
                  <w:vAlign w:val="center"/>
                </w:tcPr>
                <w:p w14:paraId="2987ACA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05" w:type="dxa"/>
                  <w:tcBorders>
                    <w:tl2br w:val="nil"/>
                    <w:tr2bl w:val="nil"/>
                  </w:tcBorders>
                  <w:shd w:val="clear" w:color="auto" w:fill="auto"/>
                  <w:vAlign w:val="center"/>
                </w:tcPr>
                <w:p w14:paraId="2B40468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cs="Times New Roman"/>
                      <w:b w:val="0"/>
                      <w:bCs/>
                      <w:color w:val="auto"/>
                      <w:kern w:val="0"/>
                      <w:sz w:val="21"/>
                      <w:szCs w:val="21"/>
                      <w:vertAlign w:val="baseline"/>
                      <w:lang w:val="en-US" w:eastAsia="zh-CN" w:bidi="ar-SA"/>
                    </w:rPr>
                    <w:t>175</w:t>
                  </w:r>
                </w:p>
              </w:tc>
              <w:tc>
                <w:tcPr>
                  <w:tcW w:w="900" w:type="dxa"/>
                  <w:tcBorders>
                    <w:tl2br w:val="nil"/>
                    <w:tr2bl w:val="nil"/>
                  </w:tcBorders>
                  <w:vAlign w:val="center"/>
                </w:tcPr>
                <w:p w14:paraId="08356DE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0.315</w:t>
                  </w:r>
                </w:p>
              </w:tc>
              <w:tc>
                <w:tcPr>
                  <w:tcW w:w="684" w:type="dxa"/>
                  <w:vMerge w:val="continue"/>
                  <w:tcBorders>
                    <w:tl2br w:val="nil"/>
                    <w:tr2bl w:val="nil"/>
                  </w:tcBorders>
                  <w:vAlign w:val="center"/>
                </w:tcPr>
                <w:p w14:paraId="452F91E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r>
            <w:tr w14:paraId="4D7AF7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continue"/>
                  <w:tcBorders>
                    <w:tl2br w:val="nil"/>
                    <w:tr2bl w:val="nil"/>
                  </w:tcBorders>
                  <w:vAlign w:val="center"/>
                </w:tcPr>
                <w:p w14:paraId="1D2267F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50" w:type="dxa"/>
                  <w:tcBorders>
                    <w:tl2br w:val="nil"/>
                    <w:tr2bl w:val="nil"/>
                  </w:tcBorders>
                  <w:shd w:val="clear" w:color="auto" w:fill="auto"/>
                  <w:vAlign w:val="center"/>
                </w:tcPr>
                <w:p w14:paraId="13D042E3">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lang w:val="en-US" w:eastAsia="zh-CN" w:bidi="ar-SA"/>
                    </w:rPr>
                  </w:pPr>
                  <w:r>
                    <w:rPr>
                      <w:rFonts w:hint="eastAsia"/>
                      <w:color w:val="auto"/>
                      <w:szCs w:val="21"/>
                      <w:lang w:val="en-US" w:eastAsia="zh-CN"/>
                    </w:rPr>
                    <w:t>BOD</w:t>
                  </w:r>
                  <w:r>
                    <w:rPr>
                      <w:rFonts w:hint="eastAsia"/>
                      <w:color w:val="auto"/>
                      <w:szCs w:val="21"/>
                      <w:vertAlign w:val="subscript"/>
                      <w:lang w:val="en-US" w:eastAsia="zh-CN"/>
                    </w:rPr>
                    <w:t>5</w:t>
                  </w:r>
                </w:p>
              </w:tc>
              <w:tc>
                <w:tcPr>
                  <w:tcW w:w="660" w:type="dxa"/>
                  <w:vMerge w:val="continue"/>
                  <w:tcBorders>
                    <w:tl2br w:val="nil"/>
                    <w:tr2bl w:val="nil"/>
                  </w:tcBorders>
                  <w:vAlign w:val="center"/>
                </w:tcPr>
                <w:p w14:paraId="55E4F81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675" w:type="dxa"/>
                  <w:vMerge w:val="continue"/>
                  <w:tcBorders>
                    <w:tl2br w:val="nil"/>
                    <w:tr2bl w:val="nil"/>
                  </w:tcBorders>
                  <w:vAlign w:val="center"/>
                </w:tcPr>
                <w:p w14:paraId="367CBFB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825" w:type="dxa"/>
                  <w:tcBorders>
                    <w:tl2br w:val="nil"/>
                    <w:tr2bl w:val="nil"/>
                  </w:tcBorders>
                  <w:vAlign w:val="center"/>
                </w:tcPr>
                <w:p w14:paraId="2CFE5E5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120</w:t>
                  </w:r>
                </w:p>
              </w:tc>
              <w:tc>
                <w:tcPr>
                  <w:tcW w:w="960" w:type="dxa"/>
                  <w:tcBorders>
                    <w:tl2br w:val="nil"/>
                    <w:tr2bl w:val="nil"/>
                  </w:tcBorders>
                  <w:vAlign w:val="center"/>
                </w:tcPr>
                <w:p w14:paraId="0B3B898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0.216</w:t>
                  </w:r>
                </w:p>
              </w:tc>
              <w:tc>
                <w:tcPr>
                  <w:tcW w:w="645" w:type="dxa"/>
                  <w:vMerge w:val="continue"/>
                  <w:tcBorders>
                    <w:tl2br w:val="nil"/>
                    <w:tr2bl w:val="nil"/>
                  </w:tcBorders>
                  <w:vAlign w:val="center"/>
                </w:tcPr>
                <w:p w14:paraId="14772B1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585" w:type="dxa"/>
                  <w:tcBorders>
                    <w:tl2br w:val="nil"/>
                    <w:tr2bl w:val="nil"/>
                  </w:tcBorders>
                  <w:vAlign w:val="center"/>
                </w:tcPr>
                <w:p w14:paraId="5C2C0D0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20</w:t>
                  </w:r>
                </w:p>
              </w:tc>
              <w:tc>
                <w:tcPr>
                  <w:tcW w:w="705" w:type="dxa"/>
                  <w:vMerge w:val="continue"/>
                  <w:tcBorders>
                    <w:tl2br w:val="nil"/>
                    <w:tr2bl w:val="nil"/>
                  </w:tcBorders>
                  <w:vAlign w:val="center"/>
                </w:tcPr>
                <w:p w14:paraId="6CC5099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05" w:type="dxa"/>
                  <w:tcBorders>
                    <w:tl2br w:val="nil"/>
                    <w:tr2bl w:val="nil"/>
                  </w:tcBorders>
                  <w:shd w:val="clear" w:color="auto" w:fill="auto"/>
                  <w:vAlign w:val="center"/>
                </w:tcPr>
                <w:p w14:paraId="2047571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96</w:t>
                  </w:r>
                </w:p>
              </w:tc>
              <w:tc>
                <w:tcPr>
                  <w:tcW w:w="900" w:type="dxa"/>
                  <w:tcBorders>
                    <w:tl2br w:val="nil"/>
                    <w:tr2bl w:val="nil"/>
                  </w:tcBorders>
                  <w:vAlign w:val="center"/>
                </w:tcPr>
                <w:p w14:paraId="3C0ED73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0.173</w:t>
                  </w:r>
                </w:p>
              </w:tc>
              <w:tc>
                <w:tcPr>
                  <w:tcW w:w="684" w:type="dxa"/>
                  <w:vMerge w:val="continue"/>
                  <w:tcBorders>
                    <w:tl2br w:val="nil"/>
                    <w:tr2bl w:val="nil"/>
                  </w:tcBorders>
                  <w:vAlign w:val="center"/>
                </w:tcPr>
                <w:p w14:paraId="26998CC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r>
            <w:tr w14:paraId="5F07E7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continue"/>
                  <w:tcBorders>
                    <w:tl2br w:val="nil"/>
                    <w:tr2bl w:val="nil"/>
                  </w:tcBorders>
                  <w:vAlign w:val="center"/>
                </w:tcPr>
                <w:p w14:paraId="5C24F0C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50" w:type="dxa"/>
                  <w:tcBorders>
                    <w:tl2br w:val="nil"/>
                    <w:tr2bl w:val="nil"/>
                  </w:tcBorders>
                  <w:shd w:val="clear" w:color="auto" w:fill="auto"/>
                  <w:vAlign w:val="center"/>
                </w:tcPr>
                <w:p w14:paraId="4ECFEDA5">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SS</w:t>
                  </w:r>
                </w:p>
              </w:tc>
              <w:tc>
                <w:tcPr>
                  <w:tcW w:w="660" w:type="dxa"/>
                  <w:vMerge w:val="continue"/>
                  <w:tcBorders>
                    <w:tl2br w:val="nil"/>
                    <w:tr2bl w:val="nil"/>
                  </w:tcBorders>
                  <w:vAlign w:val="center"/>
                </w:tcPr>
                <w:p w14:paraId="27D3607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675" w:type="dxa"/>
                  <w:vMerge w:val="continue"/>
                  <w:tcBorders>
                    <w:tl2br w:val="nil"/>
                    <w:tr2bl w:val="nil"/>
                  </w:tcBorders>
                  <w:vAlign w:val="center"/>
                </w:tcPr>
                <w:p w14:paraId="24E5454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825" w:type="dxa"/>
                  <w:tcBorders>
                    <w:tl2br w:val="nil"/>
                    <w:tr2bl w:val="nil"/>
                  </w:tcBorders>
                  <w:vAlign w:val="center"/>
                </w:tcPr>
                <w:p w14:paraId="3CEFCF9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250</w:t>
                  </w:r>
                </w:p>
              </w:tc>
              <w:tc>
                <w:tcPr>
                  <w:tcW w:w="960" w:type="dxa"/>
                  <w:tcBorders>
                    <w:tl2br w:val="nil"/>
                    <w:tr2bl w:val="nil"/>
                  </w:tcBorders>
                  <w:vAlign w:val="center"/>
                </w:tcPr>
                <w:p w14:paraId="28F861A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0.45</w:t>
                  </w:r>
                </w:p>
              </w:tc>
              <w:tc>
                <w:tcPr>
                  <w:tcW w:w="645" w:type="dxa"/>
                  <w:vMerge w:val="continue"/>
                  <w:tcBorders>
                    <w:tl2br w:val="nil"/>
                    <w:tr2bl w:val="nil"/>
                  </w:tcBorders>
                  <w:vAlign w:val="center"/>
                </w:tcPr>
                <w:p w14:paraId="2744050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585" w:type="dxa"/>
                  <w:tcBorders>
                    <w:tl2br w:val="nil"/>
                    <w:tr2bl w:val="nil"/>
                  </w:tcBorders>
                  <w:vAlign w:val="center"/>
                </w:tcPr>
                <w:p w14:paraId="5560DCD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60</w:t>
                  </w:r>
                </w:p>
              </w:tc>
              <w:tc>
                <w:tcPr>
                  <w:tcW w:w="705" w:type="dxa"/>
                  <w:vMerge w:val="continue"/>
                  <w:tcBorders>
                    <w:tl2br w:val="nil"/>
                    <w:tr2bl w:val="nil"/>
                  </w:tcBorders>
                  <w:vAlign w:val="center"/>
                </w:tcPr>
                <w:p w14:paraId="2E22D84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05" w:type="dxa"/>
                  <w:tcBorders>
                    <w:tl2br w:val="nil"/>
                    <w:tr2bl w:val="nil"/>
                  </w:tcBorders>
                  <w:vAlign w:val="center"/>
                </w:tcPr>
                <w:p w14:paraId="0BAC8F3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100</w:t>
                  </w:r>
                </w:p>
              </w:tc>
              <w:tc>
                <w:tcPr>
                  <w:tcW w:w="900" w:type="dxa"/>
                  <w:tcBorders>
                    <w:tl2br w:val="nil"/>
                    <w:tr2bl w:val="nil"/>
                  </w:tcBorders>
                  <w:vAlign w:val="center"/>
                </w:tcPr>
                <w:p w14:paraId="6DFB487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0.18</w:t>
                  </w:r>
                </w:p>
              </w:tc>
              <w:tc>
                <w:tcPr>
                  <w:tcW w:w="684" w:type="dxa"/>
                  <w:vMerge w:val="continue"/>
                  <w:tcBorders>
                    <w:tl2br w:val="nil"/>
                    <w:tr2bl w:val="nil"/>
                  </w:tcBorders>
                  <w:vAlign w:val="center"/>
                </w:tcPr>
                <w:p w14:paraId="5D9FC33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r>
            <w:tr w14:paraId="6E39B0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continue"/>
                  <w:tcBorders>
                    <w:tl2br w:val="nil"/>
                    <w:tr2bl w:val="nil"/>
                  </w:tcBorders>
                  <w:vAlign w:val="center"/>
                </w:tcPr>
                <w:p w14:paraId="7303416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50" w:type="dxa"/>
                  <w:tcBorders>
                    <w:tl2br w:val="nil"/>
                    <w:tr2bl w:val="nil"/>
                  </w:tcBorders>
                  <w:shd w:val="clear" w:color="auto" w:fill="auto"/>
                  <w:vAlign w:val="center"/>
                </w:tcPr>
                <w:p w14:paraId="4DB6FE46">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氨氮</w:t>
                  </w:r>
                </w:p>
              </w:tc>
              <w:tc>
                <w:tcPr>
                  <w:tcW w:w="660" w:type="dxa"/>
                  <w:vMerge w:val="continue"/>
                  <w:tcBorders>
                    <w:tl2br w:val="nil"/>
                    <w:tr2bl w:val="nil"/>
                  </w:tcBorders>
                  <w:vAlign w:val="center"/>
                </w:tcPr>
                <w:p w14:paraId="59C8BF1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675" w:type="dxa"/>
                  <w:vMerge w:val="continue"/>
                  <w:tcBorders>
                    <w:tl2br w:val="nil"/>
                    <w:tr2bl w:val="nil"/>
                  </w:tcBorders>
                  <w:vAlign w:val="center"/>
                </w:tcPr>
                <w:p w14:paraId="6E69A8D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825" w:type="dxa"/>
                  <w:tcBorders>
                    <w:tl2br w:val="nil"/>
                    <w:tr2bl w:val="nil"/>
                  </w:tcBorders>
                  <w:vAlign w:val="center"/>
                </w:tcPr>
                <w:p w14:paraId="4239A0B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20</w:t>
                  </w:r>
                </w:p>
              </w:tc>
              <w:tc>
                <w:tcPr>
                  <w:tcW w:w="960" w:type="dxa"/>
                  <w:tcBorders>
                    <w:tl2br w:val="nil"/>
                    <w:tr2bl w:val="nil"/>
                  </w:tcBorders>
                  <w:vAlign w:val="center"/>
                </w:tcPr>
                <w:p w14:paraId="663284F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0.036</w:t>
                  </w:r>
                </w:p>
              </w:tc>
              <w:tc>
                <w:tcPr>
                  <w:tcW w:w="645" w:type="dxa"/>
                  <w:vMerge w:val="continue"/>
                  <w:tcBorders>
                    <w:tl2br w:val="nil"/>
                    <w:tr2bl w:val="nil"/>
                  </w:tcBorders>
                  <w:vAlign w:val="center"/>
                </w:tcPr>
                <w:p w14:paraId="5CAC6A6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585" w:type="dxa"/>
                  <w:tcBorders>
                    <w:tl2br w:val="nil"/>
                    <w:tr2bl w:val="nil"/>
                  </w:tcBorders>
                  <w:vAlign w:val="center"/>
                </w:tcPr>
                <w:p w14:paraId="3D20297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10</w:t>
                  </w:r>
                </w:p>
              </w:tc>
              <w:tc>
                <w:tcPr>
                  <w:tcW w:w="705" w:type="dxa"/>
                  <w:vMerge w:val="continue"/>
                  <w:tcBorders>
                    <w:tl2br w:val="nil"/>
                    <w:tr2bl w:val="nil"/>
                  </w:tcBorders>
                  <w:vAlign w:val="center"/>
                </w:tcPr>
                <w:p w14:paraId="2C93F17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05" w:type="dxa"/>
                  <w:tcBorders>
                    <w:tl2br w:val="nil"/>
                    <w:tr2bl w:val="nil"/>
                  </w:tcBorders>
                  <w:shd w:val="clear" w:color="auto" w:fill="auto"/>
                  <w:vAlign w:val="center"/>
                </w:tcPr>
                <w:p w14:paraId="7881FC0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cs="Times New Roman"/>
                      <w:b w:val="0"/>
                      <w:bCs/>
                      <w:color w:val="auto"/>
                      <w:kern w:val="0"/>
                      <w:sz w:val="21"/>
                      <w:szCs w:val="21"/>
                      <w:vertAlign w:val="baseline"/>
                      <w:lang w:val="en-US" w:eastAsia="zh-CN" w:bidi="ar-SA"/>
                    </w:rPr>
                    <w:t>18</w:t>
                  </w:r>
                </w:p>
              </w:tc>
              <w:tc>
                <w:tcPr>
                  <w:tcW w:w="900" w:type="dxa"/>
                  <w:tcBorders>
                    <w:tl2br w:val="nil"/>
                    <w:tr2bl w:val="nil"/>
                  </w:tcBorders>
                  <w:shd w:val="clear" w:color="auto" w:fill="auto"/>
                  <w:vAlign w:val="center"/>
                </w:tcPr>
                <w:p w14:paraId="01FF4AD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cs="Times New Roman"/>
                      <w:b w:val="0"/>
                      <w:bCs/>
                      <w:color w:val="auto"/>
                      <w:kern w:val="0"/>
                      <w:sz w:val="21"/>
                      <w:szCs w:val="21"/>
                      <w:vertAlign w:val="baseline"/>
                      <w:lang w:val="en-US" w:eastAsia="zh-CN" w:bidi="ar-SA"/>
                    </w:rPr>
                    <w:t>0.032</w:t>
                  </w:r>
                </w:p>
              </w:tc>
              <w:tc>
                <w:tcPr>
                  <w:tcW w:w="684" w:type="dxa"/>
                  <w:vMerge w:val="continue"/>
                  <w:tcBorders>
                    <w:tl2br w:val="nil"/>
                    <w:tr2bl w:val="nil"/>
                  </w:tcBorders>
                  <w:vAlign w:val="center"/>
                </w:tcPr>
                <w:p w14:paraId="53F2E57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r>
            <w:tr w14:paraId="189707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continue"/>
                  <w:tcBorders>
                    <w:tl2br w:val="nil"/>
                    <w:tr2bl w:val="nil"/>
                  </w:tcBorders>
                  <w:vAlign w:val="center"/>
                </w:tcPr>
                <w:p w14:paraId="13AD142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50" w:type="dxa"/>
                  <w:tcBorders>
                    <w:tl2br w:val="nil"/>
                    <w:tr2bl w:val="nil"/>
                  </w:tcBorders>
                  <w:shd w:val="clear" w:color="auto" w:fill="auto"/>
                  <w:vAlign w:val="center"/>
                </w:tcPr>
                <w:p w14:paraId="06F0BC29">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总氮</w:t>
                  </w:r>
                </w:p>
              </w:tc>
              <w:tc>
                <w:tcPr>
                  <w:tcW w:w="660" w:type="dxa"/>
                  <w:vMerge w:val="continue"/>
                  <w:tcBorders>
                    <w:tl2br w:val="nil"/>
                    <w:tr2bl w:val="nil"/>
                  </w:tcBorders>
                  <w:vAlign w:val="center"/>
                </w:tcPr>
                <w:p w14:paraId="5FA6AFC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675" w:type="dxa"/>
                  <w:vMerge w:val="continue"/>
                  <w:tcBorders>
                    <w:tl2br w:val="nil"/>
                    <w:tr2bl w:val="nil"/>
                  </w:tcBorders>
                  <w:vAlign w:val="center"/>
                </w:tcPr>
                <w:p w14:paraId="1F89F03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825" w:type="dxa"/>
                  <w:tcBorders>
                    <w:tl2br w:val="nil"/>
                    <w:tr2bl w:val="nil"/>
                  </w:tcBorders>
                  <w:vAlign w:val="center"/>
                </w:tcPr>
                <w:p w14:paraId="30C0304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25</w:t>
                  </w:r>
                </w:p>
              </w:tc>
              <w:tc>
                <w:tcPr>
                  <w:tcW w:w="960" w:type="dxa"/>
                  <w:tcBorders>
                    <w:tl2br w:val="nil"/>
                    <w:tr2bl w:val="nil"/>
                  </w:tcBorders>
                  <w:vAlign w:val="center"/>
                </w:tcPr>
                <w:p w14:paraId="7A2A183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0.045</w:t>
                  </w:r>
                </w:p>
              </w:tc>
              <w:tc>
                <w:tcPr>
                  <w:tcW w:w="645" w:type="dxa"/>
                  <w:vMerge w:val="continue"/>
                  <w:tcBorders>
                    <w:tl2br w:val="nil"/>
                    <w:tr2bl w:val="nil"/>
                  </w:tcBorders>
                  <w:vAlign w:val="center"/>
                </w:tcPr>
                <w:p w14:paraId="340F879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585" w:type="dxa"/>
                  <w:tcBorders>
                    <w:tl2br w:val="nil"/>
                    <w:tr2bl w:val="nil"/>
                  </w:tcBorders>
                  <w:vAlign w:val="center"/>
                </w:tcPr>
                <w:p w14:paraId="38613A5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10</w:t>
                  </w:r>
                </w:p>
              </w:tc>
              <w:tc>
                <w:tcPr>
                  <w:tcW w:w="705" w:type="dxa"/>
                  <w:vMerge w:val="continue"/>
                  <w:tcBorders>
                    <w:tl2br w:val="nil"/>
                    <w:tr2bl w:val="nil"/>
                  </w:tcBorders>
                  <w:vAlign w:val="center"/>
                </w:tcPr>
                <w:p w14:paraId="120B418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05" w:type="dxa"/>
                  <w:tcBorders>
                    <w:tl2br w:val="nil"/>
                    <w:tr2bl w:val="nil"/>
                  </w:tcBorders>
                  <w:shd w:val="clear" w:color="auto" w:fill="auto"/>
                  <w:vAlign w:val="center"/>
                </w:tcPr>
                <w:p w14:paraId="1CD6173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cs="Times New Roman"/>
                      <w:b w:val="0"/>
                      <w:bCs/>
                      <w:color w:val="auto"/>
                      <w:kern w:val="0"/>
                      <w:sz w:val="21"/>
                      <w:szCs w:val="21"/>
                      <w:vertAlign w:val="baseline"/>
                      <w:lang w:val="en-US" w:eastAsia="zh-CN" w:bidi="ar-SA"/>
                    </w:rPr>
                    <w:t>22.5</w:t>
                  </w:r>
                </w:p>
              </w:tc>
              <w:tc>
                <w:tcPr>
                  <w:tcW w:w="900" w:type="dxa"/>
                  <w:tcBorders>
                    <w:tl2br w:val="nil"/>
                    <w:tr2bl w:val="nil"/>
                  </w:tcBorders>
                  <w:shd w:val="clear" w:color="auto" w:fill="auto"/>
                  <w:vAlign w:val="center"/>
                </w:tcPr>
                <w:p w14:paraId="79CC811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cs="Times New Roman"/>
                      <w:b w:val="0"/>
                      <w:bCs/>
                      <w:color w:val="auto"/>
                      <w:kern w:val="0"/>
                      <w:sz w:val="21"/>
                      <w:szCs w:val="21"/>
                      <w:vertAlign w:val="baseline"/>
                      <w:lang w:val="en-US" w:eastAsia="zh-CN" w:bidi="ar-SA"/>
                    </w:rPr>
                    <w:t>0.041</w:t>
                  </w:r>
                </w:p>
              </w:tc>
              <w:tc>
                <w:tcPr>
                  <w:tcW w:w="684" w:type="dxa"/>
                  <w:vMerge w:val="continue"/>
                  <w:tcBorders>
                    <w:tl2br w:val="nil"/>
                    <w:tr2bl w:val="nil"/>
                  </w:tcBorders>
                  <w:vAlign w:val="center"/>
                </w:tcPr>
                <w:p w14:paraId="309707B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r>
            <w:tr w14:paraId="448732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continue"/>
                  <w:tcBorders>
                    <w:tl2br w:val="nil"/>
                    <w:tr2bl w:val="nil"/>
                  </w:tcBorders>
                  <w:vAlign w:val="center"/>
                </w:tcPr>
                <w:p w14:paraId="3EA557A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50" w:type="dxa"/>
                  <w:tcBorders>
                    <w:tl2br w:val="nil"/>
                    <w:tr2bl w:val="nil"/>
                  </w:tcBorders>
                  <w:shd w:val="clear" w:color="auto" w:fill="auto"/>
                  <w:vAlign w:val="center"/>
                </w:tcPr>
                <w:p w14:paraId="3679AA56">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总磷</w:t>
                  </w:r>
                </w:p>
              </w:tc>
              <w:tc>
                <w:tcPr>
                  <w:tcW w:w="660" w:type="dxa"/>
                  <w:vMerge w:val="continue"/>
                  <w:tcBorders>
                    <w:tl2br w:val="nil"/>
                    <w:tr2bl w:val="nil"/>
                  </w:tcBorders>
                  <w:vAlign w:val="center"/>
                </w:tcPr>
                <w:p w14:paraId="4500551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675" w:type="dxa"/>
                  <w:vMerge w:val="continue"/>
                  <w:tcBorders>
                    <w:tl2br w:val="nil"/>
                    <w:tr2bl w:val="nil"/>
                  </w:tcBorders>
                  <w:vAlign w:val="center"/>
                </w:tcPr>
                <w:p w14:paraId="79ECA84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825" w:type="dxa"/>
                  <w:tcBorders>
                    <w:tl2br w:val="nil"/>
                    <w:tr2bl w:val="nil"/>
                  </w:tcBorders>
                  <w:vAlign w:val="center"/>
                </w:tcPr>
                <w:p w14:paraId="08B7D7D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2</w:t>
                  </w:r>
                </w:p>
              </w:tc>
              <w:tc>
                <w:tcPr>
                  <w:tcW w:w="960" w:type="dxa"/>
                  <w:tcBorders>
                    <w:tl2br w:val="nil"/>
                    <w:tr2bl w:val="nil"/>
                  </w:tcBorders>
                  <w:vAlign w:val="center"/>
                </w:tcPr>
                <w:p w14:paraId="599EE78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0.0036</w:t>
                  </w:r>
                </w:p>
              </w:tc>
              <w:tc>
                <w:tcPr>
                  <w:tcW w:w="645" w:type="dxa"/>
                  <w:vMerge w:val="continue"/>
                  <w:tcBorders>
                    <w:tl2br w:val="nil"/>
                    <w:tr2bl w:val="nil"/>
                  </w:tcBorders>
                  <w:vAlign w:val="center"/>
                </w:tcPr>
                <w:p w14:paraId="74EF2AB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585" w:type="dxa"/>
                  <w:tcBorders>
                    <w:tl2br w:val="nil"/>
                    <w:tr2bl w:val="nil"/>
                  </w:tcBorders>
                  <w:vAlign w:val="center"/>
                </w:tcPr>
                <w:p w14:paraId="75934E0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40</w:t>
                  </w:r>
                </w:p>
              </w:tc>
              <w:tc>
                <w:tcPr>
                  <w:tcW w:w="705" w:type="dxa"/>
                  <w:vMerge w:val="continue"/>
                  <w:tcBorders>
                    <w:tl2br w:val="nil"/>
                    <w:tr2bl w:val="nil"/>
                  </w:tcBorders>
                  <w:vAlign w:val="center"/>
                </w:tcPr>
                <w:p w14:paraId="679EE9D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05" w:type="dxa"/>
                  <w:tcBorders>
                    <w:tl2br w:val="nil"/>
                    <w:tr2bl w:val="nil"/>
                  </w:tcBorders>
                  <w:shd w:val="clear" w:color="auto" w:fill="auto"/>
                  <w:vAlign w:val="center"/>
                </w:tcPr>
                <w:p w14:paraId="7D5C4DC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cs="Times New Roman"/>
                      <w:b w:val="0"/>
                      <w:bCs/>
                      <w:color w:val="auto"/>
                      <w:kern w:val="0"/>
                      <w:sz w:val="21"/>
                      <w:szCs w:val="21"/>
                      <w:vertAlign w:val="baseline"/>
                      <w:lang w:val="en-US" w:eastAsia="zh-CN" w:bidi="ar-SA"/>
                    </w:rPr>
                    <w:t>1.2</w:t>
                  </w:r>
                </w:p>
              </w:tc>
              <w:tc>
                <w:tcPr>
                  <w:tcW w:w="900" w:type="dxa"/>
                  <w:tcBorders>
                    <w:tl2br w:val="nil"/>
                    <w:tr2bl w:val="nil"/>
                  </w:tcBorders>
                  <w:shd w:val="clear" w:color="auto" w:fill="auto"/>
                  <w:vAlign w:val="center"/>
                </w:tcPr>
                <w:p w14:paraId="67CE9C7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cs="Times New Roman"/>
                      <w:b w:val="0"/>
                      <w:bCs/>
                      <w:color w:val="auto"/>
                      <w:kern w:val="0"/>
                      <w:sz w:val="21"/>
                      <w:szCs w:val="21"/>
                      <w:vertAlign w:val="baseline"/>
                      <w:lang w:val="en-US" w:eastAsia="zh-CN" w:bidi="ar-SA"/>
                    </w:rPr>
                    <w:t>0.0022</w:t>
                  </w:r>
                </w:p>
              </w:tc>
              <w:tc>
                <w:tcPr>
                  <w:tcW w:w="684" w:type="dxa"/>
                  <w:vMerge w:val="continue"/>
                  <w:tcBorders>
                    <w:tl2br w:val="nil"/>
                    <w:tr2bl w:val="nil"/>
                  </w:tcBorders>
                  <w:vAlign w:val="center"/>
                </w:tcPr>
                <w:p w14:paraId="7EC555C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r>
            <w:tr w14:paraId="3801D8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continue"/>
                  <w:tcBorders>
                    <w:tl2br w:val="nil"/>
                    <w:tr2bl w:val="nil"/>
                  </w:tcBorders>
                  <w:vAlign w:val="center"/>
                </w:tcPr>
                <w:p w14:paraId="6170F7E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50" w:type="dxa"/>
                  <w:tcBorders>
                    <w:tl2br w:val="nil"/>
                    <w:tr2bl w:val="nil"/>
                  </w:tcBorders>
                  <w:vAlign w:val="center"/>
                </w:tcPr>
                <w:p w14:paraId="7EE8BEF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氟化物</w:t>
                  </w:r>
                </w:p>
              </w:tc>
              <w:tc>
                <w:tcPr>
                  <w:tcW w:w="660" w:type="dxa"/>
                  <w:tcBorders>
                    <w:tl2br w:val="nil"/>
                    <w:tr2bl w:val="nil"/>
                  </w:tcBorders>
                  <w:vAlign w:val="center"/>
                </w:tcPr>
                <w:p w14:paraId="0BA8EE2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物料衡算法</w:t>
                  </w:r>
                </w:p>
              </w:tc>
              <w:tc>
                <w:tcPr>
                  <w:tcW w:w="675" w:type="dxa"/>
                  <w:vMerge w:val="continue"/>
                  <w:tcBorders>
                    <w:tl2br w:val="nil"/>
                    <w:tr2bl w:val="nil"/>
                  </w:tcBorders>
                  <w:vAlign w:val="center"/>
                </w:tcPr>
                <w:p w14:paraId="15B2005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825" w:type="dxa"/>
                  <w:tcBorders>
                    <w:tl2br w:val="nil"/>
                    <w:tr2bl w:val="nil"/>
                  </w:tcBorders>
                  <w:vAlign w:val="center"/>
                </w:tcPr>
                <w:p w14:paraId="296FD24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222.22</w:t>
                  </w:r>
                </w:p>
              </w:tc>
              <w:tc>
                <w:tcPr>
                  <w:tcW w:w="960" w:type="dxa"/>
                  <w:tcBorders>
                    <w:tl2br w:val="nil"/>
                    <w:tr2bl w:val="nil"/>
                  </w:tcBorders>
                  <w:vAlign w:val="center"/>
                </w:tcPr>
                <w:p w14:paraId="1C1FCE4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0.4</w:t>
                  </w:r>
                </w:p>
              </w:tc>
              <w:tc>
                <w:tcPr>
                  <w:tcW w:w="645" w:type="dxa"/>
                  <w:vMerge w:val="continue"/>
                  <w:tcBorders>
                    <w:tl2br w:val="nil"/>
                    <w:tr2bl w:val="nil"/>
                  </w:tcBorders>
                  <w:vAlign w:val="center"/>
                </w:tcPr>
                <w:p w14:paraId="282708E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585" w:type="dxa"/>
                  <w:tcBorders>
                    <w:tl2br w:val="nil"/>
                    <w:tr2bl w:val="nil"/>
                  </w:tcBorders>
                  <w:vAlign w:val="center"/>
                </w:tcPr>
                <w:p w14:paraId="74EC4F7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96</w:t>
                  </w:r>
                </w:p>
              </w:tc>
              <w:tc>
                <w:tcPr>
                  <w:tcW w:w="705" w:type="dxa"/>
                  <w:vMerge w:val="continue"/>
                  <w:tcBorders>
                    <w:tl2br w:val="nil"/>
                    <w:tr2bl w:val="nil"/>
                  </w:tcBorders>
                  <w:vAlign w:val="center"/>
                </w:tcPr>
                <w:p w14:paraId="71053A0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05" w:type="dxa"/>
                  <w:tcBorders>
                    <w:tl2br w:val="nil"/>
                    <w:tr2bl w:val="nil"/>
                  </w:tcBorders>
                  <w:vAlign w:val="center"/>
                </w:tcPr>
                <w:p w14:paraId="22A472E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8.89</w:t>
                  </w:r>
                </w:p>
              </w:tc>
              <w:tc>
                <w:tcPr>
                  <w:tcW w:w="900" w:type="dxa"/>
                  <w:tcBorders>
                    <w:tl2br w:val="nil"/>
                    <w:tr2bl w:val="nil"/>
                  </w:tcBorders>
                  <w:vAlign w:val="center"/>
                </w:tcPr>
                <w:p w14:paraId="68DACD3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0.016</w:t>
                  </w:r>
                </w:p>
              </w:tc>
              <w:tc>
                <w:tcPr>
                  <w:tcW w:w="684" w:type="dxa"/>
                  <w:vMerge w:val="continue"/>
                  <w:tcBorders>
                    <w:tl2br w:val="nil"/>
                    <w:tr2bl w:val="nil"/>
                  </w:tcBorders>
                  <w:vAlign w:val="center"/>
                </w:tcPr>
                <w:p w14:paraId="4ED491C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r>
            <w:tr w14:paraId="4B2B14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restart"/>
                  <w:tcBorders>
                    <w:tl2br w:val="nil"/>
                    <w:tr2bl w:val="nil"/>
                  </w:tcBorders>
                  <w:vAlign w:val="center"/>
                </w:tcPr>
                <w:p w14:paraId="66149A2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综合废水</w:t>
                  </w:r>
                </w:p>
              </w:tc>
              <w:tc>
                <w:tcPr>
                  <w:tcW w:w="750" w:type="dxa"/>
                  <w:tcBorders>
                    <w:tl2br w:val="nil"/>
                    <w:tr2bl w:val="nil"/>
                  </w:tcBorders>
                  <w:shd w:val="clear" w:color="auto" w:fill="auto"/>
                  <w:vAlign w:val="center"/>
                </w:tcPr>
                <w:p w14:paraId="667975C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pH</w:t>
                  </w:r>
                </w:p>
              </w:tc>
              <w:tc>
                <w:tcPr>
                  <w:tcW w:w="660" w:type="dxa"/>
                  <w:vMerge w:val="restart"/>
                  <w:tcBorders>
                    <w:tl2br w:val="nil"/>
                    <w:tr2bl w:val="nil"/>
                  </w:tcBorders>
                  <w:vAlign w:val="center"/>
                </w:tcPr>
                <w:p w14:paraId="586959F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w:t>
                  </w:r>
                </w:p>
              </w:tc>
              <w:tc>
                <w:tcPr>
                  <w:tcW w:w="675" w:type="dxa"/>
                  <w:vMerge w:val="restart"/>
                  <w:tcBorders>
                    <w:tl2br w:val="nil"/>
                    <w:tr2bl w:val="nil"/>
                  </w:tcBorders>
                  <w:vAlign w:val="center"/>
                </w:tcPr>
                <w:p w14:paraId="388AD30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w:t>
                  </w:r>
                </w:p>
              </w:tc>
              <w:tc>
                <w:tcPr>
                  <w:tcW w:w="825" w:type="dxa"/>
                  <w:vMerge w:val="restart"/>
                  <w:tcBorders>
                    <w:tl2br w:val="nil"/>
                    <w:tr2bl w:val="nil"/>
                  </w:tcBorders>
                  <w:vAlign w:val="center"/>
                </w:tcPr>
                <w:p w14:paraId="102F23E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w:t>
                  </w:r>
                </w:p>
              </w:tc>
              <w:tc>
                <w:tcPr>
                  <w:tcW w:w="960" w:type="dxa"/>
                  <w:vMerge w:val="restart"/>
                  <w:tcBorders>
                    <w:tl2br w:val="nil"/>
                    <w:tr2bl w:val="nil"/>
                  </w:tcBorders>
                  <w:vAlign w:val="center"/>
                </w:tcPr>
                <w:p w14:paraId="59BBA11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w:t>
                  </w:r>
                </w:p>
              </w:tc>
              <w:tc>
                <w:tcPr>
                  <w:tcW w:w="645" w:type="dxa"/>
                  <w:vMerge w:val="restart"/>
                  <w:tcBorders>
                    <w:tl2br w:val="nil"/>
                    <w:tr2bl w:val="nil"/>
                  </w:tcBorders>
                  <w:vAlign w:val="center"/>
                </w:tcPr>
                <w:p w14:paraId="7CC87E7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w:t>
                  </w:r>
                </w:p>
              </w:tc>
              <w:tc>
                <w:tcPr>
                  <w:tcW w:w="585" w:type="dxa"/>
                  <w:vMerge w:val="restart"/>
                  <w:tcBorders>
                    <w:tl2br w:val="nil"/>
                    <w:tr2bl w:val="nil"/>
                  </w:tcBorders>
                  <w:vAlign w:val="center"/>
                </w:tcPr>
                <w:p w14:paraId="3D49ABE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w:t>
                  </w:r>
                </w:p>
              </w:tc>
              <w:tc>
                <w:tcPr>
                  <w:tcW w:w="705" w:type="dxa"/>
                  <w:vMerge w:val="restart"/>
                  <w:tcBorders>
                    <w:tl2br w:val="nil"/>
                    <w:tr2bl w:val="nil"/>
                  </w:tcBorders>
                  <w:vAlign w:val="center"/>
                </w:tcPr>
                <w:p w14:paraId="0E43CF6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 w:val="21"/>
                      <w:szCs w:val="21"/>
                      <w:vertAlign w:val="baseline"/>
                      <w:lang w:val="en-US" w:eastAsia="zh-CN"/>
                    </w:rPr>
                    <w:t>2376</w:t>
                  </w:r>
                </w:p>
              </w:tc>
              <w:tc>
                <w:tcPr>
                  <w:tcW w:w="705" w:type="dxa"/>
                  <w:tcBorders>
                    <w:tl2br w:val="nil"/>
                    <w:tr2bl w:val="nil"/>
                  </w:tcBorders>
                  <w:vAlign w:val="center"/>
                </w:tcPr>
                <w:p w14:paraId="59B7DAB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6~9</w:t>
                  </w:r>
                </w:p>
              </w:tc>
              <w:tc>
                <w:tcPr>
                  <w:tcW w:w="900" w:type="dxa"/>
                  <w:tcBorders>
                    <w:tl2br w:val="nil"/>
                    <w:tr2bl w:val="nil"/>
                  </w:tcBorders>
                  <w:vAlign w:val="center"/>
                </w:tcPr>
                <w:p w14:paraId="5FEEC73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w:t>
                  </w:r>
                </w:p>
              </w:tc>
              <w:tc>
                <w:tcPr>
                  <w:tcW w:w="684" w:type="dxa"/>
                  <w:vMerge w:val="continue"/>
                  <w:tcBorders>
                    <w:tl2br w:val="nil"/>
                    <w:tr2bl w:val="nil"/>
                  </w:tcBorders>
                  <w:vAlign w:val="center"/>
                </w:tcPr>
                <w:p w14:paraId="08467B2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r>
            <w:tr w14:paraId="197394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continue"/>
                  <w:tcBorders>
                    <w:tl2br w:val="nil"/>
                    <w:tr2bl w:val="nil"/>
                  </w:tcBorders>
                  <w:vAlign w:val="center"/>
                </w:tcPr>
                <w:p w14:paraId="3C56F26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50" w:type="dxa"/>
                  <w:tcBorders>
                    <w:tl2br w:val="nil"/>
                    <w:tr2bl w:val="nil"/>
                  </w:tcBorders>
                  <w:shd w:val="clear" w:color="auto" w:fill="auto"/>
                  <w:vAlign w:val="center"/>
                </w:tcPr>
                <w:p w14:paraId="625E2AAC">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COD</w:t>
                  </w:r>
                </w:p>
              </w:tc>
              <w:tc>
                <w:tcPr>
                  <w:tcW w:w="660" w:type="dxa"/>
                  <w:vMerge w:val="continue"/>
                  <w:tcBorders>
                    <w:tl2br w:val="nil"/>
                    <w:tr2bl w:val="nil"/>
                  </w:tcBorders>
                  <w:vAlign w:val="center"/>
                </w:tcPr>
                <w:p w14:paraId="09370F4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675" w:type="dxa"/>
                  <w:vMerge w:val="continue"/>
                  <w:tcBorders>
                    <w:tl2br w:val="nil"/>
                    <w:tr2bl w:val="nil"/>
                  </w:tcBorders>
                  <w:vAlign w:val="center"/>
                </w:tcPr>
                <w:p w14:paraId="5885E5E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825" w:type="dxa"/>
                  <w:vMerge w:val="continue"/>
                  <w:tcBorders>
                    <w:tl2br w:val="nil"/>
                    <w:tr2bl w:val="nil"/>
                  </w:tcBorders>
                  <w:vAlign w:val="center"/>
                </w:tcPr>
                <w:p w14:paraId="1DAA81E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960" w:type="dxa"/>
                  <w:vMerge w:val="continue"/>
                  <w:tcBorders>
                    <w:tl2br w:val="nil"/>
                    <w:tr2bl w:val="nil"/>
                  </w:tcBorders>
                  <w:vAlign w:val="center"/>
                </w:tcPr>
                <w:p w14:paraId="3871861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645" w:type="dxa"/>
                  <w:vMerge w:val="continue"/>
                  <w:tcBorders>
                    <w:tl2br w:val="nil"/>
                    <w:tr2bl w:val="nil"/>
                  </w:tcBorders>
                  <w:vAlign w:val="center"/>
                </w:tcPr>
                <w:p w14:paraId="70B2996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585" w:type="dxa"/>
                  <w:vMerge w:val="continue"/>
                  <w:tcBorders>
                    <w:tl2br w:val="nil"/>
                    <w:tr2bl w:val="nil"/>
                  </w:tcBorders>
                  <w:vAlign w:val="center"/>
                </w:tcPr>
                <w:p w14:paraId="5979E6F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705" w:type="dxa"/>
                  <w:vMerge w:val="continue"/>
                  <w:tcBorders>
                    <w:tl2br w:val="nil"/>
                    <w:tr2bl w:val="nil"/>
                  </w:tcBorders>
                  <w:vAlign w:val="center"/>
                </w:tcPr>
                <w:p w14:paraId="2FCE973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05" w:type="dxa"/>
                  <w:tcBorders>
                    <w:tl2br w:val="nil"/>
                    <w:tr2bl w:val="nil"/>
                  </w:tcBorders>
                  <w:vAlign w:val="center"/>
                </w:tcPr>
                <w:p w14:paraId="35E5DAA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227.3</w:t>
                  </w:r>
                </w:p>
              </w:tc>
              <w:tc>
                <w:tcPr>
                  <w:tcW w:w="900" w:type="dxa"/>
                  <w:tcBorders>
                    <w:tl2br w:val="nil"/>
                    <w:tr2bl w:val="nil"/>
                  </w:tcBorders>
                  <w:vAlign w:val="center"/>
                </w:tcPr>
                <w:p w14:paraId="022B719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0.54</w:t>
                  </w:r>
                </w:p>
              </w:tc>
              <w:tc>
                <w:tcPr>
                  <w:tcW w:w="684" w:type="dxa"/>
                  <w:vMerge w:val="continue"/>
                  <w:tcBorders>
                    <w:tl2br w:val="nil"/>
                    <w:tr2bl w:val="nil"/>
                  </w:tcBorders>
                  <w:vAlign w:val="center"/>
                </w:tcPr>
                <w:p w14:paraId="1C8E101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r>
            <w:tr w14:paraId="35183D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continue"/>
                  <w:tcBorders>
                    <w:tl2br w:val="nil"/>
                    <w:tr2bl w:val="nil"/>
                  </w:tcBorders>
                  <w:vAlign w:val="center"/>
                </w:tcPr>
                <w:p w14:paraId="2A025EE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50" w:type="dxa"/>
                  <w:tcBorders>
                    <w:tl2br w:val="nil"/>
                    <w:tr2bl w:val="nil"/>
                  </w:tcBorders>
                  <w:shd w:val="clear" w:color="auto" w:fill="auto"/>
                  <w:vAlign w:val="center"/>
                </w:tcPr>
                <w:p w14:paraId="1CB04B9B">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4"/>
                      <w:lang w:val="en-US" w:eastAsia="zh-CN" w:bidi="ar-SA"/>
                    </w:rPr>
                  </w:pPr>
                  <w:r>
                    <w:rPr>
                      <w:rFonts w:hint="eastAsia"/>
                      <w:color w:val="auto"/>
                      <w:szCs w:val="21"/>
                      <w:lang w:val="en-US" w:eastAsia="zh-CN"/>
                    </w:rPr>
                    <w:t>BOD</w:t>
                  </w:r>
                  <w:r>
                    <w:rPr>
                      <w:rFonts w:hint="eastAsia"/>
                      <w:color w:val="auto"/>
                      <w:szCs w:val="21"/>
                      <w:vertAlign w:val="subscript"/>
                      <w:lang w:val="en-US" w:eastAsia="zh-CN"/>
                    </w:rPr>
                    <w:t>5</w:t>
                  </w:r>
                </w:p>
              </w:tc>
              <w:tc>
                <w:tcPr>
                  <w:tcW w:w="660" w:type="dxa"/>
                  <w:vMerge w:val="continue"/>
                  <w:tcBorders>
                    <w:tl2br w:val="nil"/>
                    <w:tr2bl w:val="nil"/>
                  </w:tcBorders>
                  <w:vAlign w:val="center"/>
                </w:tcPr>
                <w:p w14:paraId="0B8FBFE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675" w:type="dxa"/>
                  <w:vMerge w:val="continue"/>
                  <w:tcBorders>
                    <w:tl2br w:val="nil"/>
                    <w:tr2bl w:val="nil"/>
                  </w:tcBorders>
                  <w:vAlign w:val="center"/>
                </w:tcPr>
                <w:p w14:paraId="20ADEE9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825" w:type="dxa"/>
                  <w:vMerge w:val="continue"/>
                  <w:tcBorders>
                    <w:tl2br w:val="nil"/>
                    <w:tr2bl w:val="nil"/>
                  </w:tcBorders>
                  <w:vAlign w:val="center"/>
                </w:tcPr>
                <w:p w14:paraId="6AC18E9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960" w:type="dxa"/>
                  <w:vMerge w:val="continue"/>
                  <w:tcBorders>
                    <w:tl2br w:val="nil"/>
                    <w:tr2bl w:val="nil"/>
                  </w:tcBorders>
                  <w:vAlign w:val="center"/>
                </w:tcPr>
                <w:p w14:paraId="31A2B53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645" w:type="dxa"/>
                  <w:vMerge w:val="continue"/>
                  <w:tcBorders>
                    <w:tl2br w:val="nil"/>
                    <w:tr2bl w:val="nil"/>
                  </w:tcBorders>
                  <w:vAlign w:val="center"/>
                </w:tcPr>
                <w:p w14:paraId="181814E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585" w:type="dxa"/>
                  <w:vMerge w:val="continue"/>
                  <w:tcBorders>
                    <w:tl2br w:val="nil"/>
                    <w:tr2bl w:val="nil"/>
                  </w:tcBorders>
                  <w:vAlign w:val="center"/>
                </w:tcPr>
                <w:p w14:paraId="3B3C19B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705" w:type="dxa"/>
                  <w:vMerge w:val="continue"/>
                  <w:tcBorders>
                    <w:tl2br w:val="nil"/>
                    <w:tr2bl w:val="nil"/>
                  </w:tcBorders>
                  <w:vAlign w:val="center"/>
                </w:tcPr>
                <w:p w14:paraId="36FEBA3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05" w:type="dxa"/>
                  <w:tcBorders>
                    <w:tl2br w:val="nil"/>
                    <w:tr2bl w:val="nil"/>
                  </w:tcBorders>
                  <w:vAlign w:val="center"/>
                </w:tcPr>
                <w:p w14:paraId="50DCCBA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97.2</w:t>
                  </w:r>
                </w:p>
              </w:tc>
              <w:tc>
                <w:tcPr>
                  <w:tcW w:w="900" w:type="dxa"/>
                  <w:tcBorders>
                    <w:tl2br w:val="nil"/>
                    <w:tr2bl w:val="nil"/>
                  </w:tcBorders>
                  <w:vAlign w:val="center"/>
                </w:tcPr>
                <w:p w14:paraId="6A58D47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0.231</w:t>
                  </w:r>
                </w:p>
              </w:tc>
              <w:tc>
                <w:tcPr>
                  <w:tcW w:w="684" w:type="dxa"/>
                  <w:vMerge w:val="continue"/>
                  <w:tcBorders>
                    <w:tl2br w:val="nil"/>
                    <w:tr2bl w:val="nil"/>
                  </w:tcBorders>
                  <w:vAlign w:val="center"/>
                </w:tcPr>
                <w:p w14:paraId="472B69B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r>
            <w:tr w14:paraId="3BEDDC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continue"/>
                  <w:tcBorders>
                    <w:tl2br w:val="nil"/>
                    <w:tr2bl w:val="nil"/>
                  </w:tcBorders>
                  <w:vAlign w:val="center"/>
                </w:tcPr>
                <w:p w14:paraId="7372425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50" w:type="dxa"/>
                  <w:tcBorders>
                    <w:tl2br w:val="nil"/>
                    <w:tr2bl w:val="nil"/>
                  </w:tcBorders>
                  <w:shd w:val="clear" w:color="auto" w:fill="auto"/>
                  <w:vAlign w:val="center"/>
                </w:tcPr>
                <w:p w14:paraId="460531A3">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SS</w:t>
                  </w:r>
                </w:p>
              </w:tc>
              <w:tc>
                <w:tcPr>
                  <w:tcW w:w="660" w:type="dxa"/>
                  <w:vMerge w:val="continue"/>
                  <w:tcBorders>
                    <w:tl2br w:val="nil"/>
                    <w:tr2bl w:val="nil"/>
                  </w:tcBorders>
                  <w:vAlign w:val="center"/>
                </w:tcPr>
                <w:p w14:paraId="7466C19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675" w:type="dxa"/>
                  <w:vMerge w:val="continue"/>
                  <w:tcBorders>
                    <w:tl2br w:val="nil"/>
                    <w:tr2bl w:val="nil"/>
                  </w:tcBorders>
                  <w:vAlign w:val="center"/>
                </w:tcPr>
                <w:p w14:paraId="7172663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825" w:type="dxa"/>
                  <w:vMerge w:val="continue"/>
                  <w:tcBorders>
                    <w:tl2br w:val="nil"/>
                    <w:tr2bl w:val="nil"/>
                  </w:tcBorders>
                  <w:vAlign w:val="center"/>
                </w:tcPr>
                <w:p w14:paraId="0463712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960" w:type="dxa"/>
                  <w:vMerge w:val="continue"/>
                  <w:tcBorders>
                    <w:tl2br w:val="nil"/>
                    <w:tr2bl w:val="nil"/>
                  </w:tcBorders>
                  <w:vAlign w:val="center"/>
                </w:tcPr>
                <w:p w14:paraId="5B6CAC9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645" w:type="dxa"/>
                  <w:vMerge w:val="continue"/>
                  <w:tcBorders>
                    <w:tl2br w:val="nil"/>
                    <w:tr2bl w:val="nil"/>
                  </w:tcBorders>
                  <w:vAlign w:val="center"/>
                </w:tcPr>
                <w:p w14:paraId="0669446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585" w:type="dxa"/>
                  <w:vMerge w:val="continue"/>
                  <w:tcBorders>
                    <w:tl2br w:val="nil"/>
                    <w:tr2bl w:val="nil"/>
                  </w:tcBorders>
                  <w:vAlign w:val="center"/>
                </w:tcPr>
                <w:p w14:paraId="7E91F2A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705" w:type="dxa"/>
                  <w:vMerge w:val="continue"/>
                  <w:tcBorders>
                    <w:tl2br w:val="nil"/>
                    <w:tr2bl w:val="nil"/>
                  </w:tcBorders>
                  <w:vAlign w:val="center"/>
                </w:tcPr>
                <w:p w14:paraId="061FF48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05" w:type="dxa"/>
                  <w:tcBorders>
                    <w:tl2br w:val="nil"/>
                    <w:tr2bl w:val="nil"/>
                  </w:tcBorders>
                  <w:vAlign w:val="center"/>
                </w:tcPr>
                <w:p w14:paraId="7BB5AF8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83.0</w:t>
                  </w:r>
                </w:p>
              </w:tc>
              <w:tc>
                <w:tcPr>
                  <w:tcW w:w="900" w:type="dxa"/>
                  <w:tcBorders>
                    <w:tl2br w:val="nil"/>
                    <w:tr2bl w:val="nil"/>
                  </w:tcBorders>
                  <w:vAlign w:val="center"/>
                </w:tcPr>
                <w:p w14:paraId="380E9B9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0.1973</w:t>
                  </w:r>
                </w:p>
              </w:tc>
              <w:tc>
                <w:tcPr>
                  <w:tcW w:w="684" w:type="dxa"/>
                  <w:vMerge w:val="continue"/>
                  <w:tcBorders>
                    <w:tl2br w:val="nil"/>
                    <w:tr2bl w:val="nil"/>
                  </w:tcBorders>
                  <w:vAlign w:val="center"/>
                </w:tcPr>
                <w:p w14:paraId="2541F58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r>
            <w:tr w14:paraId="067754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continue"/>
                  <w:tcBorders>
                    <w:tl2br w:val="nil"/>
                    <w:tr2bl w:val="nil"/>
                  </w:tcBorders>
                  <w:vAlign w:val="center"/>
                </w:tcPr>
                <w:p w14:paraId="73A748F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50" w:type="dxa"/>
                  <w:tcBorders>
                    <w:tl2br w:val="nil"/>
                    <w:tr2bl w:val="nil"/>
                  </w:tcBorders>
                  <w:shd w:val="clear" w:color="auto" w:fill="auto"/>
                  <w:vAlign w:val="center"/>
                </w:tcPr>
                <w:p w14:paraId="33D01748">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氨氮</w:t>
                  </w:r>
                </w:p>
              </w:tc>
              <w:tc>
                <w:tcPr>
                  <w:tcW w:w="660" w:type="dxa"/>
                  <w:vMerge w:val="continue"/>
                  <w:tcBorders>
                    <w:tl2br w:val="nil"/>
                    <w:tr2bl w:val="nil"/>
                  </w:tcBorders>
                  <w:vAlign w:val="center"/>
                </w:tcPr>
                <w:p w14:paraId="657D610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675" w:type="dxa"/>
                  <w:vMerge w:val="continue"/>
                  <w:tcBorders>
                    <w:tl2br w:val="nil"/>
                    <w:tr2bl w:val="nil"/>
                  </w:tcBorders>
                  <w:vAlign w:val="center"/>
                </w:tcPr>
                <w:p w14:paraId="0C48606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825" w:type="dxa"/>
                  <w:vMerge w:val="continue"/>
                  <w:tcBorders>
                    <w:tl2br w:val="nil"/>
                    <w:tr2bl w:val="nil"/>
                  </w:tcBorders>
                  <w:vAlign w:val="center"/>
                </w:tcPr>
                <w:p w14:paraId="4D3088B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960" w:type="dxa"/>
                  <w:vMerge w:val="continue"/>
                  <w:tcBorders>
                    <w:tl2br w:val="nil"/>
                    <w:tr2bl w:val="nil"/>
                  </w:tcBorders>
                  <w:vAlign w:val="center"/>
                </w:tcPr>
                <w:p w14:paraId="58D721E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645" w:type="dxa"/>
                  <w:vMerge w:val="continue"/>
                  <w:tcBorders>
                    <w:tl2br w:val="nil"/>
                    <w:tr2bl w:val="nil"/>
                  </w:tcBorders>
                  <w:vAlign w:val="center"/>
                </w:tcPr>
                <w:p w14:paraId="1698F85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585" w:type="dxa"/>
                  <w:vMerge w:val="continue"/>
                  <w:tcBorders>
                    <w:tl2br w:val="nil"/>
                    <w:tr2bl w:val="nil"/>
                  </w:tcBorders>
                  <w:vAlign w:val="center"/>
                </w:tcPr>
                <w:p w14:paraId="2EE9A28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705" w:type="dxa"/>
                  <w:vMerge w:val="continue"/>
                  <w:tcBorders>
                    <w:tl2br w:val="nil"/>
                    <w:tr2bl w:val="nil"/>
                  </w:tcBorders>
                  <w:vAlign w:val="center"/>
                </w:tcPr>
                <w:p w14:paraId="71CB7D9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05" w:type="dxa"/>
                  <w:tcBorders>
                    <w:tl2br w:val="nil"/>
                    <w:tr2bl w:val="nil"/>
                  </w:tcBorders>
                  <w:vAlign w:val="center"/>
                </w:tcPr>
                <w:p w14:paraId="4719688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19.5</w:t>
                  </w:r>
                </w:p>
              </w:tc>
              <w:tc>
                <w:tcPr>
                  <w:tcW w:w="900" w:type="dxa"/>
                  <w:tcBorders>
                    <w:tl2br w:val="nil"/>
                    <w:tr2bl w:val="nil"/>
                  </w:tcBorders>
                  <w:vAlign w:val="center"/>
                </w:tcPr>
                <w:p w14:paraId="56814D9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0.0464</w:t>
                  </w:r>
                </w:p>
              </w:tc>
              <w:tc>
                <w:tcPr>
                  <w:tcW w:w="684" w:type="dxa"/>
                  <w:vMerge w:val="continue"/>
                  <w:tcBorders>
                    <w:tl2br w:val="nil"/>
                    <w:tr2bl w:val="nil"/>
                  </w:tcBorders>
                  <w:vAlign w:val="center"/>
                </w:tcPr>
                <w:p w14:paraId="680A8DB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r>
            <w:tr w14:paraId="570389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continue"/>
                  <w:tcBorders>
                    <w:tl2br w:val="nil"/>
                    <w:tr2bl w:val="nil"/>
                  </w:tcBorders>
                  <w:vAlign w:val="center"/>
                </w:tcPr>
                <w:p w14:paraId="25A2D9D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50" w:type="dxa"/>
                  <w:tcBorders>
                    <w:tl2br w:val="nil"/>
                    <w:tr2bl w:val="nil"/>
                  </w:tcBorders>
                  <w:shd w:val="clear" w:color="auto" w:fill="auto"/>
                  <w:vAlign w:val="center"/>
                </w:tcPr>
                <w:p w14:paraId="58B4A19D">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总氮</w:t>
                  </w:r>
                </w:p>
              </w:tc>
              <w:tc>
                <w:tcPr>
                  <w:tcW w:w="660" w:type="dxa"/>
                  <w:vMerge w:val="continue"/>
                  <w:tcBorders>
                    <w:tl2br w:val="nil"/>
                    <w:tr2bl w:val="nil"/>
                  </w:tcBorders>
                  <w:vAlign w:val="center"/>
                </w:tcPr>
                <w:p w14:paraId="2819359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675" w:type="dxa"/>
                  <w:vMerge w:val="continue"/>
                  <w:tcBorders>
                    <w:tl2br w:val="nil"/>
                    <w:tr2bl w:val="nil"/>
                  </w:tcBorders>
                  <w:vAlign w:val="center"/>
                </w:tcPr>
                <w:p w14:paraId="5564237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825" w:type="dxa"/>
                  <w:vMerge w:val="continue"/>
                  <w:tcBorders>
                    <w:tl2br w:val="nil"/>
                    <w:tr2bl w:val="nil"/>
                  </w:tcBorders>
                  <w:vAlign w:val="center"/>
                </w:tcPr>
                <w:p w14:paraId="27BD64F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960" w:type="dxa"/>
                  <w:vMerge w:val="continue"/>
                  <w:tcBorders>
                    <w:tl2br w:val="nil"/>
                    <w:tr2bl w:val="nil"/>
                  </w:tcBorders>
                  <w:vAlign w:val="center"/>
                </w:tcPr>
                <w:p w14:paraId="13D3CED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645" w:type="dxa"/>
                  <w:vMerge w:val="continue"/>
                  <w:tcBorders>
                    <w:tl2br w:val="nil"/>
                    <w:tr2bl w:val="nil"/>
                  </w:tcBorders>
                  <w:vAlign w:val="center"/>
                </w:tcPr>
                <w:p w14:paraId="1F938FD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585" w:type="dxa"/>
                  <w:vMerge w:val="continue"/>
                  <w:tcBorders>
                    <w:tl2br w:val="nil"/>
                    <w:tr2bl w:val="nil"/>
                  </w:tcBorders>
                  <w:vAlign w:val="center"/>
                </w:tcPr>
                <w:p w14:paraId="6816621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705" w:type="dxa"/>
                  <w:vMerge w:val="continue"/>
                  <w:tcBorders>
                    <w:tl2br w:val="nil"/>
                    <w:tr2bl w:val="nil"/>
                  </w:tcBorders>
                  <w:vAlign w:val="center"/>
                </w:tcPr>
                <w:p w14:paraId="0367E41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05" w:type="dxa"/>
                  <w:tcBorders>
                    <w:tl2br w:val="nil"/>
                    <w:tr2bl w:val="nil"/>
                  </w:tcBorders>
                  <w:vAlign w:val="center"/>
                </w:tcPr>
                <w:p w14:paraId="78B214F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24.5</w:t>
                  </w:r>
                </w:p>
              </w:tc>
              <w:tc>
                <w:tcPr>
                  <w:tcW w:w="900" w:type="dxa"/>
                  <w:tcBorders>
                    <w:tl2br w:val="nil"/>
                    <w:tr2bl w:val="nil"/>
                  </w:tcBorders>
                  <w:vAlign w:val="center"/>
                </w:tcPr>
                <w:p w14:paraId="4FA1C49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0.0583</w:t>
                  </w:r>
                </w:p>
              </w:tc>
              <w:tc>
                <w:tcPr>
                  <w:tcW w:w="684" w:type="dxa"/>
                  <w:vMerge w:val="continue"/>
                  <w:tcBorders>
                    <w:tl2br w:val="nil"/>
                    <w:tr2bl w:val="nil"/>
                  </w:tcBorders>
                  <w:vAlign w:val="center"/>
                </w:tcPr>
                <w:p w14:paraId="1F3587D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r>
            <w:tr w14:paraId="5EBEBC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continue"/>
                  <w:tcBorders>
                    <w:tl2br w:val="nil"/>
                    <w:tr2bl w:val="nil"/>
                  </w:tcBorders>
                  <w:vAlign w:val="center"/>
                </w:tcPr>
                <w:p w14:paraId="0299532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50" w:type="dxa"/>
                  <w:tcBorders>
                    <w:tl2br w:val="nil"/>
                    <w:tr2bl w:val="nil"/>
                  </w:tcBorders>
                  <w:shd w:val="clear" w:color="auto" w:fill="auto"/>
                  <w:vAlign w:val="center"/>
                </w:tcPr>
                <w:p w14:paraId="3EF436F3">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总磷</w:t>
                  </w:r>
                </w:p>
              </w:tc>
              <w:tc>
                <w:tcPr>
                  <w:tcW w:w="660" w:type="dxa"/>
                  <w:vMerge w:val="continue"/>
                  <w:tcBorders>
                    <w:tl2br w:val="nil"/>
                    <w:tr2bl w:val="nil"/>
                  </w:tcBorders>
                  <w:vAlign w:val="center"/>
                </w:tcPr>
                <w:p w14:paraId="203C4DF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675" w:type="dxa"/>
                  <w:vMerge w:val="continue"/>
                  <w:tcBorders>
                    <w:tl2br w:val="nil"/>
                    <w:tr2bl w:val="nil"/>
                  </w:tcBorders>
                  <w:vAlign w:val="center"/>
                </w:tcPr>
                <w:p w14:paraId="223AD01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825" w:type="dxa"/>
                  <w:vMerge w:val="continue"/>
                  <w:tcBorders>
                    <w:tl2br w:val="nil"/>
                    <w:tr2bl w:val="nil"/>
                  </w:tcBorders>
                  <w:vAlign w:val="center"/>
                </w:tcPr>
                <w:p w14:paraId="0FCDEF9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960" w:type="dxa"/>
                  <w:vMerge w:val="continue"/>
                  <w:tcBorders>
                    <w:tl2br w:val="nil"/>
                    <w:tr2bl w:val="nil"/>
                  </w:tcBorders>
                  <w:vAlign w:val="center"/>
                </w:tcPr>
                <w:p w14:paraId="63B6F45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645" w:type="dxa"/>
                  <w:vMerge w:val="continue"/>
                  <w:tcBorders>
                    <w:tl2br w:val="nil"/>
                    <w:tr2bl w:val="nil"/>
                  </w:tcBorders>
                  <w:vAlign w:val="center"/>
                </w:tcPr>
                <w:p w14:paraId="0E941CE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585" w:type="dxa"/>
                  <w:vMerge w:val="continue"/>
                  <w:tcBorders>
                    <w:tl2br w:val="nil"/>
                    <w:tr2bl w:val="nil"/>
                  </w:tcBorders>
                  <w:vAlign w:val="center"/>
                </w:tcPr>
                <w:p w14:paraId="3E974B0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705" w:type="dxa"/>
                  <w:vMerge w:val="continue"/>
                  <w:tcBorders>
                    <w:tl2br w:val="nil"/>
                    <w:tr2bl w:val="nil"/>
                  </w:tcBorders>
                  <w:vAlign w:val="center"/>
                </w:tcPr>
                <w:p w14:paraId="189A3C1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05" w:type="dxa"/>
                  <w:tcBorders>
                    <w:tl2br w:val="nil"/>
                    <w:tr2bl w:val="nil"/>
                  </w:tcBorders>
                  <w:vAlign w:val="center"/>
                </w:tcPr>
                <w:p w14:paraId="6690630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1.65</w:t>
                  </w:r>
                </w:p>
              </w:tc>
              <w:tc>
                <w:tcPr>
                  <w:tcW w:w="900" w:type="dxa"/>
                  <w:tcBorders>
                    <w:tl2br w:val="nil"/>
                    <w:tr2bl w:val="nil"/>
                  </w:tcBorders>
                  <w:vAlign w:val="center"/>
                </w:tcPr>
                <w:p w14:paraId="5818E22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0.00393</w:t>
                  </w:r>
                </w:p>
              </w:tc>
              <w:tc>
                <w:tcPr>
                  <w:tcW w:w="684" w:type="dxa"/>
                  <w:vMerge w:val="continue"/>
                  <w:tcBorders>
                    <w:tl2br w:val="nil"/>
                    <w:tr2bl w:val="nil"/>
                  </w:tcBorders>
                  <w:vAlign w:val="center"/>
                </w:tcPr>
                <w:p w14:paraId="1DA274F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r>
            <w:tr w14:paraId="309E55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8" w:type="dxa"/>
                  <w:vMerge w:val="continue"/>
                  <w:tcBorders>
                    <w:tl2br w:val="nil"/>
                    <w:tr2bl w:val="nil"/>
                  </w:tcBorders>
                  <w:vAlign w:val="center"/>
                </w:tcPr>
                <w:p w14:paraId="28C3A80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50" w:type="dxa"/>
                  <w:tcBorders>
                    <w:tl2br w:val="nil"/>
                    <w:tr2bl w:val="nil"/>
                  </w:tcBorders>
                  <w:shd w:val="clear" w:color="auto" w:fill="auto"/>
                  <w:vAlign w:val="center"/>
                </w:tcPr>
                <w:p w14:paraId="4EA94BC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氟化物</w:t>
                  </w:r>
                </w:p>
              </w:tc>
              <w:tc>
                <w:tcPr>
                  <w:tcW w:w="660" w:type="dxa"/>
                  <w:vMerge w:val="continue"/>
                  <w:tcBorders>
                    <w:tl2br w:val="nil"/>
                    <w:tr2bl w:val="nil"/>
                  </w:tcBorders>
                  <w:vAlign w:val="center"/>
                </w:tcPr>
                <w:p w14:paraId="79F7984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675" w:type="dxa"/>
                  <w:vMerge w:val="continue"/>
                  <w:tcBorders>
                    <w:tl2br w:val="nil"/>
                    <w:tr2bl w:val="nil"/>
                  </w:tcBorders>
                  <w:vAlign w:val="center"/>
                </w:tcPr>
                <w:p w14:paraId="75B5019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825" w:type="dxa"/>
                  <w:vMerge w:val="continue"/>
                  <w:tcBorders>
                    <w:tl2br w:val="nil"/>
                    <w:tr2bl w:val="nil"/>
                  </w:tcBorders>
                  <w:vAlign w:val="center"/>
                </w:tcPr>
                <w:p w14:paraId="279C4CA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960" w:type="dxa"/>
                  <w:vMerge w:val="continue"/>
                  <w:tcBorders>
                    <w:tl2br w:val="nil"/>
                    <w:tr2bl w:val="nil"/>
                  </w:tcBorders>
                  <w:vAlign w:val="center"/>
                </w:tcPr>
                <w:p w14:paraId="59B5238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645" w:type="dxa"/>
                  <w:vMerge w:val="continue"/>
                  <w:tcBorders>
                    <w:tl2br w:val="nil"/>
                    <w:tr2bl w:val="nil"/>
                  </w:tcBorders>
                  <w:vAlign w:val="center"/>
                </w:tcPr>
                <w:p w14:paraId="35EA77D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585" w:type="dxa"/>
                  <w:vMerge w:val="continue"/>
                  <w:tcBorders>
                    <w:tl2br w:val="nil"/>
                    <w:tr2bl w:val="nil"/>
                  </w:tcBorders>
                  <w:vAlign w:val="center"/>
                </w:tcPr>
                <w:p w14:paraId="6F36FA4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705" w:type="dxa"/>
                  <w:vMerge w:val="continue"/>
                  <w:tcBorders>
                    <w:tl2br w:val="nil"/>
                    <w:tr2bl w:val="nil"/>
                  </w:tcBorders>
                  <w:vAlign w:val="center"/>
                </w:tcPr>
                <w:p w14:paraId="44888C7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c>
                <w:tcPr>
                  <w:tcW w:w="705" w:type="dxa"/>
                  <w:tcBorders>
                    <w:tl2br w:val="nil"/>
                    <w:tr2bl w:val="nil"/>
                  </w:tcBorders>
                  <w:vAlign w:val="center"/>
                </w:tcPr>
                <w:p w14:paraId="6E2F758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6.73</w:t>
                  </w:r>
                </w:p>
              </w:tc>
              <w:tc>
                <w:tcPr>
                  <w:tcW w:w="900" w:type="dxa"/>
                  <w:tcBorders>
                    <w:tl2br w:val="nil"/>
                    <w:tr2bl w:val="nil"/>
                  </w:tcBorders>
                  <w:vAlign w:val="center"/>
                </w:tcPr>
                <w:p w14:paraId="6681CBB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0.016</w:t>
                  </w:r>
                </w:p>
              </w:tc>
              <w:tc>
                <w:tcPr>
                  <w:tcW w:w="684" w:type="dxa"/>
                  <w:vMerge w:val="continue"/>
                  <w:tcBorders>
                    <w:tl2br w:val="nil"/>
                    <w:tr2bl w:val="nil"/>
                  </w:tcBorders>
                  <w:vAlign w:val="center"/>
                </w:tcPr>
                <w:p w14:paraId="7DE684A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p>
              </w:tc>
            </w:tr>
          </w:tbl>
          <w:p w14:paraId="1F1021C1">
            <w:pPr>
              <w:keepNext w:val="0"/>
              <w:keepLines w:val="0"/>
              <w:pageBreakBefore w:val="0"/>
              <w:widowControl w:val="0"/>
              <w:kinsoku/>
              <w:wordWrap/>
              <w:overflowPunct/>
              <w:topLinePunct w:val="0"/>
              <w:autoSpaceDE/>
              <w:autoSpaceDN/>
              <w:bidi w:val="0"/>
              <w:adjustRightInd w:val="0"/>
              <w:snapToGrid w:val="0"/>
              <w:spacing w:before="120" w:beforeLines="50" w:line="240" w:lineRule="auto"/>
              <w:jc w:val="center"/>
              <w:textAlignment w:val="auto"/>
              <w:rPr>
                <w:rFonts w:hint="eastAsia"/>
                <w:b/>
                <w:bCs w:val="0"/>
                <w:color w:val="auto"/>
                <w:kern w:val="0"/>
                <w:szCs w:val="21"/>
                <w:lang w:val="en-US" w:eastAsia="zh-CN"/>
              </w:rPr>
            </w:pPr>
            <w:r>
              <w:rPr>
                <w:rFonts w:hint="eastAsia"/>
                <w:b/>
                <w:bCs w:val="0"/>
                <w:color w:val="auto"/>
                <w:kern w:val="0"/>
                <w:szCs w:val="21"/>
                <w:lang w:val="en-US" w:eastAsia="zh-CN"/>
              </w:rPr>
              <w:t>表4-15 本项目建成后全厂废水排放情况一览表</w:t>
            </w:r>
          </w:p>
          <w:tbl>
            <w:tblPr>
              <w:tblStyle w:val="3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60"/>
              <w:gridCol w:w="1935"/>
              <w:gridCol w:w="1965"/>
              <w:gridCol w:w="1860"/>
              <w:gridCol w:w="1382"/>
            </w:tblGrid>
            <w:tr w14:paraId="1C4AD0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tcBorders>
                    <w:tl2br w:val="nil"/>
                    <w:tr2bl w:val="nil"/>
                  </w:tcBorders>
                  <w:vAlign w:val="center"/>
                </w:tcPr>
                <w:p w14:paraId="75DA3BF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bCs w:val="0"/>
                      <w:color w:val="auto"/>
                      <w:kern w:val="0"/>
                      <w:szCs w:val="21"/>
                      <w:vertAlign w:val="baseline"/>
                      <w:lang w:val="en-US" w:eastAsia="zh-CN"/>
                    </w:rPr>
                    <w:t>污染物</w:t>
                  </w:r>
                </w:p>
              </w:tc>
              <w:tc>
                <w:tcPr>
                  <w:tcW w:w="1935" w:type="dxa"/>
                  <w:tcBorders>
                    <w:tl2br w:val="nil"/>
                    <w:tr2bl w:val="nil"/>
                  </w:tcBorders>
                  <w:shd w:val="clear" w:color="auto" w:fill="auto"/>
                  <w:vAlign w:val="center"/>
                </w:tcPr>
                <w:p w14:paraId="1E0834E8">
                  <w:pPr>
                    <w:keepNext w:val="0"/>
                    <w:keepLines w:val="0"/>
                    <w:pageBreakBefore w:val="0"/>
                    <w:kinsoku/>
                    <w:wordWrap/>
                    <w:overflowPunct/>
                    <w:topLinePunct w:val="0"/>
                    <w:bidi w:val="0"/>
                    <w:snapToGrid w:val="0"/>
                    <w:jc w:val="center"/>
                    <w:rPr>
                      <w:rFonts w:hint="eastAsia" w:ascii="Times New Roman" w:hAnsi="Times New Roman" w:eastAsia="宋体" w:cs="Times New Roman"/>
                      <w:b/>
                      <w:color w:val="auto"/>
                      <w:kern w:val="2"/>
                      <w:sz w:val="21"/>
                      <w:szCs w:val="24"/>
                      <w:lang w:val="en-US" w:eastAsia="zh-CN" w:bidi="ar-SA"/>
                    </w:rPr>
                  </w:pPr>
                  <w:r>
                    <w:rPr>
                      <w:b/>
                      <w:color w:val="auto"/>
                    </w:rPr>
                    <w:t>排放废水量m</w:t>
                  </w:r>
                  <w:r>
                    <w:rPr>
                      <w:b/>
                      <w:color w:val="auto"/>
                      <w:vertAlign w:val="superscript"/>
                    </w:rPr>
                    <w:t>3</w:t>
                  </w:r>
                  <w:r>
                    <w:rPr>
                      <w:b/>
                      <w:color w:val="auto"/>
                    </w:rPr>
                    <w:t>/a</w:t>
                  </w:r>
                </w:p>
              </w:tc>
              <w:tc>
                <w:tcPr>
                  <w:tcW w:w="1965" w:type="dxa"/>
                  <w:tcBorders>
                    <w:tl2br w:val="nil"/>
                    <w:tr2bl w:val="nil"/>
                  </w:tcBorders>
                  <w:shd w:val="clear" w:color="auto" w:fill="auto"/>
                  <w:vAlign w:val="center"/>
                </w:tcPr>
                <w:p w14:paraId="48A5D0AC">
                  <w:pPr>
                    <w:keepNext w:val="0"/>
                    <w:keepLines w:val="0"/>
                    <w:pageBreakBefore w:val="0"/>
                    <w:kinsoku/>
                    <w:wordWrap/>
                    <w:overflowPunct/>
                    <w:topLinePunct w:val="0"/>
                    <w:bidi w:val="0"/>
                    <w:snapToGrid w:val="0"/>
                    <w:jc w:val="center"/>
                    <w:rPr>
                      <w:rFonts w:hint="eastAsia" w:ascii="Times New Roman" w:hAnsi="Times New Roman" w:eastAsia="宋体" w:cs="Times New Roman"/>
                      <w:b/>
                      <w:color w:val="auto"/>
                      <w:kern w:val="2"/>
                      <w:sz w:val="21"/>
                      <w:szCs w:val="24"/>
                      <w:lang w:val="en-US" w:eastAsia="zh-CN" w:bidi="ar-SA"/>
                    </w:rPr>
                  </w:pPr>
                  <w:r>
                    <w:rPr>
                      <w:b/>
                      <w:color w:val="auto"/>
                    </w:rPr>
                    <w:t>排放浓度mg/L</w:t>
                  </w:r>
                </w:p>
              </w:tc>
              <w:tc>
                <w:tcPr>
                  <w:tcW w:w="1860" w:type="dxa"/>
                  <w:tcBorders>
                    <w:tl2br w:val="nil"/>
                    <w:tr2bl w:val="nil"/>
                  </w:tcBorders>
                  <w:shd w:val="clear" w:color="auto" w:fill="auto"/>
                  <w:vAlign w:val="center"/>
                </w:tcPr>
                <w:p w14:paraId="63C00E1B">
                  <w:pPr>
                    <w:keepNext w:val="0"/>
                    <w:keepLines w:val="0"/>
                    <w:pageBreakBefore w:val="0"/>
                    <w:kinsoku/>
                    <w:wordWrap/>
                    <w:overflowPunct/>
                    <w:topLinePunct w:val="0"/>
                    <w:bidi w:val="0"/>
                    <w:snapToGrid w:val="0"/>
                    <w:jc w:val="center"/>
                    <w:rPr>
                      <w:rFonts w:hint="eastAsia" w:ascii="Times New Roman" w:hAnsi="Times New Roman" w:eastAsia="宋体" w:cs="Times New Roman"/>
                      <w:b/>
                      <w:color w:val="auto"/>
                      <w:kern w:val="2"/>
                      <w:sz w:val="21"/>
                      <w:szCs w:val="24"/>
                      <w:lang w:val="en-US" w:eastAsia="zh-CN" w:bidi="ar-SA"/>
                    </w:rPr>
                  </w:pPr>
                  <w:r>
                    <w:rPr>
                      <w:b/>
                      <w:color w:val="auto"/>
                    </w:rPr>
                    <w:t>排放量t/a</w:t>
                  </w:r>
                </w:p>
              </w:tc>
              <w:tc>
                <w:tcPr>
                  <w:tcW w:w="1382" w:type="dxa"/>
                  <w:tcBorders>
                    <w:tl2br w:val="nil"/>
                    <w:tr2bl w:val="nil"/>
                  </w:tcBorders>
                  <w:vAlign w:val="center"/>
                </w:tcPr>
                <w:p w14:paraId="2C1B2AD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r>
                    <w:rPr>
                      <w:b/>
                      <w:color w:val="auto"/>
                    </w:rPr>
                    <w:t>排放时间h</w:t>
                  </w:r>
                  <w:r>
                    <w:rPr>
                      <w:rFonts w:hint="eastAsia"/>
                      <w:b/>
                      <w:color w:val="auto"/>
                      <w:lang w:val="en-US" w:eastAsia="zh-CN"/>
                    </w:rPr>
                    <w:t>/a</w:t>
                  </w:r>
                </w:p>
              </w:tc>
            </w:tr>
            <w:tr w14:paraId="2BDBB6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tcBorders>
                    <w:tl2br w:val="nil"/>
                    <w:tr2bl w:val="nil"/>
                  </w:tcBorders>
                  <w:shd w:val="clear" w:color="auto" w:fill="auto"/>
                  <w:vAlign w:val="center"/>
                </w:tcPr>
                <w:p w14:paraId="7AD484F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pH</w:t>
                  </w:r>
                </w:p>
              </w:tc>
              <w:tc>
                <w:tcPr>
                  <w:tcW w:w="1935" w:type="dxa"/>
                  <w:vMerge w:val="restart"/>
                  <w:tcBorders>
                    <w:tl2br w:val="nil"/>
                    <w:tr2bl w:val="nil"/>
                  </w:tcBorders>
                  <w:vAlign w:val="center"/>
                </w:tcPr>
                <w:p w14:paraId="2CFFF06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18163.2</w:t>
                  </w:r>
                </w:p>
              </w:tc>
              <w:tc>
                <w:tcPr>
                  <w:tcW w:w="1965" w:type="dxa"/>
                  <w:tcBorders>
                    <w:tl2br w:val="nil"/>
                    <w:tr2bl w:val="nil"/>
                  </w:tcBorders>
                  <w:vAlign w:val="center"/>
                </w:tcPr>
                <w:p w14:paraId="12EEFF9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6~9</w:t>
                  </w:r>
                </w:p>
              </w:tc>
              <w:tc>
                <w:tcPr>
                  <w:tcW w:w="1860" w:type="dxa"/>
                  <w:tcBorders>
                    <w:tl2br w:val="nil"/>
                    <w:tr2bl w:val="nil"/>
                  </w:tcBorders>
                  <w:vAlign w:val="center"/>
                </w:tcPr>
                <w:p w14:paraId="74F53A4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w:t>
                  </w:r>
                </w:p>
              </w:tc>
              <w:tc>
                <w:tcPr>
                  <w:tcW w:w="1382" w:type="dxa"/>
                  <w:vMerge w:val="restart"/>
                  <w:tcBorders>
                    <w:tl2br w:val="nil"/>
                    <w:tr2bl w:val="nil"/>
                  </w:tcBorders>
                  <w:vAlign w:val="center"/>
                </w:tcPr>
                <w:p w14:paraId="771132A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7200</w:t>
                  </w:r>
                </w:p>
              </w:tc>
            </w:tr>
            <w:tr w14:paraId="19430D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tcBorders>
                    <w:tl2br w:val="nil"/>
                    <w:tr2bl w:val="nil"/>
                  </w:tcBorders>
                  <w:shd w:val="clear" w:color="auto" w:fill="auto"/>
                  <w:vAlign w:val="center"/>
                </w:tcPr>
                <w:p w14:paraId="32A6FAA5">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COD</w:t>
                  </w:r>
                </w:p>
              </w:tc>
              <w:tc>
                <w:tcPr>
                  <w:tcW w:w="1935" w:type="dxa"/>
                  <w:vMerge w:val="continue"/>
                  <w:tcBorders>
                    <w:tl2br w:val="nil"/>
                    <w:tr2bl w:val="nil"/>
                  </w:tcBorders>
                  <w:vAlign w:val="center"/>
                </w:tcPr>
                <w:p w14:paraId="3EFEC61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1965" w:type="dxa"/>
                  <w:tcBorders>
                    <w:tl2br w:val="nil"/>
                    <w:tr2bl w:val="nil"/>
                  </w:tcBorders>
                  <w:vAlign w:val="center"/>
                </w:tcPr>
                <w:p w14:paraId="3063A7C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367.83</w:t>
                  </w:r>
                </w:p>
              </w:tc>
              <w:tc>
                <w:tcPr>
                  <w:tcW w:w="1860" w:type="dxa"/>
                  <w:tcBorders>
                    <w:tl2br w:val="nil"/>
                    <w:tr2bl w:val="nil"/>
                  </w:tcBorders>
                  <w:vAlign w:val="center"/>
                </w:tcPr>
                <w:p w14:paraId="00AB1C0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6.681</w:t>
                  </w:r>
                </w:p>
              </w:tc>
              <w:tc>
                <w:tcPr>
                  <w:tcW w:w="1382" w:type="dxa"/>
                  <w:vMerge w:val="continue"/>
                  <w:tcBorders>
                    <w:tl2br w:val="nil"/>
                    <w:tr2bl w:val="nil"/>
                  </w:tcBorders>
                  <w:vAlign w:val="center"/>
                </w:tcPr>
                <w:p w14:paraId="64788C9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r>
            <w:tr w14:paraId="3DF918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tcBorders>
                    <w:tl2br w:val="nil"/>
                    <w:tr2bl w:val="nil"/>
                  </w:tcBorders>
                  <w:shd w:val="clear" w:color="auto" w:fill="auto"/>
                  <w:vAlign w:val="center"/>
                </w:tcPr>
                <w:p w14:paraId="01261EF2">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4"/>
                      <w:lang w:val="en-US" w:eastAsia="zh-CN" w:bidi="ar-SA"/>
                    </w:rPr>
                  </w:pPr>
                  <w:r>
                    <w:rPr>
                      <w:rFonts w:hint="eastAsia"/>
                      <w:color w:val="auto"/>
                      <w:szCs w:val="21"/>
                      <w:lang w:val="en-US" w:eastAsia="zh-CN"/>
                    </w:rPr>
                    <w:t>BOD</w:t>
                  </w:r>
                  <w:r>
                    <w:rPr>
                      <w:rFonts w:hint="eastAsia"/>
                      <w:color w:val="auto"/>
                      <w:szCs w:val="21"/>
                      <w:vertAlign w:val="subscript"/>
                      <w:lang w:val="en-US" w:eastAsia="zh-CN"/>
                    </w:rPr>
                    <w:t>5</w:t>
                  </w:r>
                </w:p>
              </w:tc>
              <w:tc>
                <w:tcPr>
                  <w:tcW w:w="1935" w:type="dxa"/>
                  <w:vMerge w:val="continue"/>
                  <w:tcBorders>
                    <w:tl2br w:val="nil"/>
                    <w:tr2bl w:val="nil"/>
                  </w:tcBorders>
                  <w:vAlign w:val="center"/>
                </w:tcPr>
                <w:p w14:paraId="498AB22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1965" w:type="dxa"/>
                  <w:tcBorders>
                    <w:tl2br w:val="nil"/>
                    <w:tr2bl w:val="nil"/>
                  </w:tcBorders>
                  <w:vAlign w:val="center"/>
                </w:tcPr>
                <w:p w14:paraId="70BFB63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99.65</w:t>
                  </w:r>
                </w:p>
              </w:tc>
              <w:tc>
                <w:tcPr>
                  <w:tcW w:w="1860" w:type="dxa"/>
                  <w:tcBorders>
                    <w:tl2br w:val="nil"/>
                    <w:tr2bl w:val="nil"/>
                  </w:tcBorders>
                  <w:vAlign w:val="center"/>
                </w:tcPr>
                <w:p w14:paraId="243E632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1.81</w:t>
                  </w:r>
                </w:p>
              </w:tc>
              <w:tc>
                <w:tcPr>
                  <w:tcW w:w="1382" w:type="dxa"/>
                  <w:vMerge w:val="continue"/>
                  <w:tcBorders>
                    <w:tl2br w:val="nil"/>
                    <w:tr2bl w:val="nil"/>
                  </w:tcBorders>
                  <w:vAlign w:val="center"/>
                </w:tcPr>
                <w:p w14:paraId="0D17FDC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r>
            <w:tr w14:paraId="50FF44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tcBorders>
                    <w:tl2br w:val="nil"/>
                    <w:tr2bl w:val="nil"/>
                  </w:tcBorders>
                  <w:shd w:val="clear" w:color="auto" w:fill="auto"/>
                  <w:vAlign w:val="center"/>
                </w:tcPr>
                <w:p w14:paraId="7F98C5DD">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SS</w:t>
                  </w:r>
                </w:p>
              </w:tc>
              <w:tc>
                <w:tcPr>
                  <w:tcW w:w="1935" w:type="dxa"/>
                  <w:vMerge w:val="continue"/>
                  <w:tcBorders>
                    <w:tl2br w:val="nil"/>
                    <w:tr2bl w:val="nil"/>
                  </w:tcBorders>
                  <w:vAlign w:val="center"/>
                </w:tcPr>
                <w:p w14:paraId="78DB614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1965" w:type="dxa"/>
                  <w:tcBorders>
                    <w:tl2br w:val="nil"/>
                    <w:tr2bl w:val="nil"/>
                  </w:tcBorders>
                  <w:vAlign w:val="center"/>
                </w:tcPr>
                <w:p w14:paraId="32DE2D4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33.44</w:t>
                  </w:r>
                </w:p>
              </w:tc>
              <w:tc>
                <w:tcPr>
                  <w:tcW w:w="1860" w:type="dxa"/>
                  <w:tcBorders>
                    <w:tl2br w:val="nil"/>
                    <w:tr2bl w:val="nil"/>
                  </w:tcBorders>
                  <w:vAlign w:val="center"/>
                </w:tcPr>
                <w:p w14:paraId="3B731E8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0.6073</w:t>
                  </w:r>
                </w:p>
              </w:tc>
              <w:tc>
                <w:tcPr>
                  <w:tcW w:w="1382" w:type="dxa"/>
                  <w:vMerge w:val="continue"/>
                  <w:tcBorders>
                    <w:tl2br w:val="nil"/>
                    <w:tr2bl w:val="nil"/>
                  </w:tcBorders>
                  <w:vAlign w:val="center"/>
                </w:tcPr>
                <w:p w14:paraId="4C525D9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r>
            <w:tr w14:paraId="61BFF9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tcBorders>
                    <w:tl2br w:val="nil"/>
                    <w:tr2bl w:val="nil"/>
                  </w:tcBorders>
                  <w:shd w:val="clear" w:color="auto" w:fill="auto"/>
                  <w:vAlign w:val="center"/>
                </w:tcPr>
                <w:p w14:paraId="2B806E3F">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氨氮</w:t>
                  </w:r>
                </w:p>
              </w:tc>
              <w:tc>
                <w:tcPr>
                  <w:tcW w:w="1935" w:type="dxa"/>
                  <w:vMerge w:val="continue"/>
                  <w:tcBorders>
                    <w:tl2br w:val="nil"/>
                    <w:tr2bl w:val="nil"/>
                  </w:tcBorders>
                  <w:vAlign w:val="center"/>
                </w:tcPr>
                <w:p w14:paraId="1DA743B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1965" w:type="dxa"/>
                  <w:tcBorders>
                    <w:tl2br w:val="nil"/>
                    <w:tr2bl w:val="nil"/>
                  </w:tcBorders>
                  <w:vAlign w:val="center"/>
                </w:tcPr>
                <w:p w14:paraId="6CA093A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22.8</w:t>
                  </w:r>
                </w:p>
              </w:tc>
              <w:tc>
                <w:tcPr>
                  <w:tcW w:w="1860" w:type="dxa"/>
                  <w:tcBorders>
                    <w:tl2br w:val="nil"/>
                    <w:tr2bl w:val="nil"/>
                  </w:tcBorders>
                  <w:vAlign w:val="center"/>
                </w:tcPr>
                <w:p w14:paraId="7AE1FAB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0.4142</w:t>
                  </w:r>
                </w:p>
              </w:tc>
              <w:tc>
                <w:tcPr>
                  <w:tcW w:w="1382" w:type="dxa"/>
                  <w:vMerge w:val="continue"/>
                  <w:tcBorders>
                    <w:tl2br w:val="nil"/>
                    <w:tr2bl w:val="nil"/>
                  </w:tcBorders>
                  <w:vAlign w:val="center"/>
                </w:tcPr>
                <w:p w14:paraId="309899D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r>
            <w:tr w14:paraId="00612D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tcBorders>
                    <w:tl2br w:val="nil"/>
                    <w:tr2bl w:val="nil"/>
                  </w:tcBorders>
                  <w:shd w:val="clear" w:color="auto" w:fill="auto"/>
                  <w:vAlign w:val="center"/>
                </w:tcPr>
                <w:p w14:paraId="6935B03A">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总氮</w:t>
                  </w:r>
                </w:p>
              </w:tc>
              <w:tc>
                <w:tcPr>
                  <w:tcW w:w="1935" w:type="dxa"/>
                  <w:vMerge w:val="continue"/>
                  <w:tcBorders>
                    <w:tl2br w:val="nil"/>
                    <w:tr2bl w:val="nil"/>
                  </w:tcBorders>
                  <w:vAlign w:val="center"/>
                </w:tcPr>
                <w:p w14:paraId="7464776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1965" w:type="dxa"/>
                  <w:tcBorders>
                    <w:tl2br w:val="nil"/>
                    <w:tr2bl w:val="nil"/>
                  </w:tcBorders>
                  <w:vAlign w:val="center"/>
                </w:tcPr>
                <w:p w14:paraId="18CBC72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28.76</w:t>
                  </w:r>
                </w:p>
              </w:tc>
              <w:tc>
                <w:tcPr>
                  <w:tcW w:w="1860" w:type="dxa"/>
                  <w:tcBorders>
                    <w:tl2br w:val="nil"/>
                    <w:tr2bl w:val="nil"/>
                  </w:tcBorders>
                  <w:vAlign w:val="center"/>
                </w:tcPr>
                <w:p w14:paraId="1B413E1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0.5224</w:t>
                  </w:r>
                </w:p>
              </w:tc>
              <w:tc>
                <w:tcPr>
                  <w:tcW w:w="1382" w:type="dxa"/>
                  <w:vMerge w:val="continue"/>
                  <w:tcBorders>
                    <w:tl2br w:val="nil"/>
                    <w:tr2bl w:val="nil"/>
                  </w:tcBorders>
                  <w:vAlign w:val="center"/>
                </w:tcPr>
                <w:p w14:paraId="5E17C3D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r>
            <w:tr w14:paraId="0D36A8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shd w:val="clear" w:color="auto" w:fill="auto"/>
                  <w:vAlign w:val="center"/>
                </w:tcPr>
                <w:p w14:paraId="5AD3691F">
                  <w:pPr>
                    <w:keepNext w:val="0"/>
                    <w:keepLines w:val="0"/>
                    <w:pageBreakBefore w:val="0"/>
                    <w:suppressLineNumbers w:val="0"/>
                    <w:kinsoku/>
                    <w:wordWrap/>
                    <w:overflowPunct/>
                    <w:topLinePunct w:val="0"/>
                    <w:bidi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rPr>
                    <w:t>总磷</w:t>
                  </w:r>
                </w:p>
              </w:tc>
              <w:tc>
                <w:tcPr>
                  <w:tcW w:w="1935" w:type="dxa"/>
                  <w:vMerge w:val="continue"/>
                  <w:vAlign w:val="center"/>
                </w:tcPr>
                <w:p w14:paraId="0D024A4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1965" w:type="dxa"/>
                  <w:vAlign w:val="center"/>
                </w:tcPr>
                <w:p w14:paraId="168E579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2.84</w:t>
                  </w:r>
                </w:p>
              </w:tc>
              <w:tc>
                <w:tcPr>
                  <w:tcW w:w="1860" w:type="dxa"/>
                  <w:vAlign w:val="center"/>
                </w:tcPr>
                <w:p w14:paraId="1A6B55B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0.0516</w:t>
                  </w:r>
                </w:p>
              </w:tc>
              <w:tc>
                <w:tcPr>
                  <w:tcW w:w="1382" w:type="dxa"/>
                  <w:vMerge w:val="continue"/>
                  <w:vAlign w:val="center"/>
                </w:tcPr>
                <w:p w14:paraId="7674A6A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r>
            <w:tr w14:paraId="689775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shd w:val="clear" w:color="auto" w:fill="auto"/>
                  <w:vAlign w:val="center"/>
                </w:tcPr>
                <w:p w14:paraId="6B9F20C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氟化物</w:t>
                  </w:r>
                </w:p>
              </w:tc>
              <w:tc>
                <w:tcPr>
                  <w:tcW w:w="1935" w:type="dxa"/>
                  <w:vMerge w:val="continue"/>
                  <w:vAlign w:val="center"/>
                </w:tcPr>
                <w:p w14:paraId="6F5B1A8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c>
                <w:tcPr>
                  <w:tcW w:w="1965" w:type="dxa"/>
                  <w:vAlign w:val="center"/>
                </w:tcPr>
                <w:p w14:paraId="78C6930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0.88</w:t>
                  </w:r>
                </w:p>
              </w:tc>
              <w:tc>
                <w:tcPr>
                  <w:tcW w:w="1860" w:type="dxa"/>
                  <w:vAlign w:val="center"/>
                </w:tcPr>
                <w:p w14:paraId="1BAAB84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r>
                    <w:rPr>
                      <w:rFonts w:hint="eastAsia"/>
                      <w:b w:val="0"/>
                      <w:bCs/>
                      <w:color w:val="auto"/>
                      <w:kern w:val="0"/>
                      <w:szCs w:val="21"/>
                      <w:vertAlign w:val="baseline"/>
                      <w:lang w:val="en-US" w:eastAsia="zh-CN"/>
                    </w:rPr>
                    <w:t>0.016</w:t>
                  </w:r>
                </w:p>
              </w:tc>
              <w:tc>
                <w:tcPr>
                  <w:tcW w:w="1382" w:type="dxa"/>
                  <w:vMerge w:val="continue"/>
                  <w:vAlign w:val="center"/>
                </w:tcPr>
                <w:p w14:paraId="4682675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color w:val="auto"/>
                      <w:kern w:val="0"/>
                      <w:szCs w:val="21"/>
                      <w:vertAlign w:val="baseline"/>
                      <w:lang w:val="en-US" w:eastAsia="zh-CN"/>
                    </w:rPr>
                  </w:pPr>
                </w:p>
              </w:tc>
            </w:tr>
          </w:tbl>
          <w:p w14:paraId="3101A71C">
            <w:pPr>
              <w:keepNext w:val="0"/>
              <w:keepLines w:val="0"/>
              <w:pageBreakBefore w:val="0"/>
              <w:kinsoku/>
              <w:wordWrap/>
              <w:overflowPunct/>
              <w:topLinePunct w:val="0"/>
              <w:bidi w:val="0"/>
              <w:adjustRightInd w:val="0"/>
              <w:snapToGrid w:val="0"/>
              <w:spacing w:before="120" w:beforeLines="50" w:line="360" w:lineRule="auto"/>
              <w:ind w:firstLine="420" w:firstLineChars="200"/>
              <w:rPr>
                <w:rFonts w:hint="eastAsia"/>
                <w:color w:val="auto"/>
                <w:szCs w:val="21"/>
              </w:rPr>
            </w:pPr>
            <w:r>
              <w:rPr>
                <w:rFonts w:ascii="Times New Roman" w:hAnsi="Times New Roman"/>
                <w:color w:val="auto"/>
                <w:kern w:val="0"/>
                <w:szCs w:val="21"/>
              </w:rPr>
              <w:t>本项目</w:t>
            </w:r>
            <w:r>
              <w:rPr>
                <w:rFonts w:ascii="Times New Roman" w:hAnsi="Times New Roman"/>
                <w:color w:val="auto"/>
                <w:szCs w:val="21"/>
              </w:rPr>
              <w:t>废水类别、污染物及污染治理设施信息表</w:t>
            </w:r>
            <w:r>
              <w:rPr>
                <w:rFonts w:ascii="Times New Roman" w:hAnsi="Times New Roman"/>
                <w:color w:val="auto"/>
                <w:kern w:val="0"/>
                <w:szCs w:val="21"/>
              </w:rPr>
              <w:t>见表4</w:t>
            </w:r>
            <w:r>
              <w:rPr>
                <w:rFonts w:hint="eastAsia"/>
                <w:color w:val="auto"/>
                <w:kern w:val="0"/>
                <w:szCs w:val="21"/>
                <w:lang w:val="en-US" w:eastAsia="zh-CN"/>
              </w:rPr>
              <w:t>-16</w:t>
            </w:r>
            <w:r>
              <w:rPr>
                <w:rFonts w:ascii="Times New Roman" w:hAnsi="Times New Roman"/>
                <w:color w:val="auto"/>
                <w:kern w:val="0"/>
                <w:szCs w:val="21"/>
              </w:rPr>
              <w:t>，</w:t>
            </w:r>
            <w:r>
              <w:rPr>
                <w:rFonts w:ascii="Times New Roman" w:hAnsi="Times New Roman"/>
                <w:color w:val="auto"/>
                <w:szCs w:val="21"/>
              </w:rPr>
              <w:t>废水间接排放口基本情况表见表4-</w:t>
            </w:r>
            <w:r>
              <w:rPr>
                <w:rFonts w:hint="eastAsia"/>
                <w:color w:val="auto"/>
                <w:szCs w:val="21"/>
                <w:lang w:val="en-US" w:eastAsia="zh-CN"/>
              </w:rPr>
              <w:t>17</w:t>
            </w:r>
            <w:r>
              <w:rPr>
                <w:rFonts w:hint="eastAsia"/>
                <w:color w:val="auto"/>
                <w:szCs w:val="21"/>
              </w:rPr>
              <w:t>。</w:t>
            </w:r>
          </w:p>
          <w:p w14:paraId="19275840">
            <w:pPr>
              <w:keepNext w:val="0"/>
              <w:keepLines w:val="0"/>
              <w:pageBreakBefore w:val="0"/>
              <w:kinsoku/>
              <w:wordWrap/>
              <w:overflowPunct/>
              <w:topLinePunct w:val="0"/>
              <w:bidi w:val="0"/>
              <w:adjustRightInd w:val="0"/>
              <w:snapToGrid w:val="0"/>
              <w:spacing w:before="120" w:beforeLines="50"/>
              <w:jc w:val="center"/>
              <w:rPr>
                <w:rFonts w:ascii="Times New Roman" w:hAnsi="Times New Roman"/>
                <w:b/>
                <w:bCs/>
                <w:color w:val="auto"/>
                <w:szCs w:val="21"/>
              </w:rPr>
            </w:pPr>
            <w:r>
              <w:rPr>
                <w:rFonts w:ascii="Times New Roman" w:hAnsi="Times New Roman"/>
                <w:b/>
                <w:bCs/>
                <w:color w:val="auto"/>
                <w:szCs w:val="21"/>
              </w:rPr>
              <w:t>表</w:t>
            </w:r>
            <w:r>
              <w:rPr>
                <w:rFonts w:hint="eastAsia"/>
                <w:b/>
                <w:bCs/>
                <w:color w:val="auto"/>
                <w:szCs w:val="21"/>
              </w:rPr>
              <w:t>4-</w:t>
            </w:r>
            <w:r>
              <w:rPr>
                <w:rFonts w:hint="eastAsia"/>
                <w:b/>
                <w:bCs/>
                <w:color w:val="auto"/>
                <w:szCs w:val="21"/>
                <w:lang w:val="en-US" w:eastAsia="zh-CN"/>
              </w:rPr>
              <w:t>16</w:t>
            </w:r>
            <w:r>
              <w:rPr>
                <w:rFonts w:hint="eastAsia"/>
                <w:b/>
                <w:bCs/>
                <w:color w:val="auto"/>
                <w:szCs w:val="21"/>
              </w:rPr>
              <w:t xml:space="preserve"> </w:t>
            </w:r>
            <w:r>
              <w:rPr>
                <w:rFonts w:ascii="Times New Roman" w:hAnsi="Times New Roman"/>
                <w:b/>
                <w:bCs/>
                <w:color w:val="auto"/>
                <w:szCs w:val="21"/>
              </w:rPr>
              <w:t>废水类别、污染物及污染治理设施信息表</w:t>
            </w:r>
          </w:p>
          <w:tbl>
            <w:tblPr>
              <w:tblStyle w:val="30"/>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4"/>
              <w:gridCol w:w="766"/>
              <w:gridCol w:w="1036"/>
              <w:gridCol w:w="725"/>
              <w:gridCol w:w="780"/>
              <w:gridCol w:w="870"/>
              <w:gridCol w:w="690"/>
              <w:gridCol w:w="705"/>
              <w:gridCol w:w="940"/>
              <w:gridCol w:w="874"/>
              <w:gridCol w:w="667"/>
            </w:tblGrid>
            <w:tr w14:paraId="2BCFAA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vMerge w:val="restart"/>
                  <w:noWrap w:val="0"/>
                  <w:vAlign w:val="center"/>
                </w:tcPr>
                <w:p w14:paraId="4CBAA7B0">
                  <w:pPr>
                    <w:keepNext w:val="0"/>
                    <w:keepLines w:val="0"/>
                    <w:pageBreakBefore w:val="0"/>
                    <w:kinsoku/>
                    <w:wordWrap/>
                    <w:overflowPunct/>
                    <w:topLinePunct w:val="0"/>
                    <w:bidi w:val="0"/>
                    <w:adjustRightInd w:val="0"/>
                    <w:snapToGrid w:val="0"/>
                    <w:jc w:val="center"/>
                    <w:rPr>
                      <w:b/>
                      <w:bCs/>
                      <w:color w:val="auto"/>
                      <w:szCs w:val="21"/>
                    </w:rPr>
                  </w:pPr>
                  <w:r>
                    <w:rPr>
                      <w:b/>
                      <w:bCs/>
                      <w:color w:val="auto"/>
                      <w:szCs w:val="21"/>
                    </w:rPr>
                    <w:t>序号</w:t>
                  </w:r>
                </w:p>
              </w:tc>
              <w:tc>
                <w:tcPr>
                  <w:tcW w:w="450" w:type="pct"/>
                  <w:vMerge w:val="restart"/>
                  <w:noWrap w:val="0"/>
                  <w:vAlign w:val="center"/>
                </w:tcPr>
                <w:p w14:paraId="756BB390">
                  <w:pPr>
                    <w:keepNext w:val="0"/>
                    <w:keepLines w:val="0"/>
                    <w:pageBreakBefore w:val="0"/>
                    <w:kinsoku/>
                    <w:wordWrap/>
                    <w:overflowPunct/>
                    <w:topLinePunct w:val="0"/>
                    <w:bidi w:val="0"/>
                    <w:adjustRightInd w:val="0"/>
                    <w:snapToGrid w:val="0"/>
                    <w:jc w:val="center"/>
                    <w:rPr>
                      <w:b/>
                      <w:bCs/>
                      <w:color w:val="auto"/>
                      <w:szCs w:val="21"/>
                    </w:rPr>
                  </w:pPr>
                  <w:r>
                    <w:rPr>
                      <w:b/>
                      <w:bCs/>
                      <w:color w:val="auto"/>
                      <w:szCs w:val="21"/>
                    </w:rPr>
                    <w:t>废水类别</w:t>
                  </w:r>
                </w:p>
              </w:tc>
              <w:tc>
                <w:tcPr>
                  <w:tcW w:w="609" w:type="pct"/>
                  <w:vMerge w:val="restart"/>
                  <w:noWrap w:val="0"/>
                  <w:vAlign w:val="center"/>
                </w:tcPr>
                <w:p w14:paraId="57A987F3">
                  <w:pPr>
                    <w:keepNext w:val="0"/>
                    <w:keepLines w:val="0"/>
                    <w:pageBreakBefore w:val="0"/>
                    <w:kinsoku/>
                    <w:wordWrap/>
                    <w:overflowPunct/>
                    <w:topLinePunct w:val="0"/>
                    <w:bidi w:val="0"/>
                    <w:adjustRightInd w:val="0"/>
                    <w:snapToGrid w:val="0"/>
                    <w:jc w:val="center"/>
                    <w:rPr>
                      <w:b/>
                      <w:bCs/>
                      <w:color w:val="auto"/>
                      <w:szCs w:val="21"/>
                    </w:rPr>
                  </w:pPr>
                  <w:r>
                    <w:rPr>
                      <w:b/>
                      <w:bCs/>
                      <w:color w:val="auto"/>
                      <w:szCs w:val="21"/>
                    </w:rPr>
                    <w:t>污染物种类</w:t>
                  </w:r>
                </w:p>
              </w:tc>
              <w:tc>
                <w:tcPr>
                  <w:tcW w:w="426" w:type="pct"/>
                  <w:vMerge w:val="restart"/>
                  <w:noWrap w:val="0"/>
                  <w:vAlign w:val="center"/>
                </w:tcPr>
                <w:p w14:paraId="487A6D47">
                  <w:pPr>
                    <w:keepNext w:val="0"/>
                    <w:keepLines w:val="0"/>
                    <w:pageBreakBefore w:val="0"/>
                    <w:kinsoku/>
                    <w:wordWrap/>
                    <w:overflowPunct/>
                    <w:topLinePunct w:val="0"/>
                    <w:bidi w:val="0"/>
                    <w:adjustRightInd w:val="0"/>
                    <w:snapToGrid w:val="0"/>
                    <w:jc w:val="center"/>
                    <w:rPr>
                      <w:b/>
                      <w:bCs/>
                      <w:color w:val="auto"/>
                      <w:szCs w:val="21"/>
                    </w:rPr>
                  </w:pPr>
                  <w:r>
                    <w:rPr>
                      <w:b/>
                      <w:bCs/>
                      <w:color w:val="auto"/>
                      <w:szCs w:val="21"/>
                    </w:rPr>
                    <w:t>排放去向</w:t>
                  </w:r>
                </w:p>
              </w:tc>
              <w:tc>
                <w:tcPr>
                  <w:tcW w:w="458" w:type="pct"/>
                  <w:vMerge w:val="restart"/>
                  <w:noWrap w:val="0"/>
                  <w:vAlign w:val="center"/>
                </w:tcPr>
                <w:p w14:paraId="3C2C8C66">
                  <w:pPr>
                    <w:keepNext w:val="0"/>
                    <w:keepLines w:val="0"/>
                    <w:pageBreakBefore w:val="0"/>
                    <w:kinsoku/>
                    <w:wordWrap/>
                    <w:overflowPunct/>
                    <w:topLinePunct w:val="0"/>
                    <w:bidi w:val="0"/>
                    <w:adjustRightInd w:val="0"/>
                    <w:snapToGrid w:val="0"/>
                    <w:jc w:val="center"/>
                    <w:rPr>
                      <w:b/>
                      <w:bCs/>
                      <w:color w:val="auto"/>
                      <w:szCs w:val="21"/>
                    </w:rPr>
                  </w:pPr>
                  <w:r>
                    <w:rPr>
                      <w:b/>
                      <w:bCs/>
                      <w:color w:val="auto"/>
                      <w:szCs w:val="21"/>
                    </w:rPr>
                    <w:t>排放规律</w:t>
                  </w:r>
                </w:p>
              </w:tc>
              <w:tc>
                <w:tcPr>
                  <w:tcW w:w="1332" w:type="pct"/>
                  <w:gridSpan w:val="3"/>
                  <w:noWrap w:val="0"/>
                  <w:vAlign w:val="center"/>
                </w:tcPr>
                <w:p w14:paraId="3EB95158">
                  <w:pPr>
                    <w:keepNext w:val="0"/>
                    <w:keepLines w:val="0"/>
                    <w:pageBreakBefore w:val="0"/>
                    <w:kinsoku/>
                    <w:wordWrap/>
                    <w:overflowPunct/>
                    <w:topLinePunct w:val="0"/>
                    <w:bidi w:val="0"/>
                    <w:adjustRightInd w:val="0"/>
                    <w:snapToGrid w:val="0"/>
                    <w:jc w:val="center"/>
                    <w:rPr>
                      <w:b/>
                      <w:bCs/>
                      <w:color w:val="auto"/>
                      <w:szCs w:val="21"/>
                    </w:rPr>
                  </w:pPr>
                  <w:r>
                    <w:rPr>
                      <w:b/>
                      <w:bCs/>
                      <w:color w:val="auto"/>
                      <w:szCs w:val="21"/>
                    </w:rPr>
                    <w:t>污染治理设施</w:t>
                  </w:r>
                </w:p>
              </w:tc>
              <w:tc>
                <w:tcPr>
                  <w:tcW w:w="553" w:type="pct"/>
                  <w:vMerge w:val="restart"/>
                  <w:noWrap w:val="0"/>
                  <w:vAlign w:val="center"/>
                </w:tcPr>
                <w:p w14:paraId="0CAF9E95">
                  <w:pPr>
                    <w:keepNext w:val="0"/>
                    <w:keepLines w:val="0"/>
                    <w:pageBreakBefore w:val="0"/>
                    <w:kinsoku/>
                    <w:wordWrap/>
                    <w:overflowPunct/>
                    <w:topLinePunct w:val="0"/>
                    <w:bidi w:val="0"/>
                    <w:adjustRightInd w:val="0"/>
                    <w:snapToGrid w:val="0"/>
                    <w:jc w:val="center"/>
                    <w:rPr>
                      <w:b/>
                      <w:bCs/>
                      <w:color w:val="auto"/>
                      <w:szCs w:val="21"/>
                    </w:rPr>
                  </w:pPr>
                  <w:r>
                    <w:rPr>
                      <w:b/>
                      <w:bCs/>
                      <w:color w:val="auto"/>
                      <w:szCs w:val="21"/>
                    </w:rPr>
                    <w:t>排放口编号</w:t>
                  </w:r>
                </w:p>
              </w:tc>
              <w:tc>
                <w:tcPr>
                  <w:tcW w:w="514" w:type="pct"/>
                  <w:vMerge w:val="restart"/>
                  <w:noWrap w:val="0"/>
                  <w:vAlign w:val="center"/>
                </w:tcPr>
                <w:p w14:paraId="51852F86">
                  <w:pPr>
                    <w:keepNext w:val="0"/>
                    <w:keepLines w:val="0"/>
                    <w:pageBreakBefore w:val="0"/>
                    <w:kinsoku/>
                    <w:wordWrap/>
                    <w:overflowPunct/>
                    <w:topLinePunct w:val="0"/>
                    <w:bidi w:val="0"/>
                    <w:adjustRightInd w:val="0"/>
                    <w:snapToGrid w:val="0"/>
                    <w:jc w:val="center"/>
                    <w:rPr>
                      <w:b/>
                      <w:bCs/>
                      <w:color w:val="auto"/>
                      <w:szCs w:val="21"/>
                    </w:rPr>
                  </w:pPr>
                  <w:r>
                    <w:rPr>
                      <w:b/>
                      <w:bCs/>
                      <w:color w:val="auto"/>
                      <w:szCs w:val="21"/>
                    </w:rPr>
                    <w:t>排放口设置是否符合要求</w:t>
                  </w:r>
                </w:p>
              </w:tc>
              <w:tc>
                <w:tcPr>
                  <w:tcW w:w="392" w:type="pct"/>
                  <w:vMerge w:val="restart"/>
                  <w:noWrap w:val="0"/>
                  <w:vAlign w:val="center"/>
                </w:tcPr>
                <w:p w14:paraId="5948DA12">
                  <w:pPr>
                    <w:keepNext w:val="0"/>
                    <w:keepLines w:val="0"/>
                    <w:pageBreakBefore w:val="0"/>
                    <w:kinsoku/>
                    <w:wordWrap/>
                    <w:overflowPunct/>
                    <w:topLinePunct w:val="0"/>
                    <w:bidi w:val="0"/>
                    <w:adjustRightInd w:val="0"/>
                    <w:snapToGrid w:val="0"/>
                    <w:jc w:val="center"/>
                    <w:rPr>
                      <w:b/>
                      <w:bCs/>
                      <w:color w:val="auto"/>
                      <w:szCs w:val="21"/>
                    </w:rPr>
                  </w:pPr>
                  <w:r>
                    <w:rPr>
                      <w:b/>
                      <w:bCs/>
                      <w:color w:val="auto"/>
                      <w:szCs w:val="21"/>
                    </w:rPr>
                    <w:t>排放口</w:t>
                  </w:r>
                </w:p>
                <w:p w14:paraId="7CD4FFBC">
                  <w:pPr>
                    <w:keepNext w:val="0"/>
                    <w:keepLines w:val="0"/>
                    <w:pageBreakBefore w:val="0"/>
                    <w:kinsoku/>
                    <w:wordWrap/>
                    <w:overflowPunct/>
                    <w:topLinePunct w:val="0"/>
                    <w:bidi w:val="0"/>
                    <w:adjustRightInd w:val="0"/>
                    <w:snapToGrid w:val="0"/>
                    <w:jc w:val="center"/>
                    <w:rPr>
                      <w:b/>
                      <w:bCs/>
                      <w:color w:val="auto"/>
                      <w:szCs w:val="21"/>
                    </w:rPr>
                  </w:pPr>
                  <w:r>
                    <w:rPr>
                      <w:b/>
                      <w:bCs/>
                      <w:color w:val="auto"/>
                      <w:szCs w:val="21"/>
                    </w:rPr>
                    <w:t>类型</w:t>
                  </w:r>
                </w:p>
              </w:tc>
            </w:tr>
            <w:tr w14:paraId="09F2CE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vMerge w:val="continue"/>
                  <w:noWrap w:val="0"/>
                  <w:vAlign w:val="center"/>
                </w:tcPr>
                <w:p w14:paraId="54A566AF">
                  <w:pPr>
                    <w:keepNext w:val="0"/>
                    <w:keepLines w:val="0"/>
                    <w:pageBreakBefore w:val="0"/>
                    <w:kinsoku/>
                    <w:wordWrap/>
                    <w:overflowPunct/>
                    <w:topLinePunct w:val="0"/>
                    <w:bidi w:val="0"/>
                    <w:adjustRightInd w:val="0"/>
                    <w:snapToGrid w:val="0"/>
                    <w:jc w:val="center"/>
                    <w:rPr>
                      <w:b/>
                      <w:bCs/>
                      <w:color w:val="auto"/>
                      <w:szCs w:val="21"/>
                    </w:rPr>
                  </w:pPr>
                </w:p>
              </w:tc>
              <w:tc>
                <w:tcPr>
                  <w:tcW w:w="450" w:type="pct"/>
                  <w:vMerge w:val="continue"/>
                  <w:noWrap w:val="0"/>
                  <w:vAlign w:val="center"/>
                </w:tcPr>
                <w:p w14:paraId="14EBE77F">
                  <w:pPr>
                    <w:keepNext w:val="0"/>
                    <w:keepLines w:val="0"/>
                    <w:pageBreakBefore w:val="0"/>
                    <w:kinsoku/>
                    <w:wordWrap/>
                    <w:overflowPunct/>
                    <w:topLinePunct w:val="0"/>
                    <w:bidi w:val="0"/>
                    <w:adjustRightInd w:val="0"/>
                    <w:snapToGrid w:val="0"/>
                    <w:jc w:val="center"/>
                    <w:rPr>
                      <w:b/>
                      <w:bCs/>
                      <w:color w:val="auto"/>
                      <w:szCs w:val="21"/>
                    </w:rPr>
                  </w:pPr>
                </w:p>
              </w:tc>
              <w:tc>
                <w:tcPr>
                  <w:tcW w:w="609" w:type="pct"/>
                  <w:vMerge w:val="continue"/>
                  <w:noWrap w:val="0"/>
                  <w:vAlign w:val="center"/>
                </w:tcPr>
                <w:p w14:paraId="21C59C7A">
                  <w:pPr>
                    <w:keepNext w:val="0"/>
                    <w:keepLines w:val="0"/>
                    <w:pageBreakBefore w:val="0"/>
                    <w:kinsoku/>
                    <w:wordWrap/>
                    <w:overflowPunct/>
                    <w:topLinePunct w:val="0"/>
                    <w:bidi w:val="0"/>
                    <w:adjustRightInd w:val="0"/>
                    <w:snapToGrid w:val="0"/>
                    <w:jc w:val="center"/>
                    <w:rPr>
                      <w:b/>
                      <w:bCs/>
                      <w:color w:val="auto"/>
                      <w:szCs w:val="21"/>
                    </w:rPr>
                  </w:pPr>
                </w:p>
              </w:tc>
              <w:tc>
                <w:tcPr>
                  <w:tcW w:w="426" w:type="pct"/>
                  <w:vMerge w:val="continue"/>
                  <w:noWrap w:val="0"/>
                  <w:vAlign w:val="center"/>
                </w:tcPr>
                <w:p w14:paraId="13DCD9CE">
                  <w:pPr>
                    <w:keepNext w:val="0"/>
                    <w:keepLines w:val="0"/>
                    <w:pageBreakBefore w:val="0"/>
                    <w:kinsoku/>
                    <w:wordWrap/>
                    <w:overflowPunct/>
                    <w:topLinePunct w:val="0"/>
                    <w:bidi w:val="0"/>
                    <w:adjustRightInd w:val="0"/>
                    <w:snapToGrid w:val="0"/>
                    <w:jc w:val="center"/>
                    <w:rPr>
                      <w:b/>
                      <w:bCs/>
                      <w:color w:val="auto"/>
                      <w:szCs w:val="21"/>
                    </w:rPr>
                  </w:pPr>
                </w:p>
              </w:tc>
              <w:tc>
                <w:tcPr>
                  <w:tcW w:w="458" w:type="pct"/>
                  <w:vMerge w:val="continue"/>
                  <w:noWrap w:val="0"/>
                  <w:vAlign w:val="center"/>
                </w:tcPr>
                <w:p w14:paraId="03F29512">
                  <w:pPr>
                    <w:keepNext w:val="0"/>
                    <w:keepLines w:val="0"/>
                    <w:pageBreakBefore w:val="0"/>
                    <w:kinsoku/>
                    <w:wordWrap/>
                    <w:overflowPunct/>
                    <w:topLinePunct w:val="0"/>
                    <w:bidi w:val="0"/>
                    <w:adjustRightInd w:val="0"/>
                    <w:snapToGrid w:val="0"/>
                    <w:jc w:val="center"/>
                    <w:rPr>
                      <w:b/>
                      <w:bCs/>
                      <w:color w:val="auto"/>
                      <w:szCs w:val="21"/>
                    </w:rPr>
                  </w:pPr>
                </w:p>
              </w:tc>
              <w:tc>
                <w:tcPr>
                  <w:tcW w:w="511" w:type="pct"/>
                  <w:noWrap w:val="0"/>
                  <w:vAlign w:val="center"/>
                </w:tcPr>
                <w:p w14:paraId="14A1F14C">
                  <w:pPr>
                    <w:keepNext w:val="0"/>
                    <w:keepLines w:val="0"/>
                    <w:pageBreakBefore w:val="0"/>
                    <w:kinsoku/>
                    <w:wordWrap/>
                    <w:overflowPunct/>
                    <w:topLinePunct w:val="0"/>
                    <w:bidi w:val="0"/>
                    <w:adjustRightInd w:val="0"/>
                    <w:snapToGrid w:val="0"/>
                    <w:jc w:val="center"/>
                    <w:rPr>
                      <w:b/>
                      <w:bCs/>
                      <w:color w:val="auto"/>
                      <w:szCs w:val="21"/>
                    </w:rPr>
                  </w:pPr>
                  <w:r>
                    <w:rPr>
                      <w:b/>
                      <w:bCs/>
                      <w:color w:val="auto"/>
                      <w:szCs w:val="21"/>
                    </w:rPr>
                    <w:t>设施编号</w:t>
                  </w:r>
                </w:p>
              </w:tc>
              <w:tc>
                <w:tcPr>
                  <w:tcW w:w="406" w:type="pct"/>
                  <w:noWrap w:val="0"/>
                  <w:vAlign w:val="center"/>
                </w:tcPr>
                <w:p w14:paraId="64B0BB0F">
                  <w:pPr>
                    <w:keepNext w:val="0"/>
                    <w:keepLines w:val="0"/>
                    <w:pageBreakBefore w:val="0"/>
                    <w:kinsoku/>
                    <w:wordWrap/>
                    <w:overflowPunct/>
                    <w:topLinePunct w:val="0"/>
                    <w:bidi w:val="0"/>
                    <w:adjustRightInd w:val="0"/>
                    <w:snapToGrid w:val="0"/>
                    <w:jc w:val="center"/>
                    <w:rPr>
                      <w:b/>
                      <w:bCs/>
                      <w:color w:val="auto"/>
                      <w:szCs w:val="21"/>
                    </w:rPr>
                  </w:pPr>
                  <w:r>
                    <w:rPr>
                      <w:b/>
                      <w:bCs/>
                      <w:color w:val="auto"/>
                      <w:szCs w:val="21"/>
                    </w:rPr>
                    <w:t>设施名称</w:t>
                  </w:r>
                </w:p>
              </w:tc>
              <w:tc>
                <w:tcPr>
                  <w:tcW w:w="414" w:type="pct"/>
                  <w:noWrap w:val="0"/>
                  <w:vAlign w:val="center"/>
                </w:tcPr>
                <w:p w14:paraId="1F8462E9">
                  <w:pPr>
                    <w:keepNext w:val="0"/>
                    <w:keepLines w:val="0"/>
                    <w:pageBreakBefore w:val="0"/>
                    <w:kinsoku/>
                    <w:wordWrap/>
                    <w:overflowPunct/>
                    <w:topLinePunct w:val="0"/>
                    <w:bidi w:val="0"/>
                    <w:adjustRightInd w:val="0"/>
                    <w:snapToGrid w:val="0"/>
                    <w:jc w:val="center"/>
                    <w:rPr>
                      <w:b/>
                      <w:bCs/>
                      <w:color w:val="auto"/>
                      <w:szCs w:val="21"/>
                    </w:rPr>
                  </w:pPr>
                  <w:r>
                    <w:rPr>
                      <w:b/>
                      <w:bCs/>
                      <w:color w:val="auto"/>
                      <w:szCs w:val="21"/>
                    </w:rPr>
                    <w:t>设施工艺</w:t>
                  </w:r>
                </w:p>
              </w:tc>
              <w:tc>
                <w:tcPr>
                  <w:tcW w:w="553" w:type="pct"/>
                  <w:vMerge w:val="continue"/>
                  <w:noWrap w:val="0"/>
                  <w:vAlign w:val="center"/>
                </w:tcPr>
                <w:p w14:paraId="7DA51C14">
                  <w:pPr>
                    <w:keepNext w:val="0"/>
                    <w:keepLines w:val="0"/>
                    <w:pageBreakBefore w:val="0"/>
                    <w:kinsoku/>
                    <w:wordWrap/>
                    <w:overflowPunct/>
                    <w:topLinePunct w:val="0"/>
                    <w:bidi w:val="0"/>
                    <w:adjustRightInd w:val="0"/>
                    <w:snapToGrid w:val="0"/>
                    <w:jc w:val="center"/>
                    <w:rPr>
                      <w:color w:val="auto"/>
                      <w:szCs w:val="21"/>
                    </w:rPr>
                  </w:pPr>
                </w:p>
              </w:tc>
              <w:tc>
                <w:tcPr>
                  <w:tcW w:w="514" w:type="pct"/>
                  <w:vMerge w:val="continue"/>
                  <w:noWrap w:val="0"/>
                  <w:vAlign w:val="center"/>
                </w:tcPr>
                <w:p w14:paraId="5CFB6E9A">
                  <w:pPr>
                    <w:keepNext w:val="0"/>
                    <w:keepLines w:val="0"/>
                    <w:pageBreakBefore w:val="0"/>
                    <w:kinsoku/>
                    <w:wordWrap/>
                    <w:overflowPunct/>
                    <w:topLinePunct w:val="0"/>
                    <w:bidi w:val="0"/>
                    <w:adjustRightInd w:val="0"/>
                    <w:snapToGrid w:val="0"/>
                    <w:jc w:val="center"/>
                    <w:rPr>
                      <w:color w:val="auto"/>
                      <w:szCs w:val="21"/>
                    </w:rPr>
                  </w:pPr>
                </w:p>
              </w:tc>
              <w:tc>
                <w:tcPr>
                  <w:tcW w:w="392" w:type="pct"/>
                  <w:vMerge w:val="continue"/>
                  <w:noWrap w:val="0"/>
                  <w:vAlign w:val="center"/>
                </w:tcPr>
                <w:p w14:paraId="03099DBC">
                  <w:pPr>
                    <w:keepNext w:val="0"/>
                    <w:keepLines w:val="0"/>
                    <w:pageBreakBefore w:val="0"/>
                    <w:kinsoku/>
                    <w:wordWrap/>
                    <w:overflowPunct/>
                    <w:topLinePunct w:val="0"/>
                    <w:bidi w:val="0"/>
                    <w:adjustRightInd w:val="0"/>
                    <w:snapToGrid w:val="0"/>
                    <w:jc w:val="center"/>
                    <w:rPr>
                      <w:color w:val="auto"/>
                      <w:szCs w:val="21"/>
                    </w:rPr>
                  </w:pPr>
                </w:p>
              </w:tc>
            </w:tr>
            <w:tr w14:paraId="3E240B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noWrap w:val="0"/>
                  <w:vAlign w:val="center"/>
                </w:tcPr>
                <w:p w14:paraId="16274A64">
                  <w:pPr>
                    <w:keepNext w:val="0"/>
                    <w:keepLines w:val="0"/>
                    <w:pageBreakBefore w:val="0"/>
                    <w:kinsoku/>
                    <w:wordWrap/>
                    <w:overflowPunct/>
                    <w:topLinePunct w:val="0"/>
                    <w:bidi w:val="0"/>
                    <w:adjustRightInd w:val="0"/>
                    <w:snapToGrid w:val="0"/>
                    <w:jc w:val="center"/>
                    <w:rPr>
                      <w:color w:val="auto"/>
                      <w:szCs w:val="21"/>
                    </w:rPr>
                  </w:pPr>
                  <w:r>
                    <w:rPr>
                      <w:color w:val="auto"/>
                      <w:szCs w:val="21"/>
                    </w:rPr>
                    <w:t>1</w:t>
                  </w:r>
                </w:p>
              </w:tc>
              <w:tc>
                <w:tcPr>
                  <w:tcW w:w="450" w:type="pct"/>
                  <w:noWrap w:val="0"/>
                  <w:vAlign w:val="center"/>
                </w:tcPr>
                <w:p w14:paraId="5C0D7E10">
                  <w:pPr>
                    <w:keepNext w:val="0"/>
                    <w:keepLines w:val="0"/>
                    <w:pageBreakBefore w:val="0"/>
                    <w:kinsoku/>
                    <w:wordWrap/>
                    <w:overflowPunct/>
                    <w:topLinePunct w:val="0"/>
                    <w:bidi w:val="0"/>
                    <w:adjustRightInd w:val="0"/>
                    <w:snapToGrid w:val="0"/>
                    <w:jc w:val="center"/>
                    <w:rPr>
                      <w:color w:val="auto"/>
                      <w:szCs w:val="21"/>
                    </w:rPr>
                  </w:pPr>
                  <w:r>
                    <w:rPr>
                      <w:rFonts w:hint="eastAsia" w:ascii="Times New Roman" w:hAnsi="Times New Roman"/>
                      <w:color w:val="auto"/>
                    </w:rPr>
                    <w:t>生活污水</w:t>
                  </w:r>
                </w:p>
              </w:tc>
              <w:tc>
                <w:tcPr>
                  <w:tcW w:w="609" w:type="pct"/>
                  <w:noWrap w:val="0"/>
                  <w:vAlign w:val="center"/>
                </w:tcPr>
                <w:p w14:paraId="4E6491F5">
                  <w:pPr>
                    <w:keepNext w:val="0"/>
                    <w:keepLines w:val="0"/>
                    <w:pageBreakBefore w:val="0"/>
                    <w:kinsoku/>
                    <w:wordWrap/>
                    <w:overflowPunct/>
                    <w:topLinePunct w:val="0"/>
                    <w:bidi w:val="0"/>
                    <w:adjustRightInd w:val="0"/>
                    <w:snapToGrid w:val="0"/>
                    <w:jc w:val="center"/>
                    <w:rPr>
                      <w:rFonts w:hint="eastAsia"/>
                      <w:color w:val="auto"/>
                      <w:szCs w:val="21"/>
                    </w:rPr>
                  </w:pPr>
                  <w:r>
                    <w:rPr>
                      <w:rFonts w:hint="eastAsia"/>
                      <w:color w:val="auto"/>
                      <w:szCs w:val="21"/>
                    </w:rPr>
                    <w:t>pH</w:t>
                  </w:r>
                </w:p>
                <w:p w14:paraId="76E0FF17">
                  <w:pPr>
                    <w:keepNext w:val="0"/>
                    <w:keepLines w:val="0"/>
                    <w:pageBreakBefore w:val="0"/>
                    <w:kinsoku/>
                    <w:wordWrap/>
                    <w:overflowPunct/>
                    <w:topLinePunct w:val="0"/>
                    <w:bidi w:val="0"/>
                    <w:adjustRightInd w:val="0"/>
                    <w:snapToGrid w:val="0"/>
                    <w:jc w:val="center"/>
                    <w:rPr>
                      <w:color w:val="auto"/>
                      <w:szCs w:val="21"/>
                    </w:rPr>
                  </w:pPr>
                  <w:r>
                    <w:rPr>
                      <w:color w:val="auto"/>
                      <w:szCs w:val="21"/>
                    </w:rPr>
                    <w:t>COD</w:t>
                  </w:r>
                </w:p>
                <w:p w14:paraId="08EAECF8">
                  <w:pPr>
                    <w:keepNext w:val="0"/>
                    <w:keepLines w:val="0"/>
                    <w:pageBreakBefore w:val="0"/>
                    <w:kinsoku/>
                    <w:wordWrap/>
                    <w:overflowPunct/>
                    <w:topLinePunct w:val="0"/>
                    <w:bidi w:val="0"/>
                    <w:adjustRightInd w:val="0"/>
                    <w:snapToGrid w:val="0"/>
                    <w:jc w:val="center"/>
                    <w:rPr>
                      <w:color w:val="auto"/>
                      <w:szCs w:val="21"/>
                    </w:rPr>
                  </w:pPr>
                  <w:r>
                    <w:rPr>
                      <w:rFonts w:hint="eastAsia"/>
                      <w:color w:val="auto"/>
                      <w:szCs w:val="21"/>
                    </w:rPr>
                    <w:t>BOD</w:t>
                  </w:r>
                  <w:r>
                    <w:rPr>
                      <w:rFonts w:hint="eastAsia"/>
                      <w:color w:val="auto"/>
                      <w:szCs w:val="21"/>
                      <w:vertAlign w:val="subscript"/>
                    </w:rPr>
                    <w:t>5</w:t>
                  </w:r>
                </w:p>
                <w:p w14:paraId="294D21E1">
                  <w:pPr>
                    <w:keepNext w:val="0"/>
                    <w:keepLines w:val="0"/>
                    <w:pageBreakBefore w:val="0"/>
                    <w:kinsoku/>
                    <w:wordWrap/>
                    <w:overflowPunct/>
                    <w:topLinePunct w:val="0"/>
                    <w:bidi w:val="0"/>
                    <w:adjustRightInd w:val="0"/>
                    <w:snapToGrid w:val="0"/>
                    <w:jc w:val="center"/>
                    <w:rPr>
                      <w:color w:val="auto"/>
                      <w:szCs w:val="21"/>
                    </w:rPr>
                  </w:pPr>
                  <w:r>
                    <w:rPr>
                      <w:color w:val="auto"/>
                      <w:szCs w:val="21"/>
                    </w:rPr>
                    <w:t>SS</w:t>
                  </w:r>
                </w:p>
                <w:p w14:paraId="2FC836C0">
                  <w:pPr>
                    <w:keepNext w:val="0"/>
                    <w:keepLines w:val="0"/>
                    <w:pageBreakBefore w:val="0"/>
                    <w:kinsoku/>
                    <w:wordWrap/>
                    <w:overflowPunct/>
                    <w:topLinePunct w:val="0"/>
                    <w:bidi w:val="0"/>
                    <w:adjustRightInd w:val="0"/>
                    <w:snapToGrid w:val="0"/>
                    <w:jc w:val="center"/>
                    <w:rPr>
                      <w:color w:val="auto"/>
                      <w:szCs w:val="21"/>
                    </w:rPr>
                  </w:pPr>
                  <w:r>
                    <w:rPr>
                      <w:color w:val="auto"/>
                      <w:szCs w:val="21"/>
                    </w:rPr>
                    <w:t>氨氮</w:t>
                  </w:r>
                </w:p>
                <w:p w14:paraId="59AECE88">
                  <w:pPr>
                    <w:keepNext w:val="0"/>
                    <w:keepLines w:val="0"/>
                    <w:pageBreakBefore w:val="0"/>
                    <w:kinsoku/>
                    <w:wordWrap/>
                    <w:overflowPunct/>
                    <w:topLinePunct w:val="0"/>
                    <w:bidi w:val="0"/>
                    <w:adjustRightInd w:val="0"/>
                    <w:snapToGrid w:val="0"/>
                    <w:jc w:val="center"/>
                    <w:rPr>
                      <w:rFonts w:hint="eastAsia"/>
                      <w:color w:val="auto"/>
                      <w:szCs w:val="21"/>
                    </w:rPr>
                  </w:pPr>
                  <w:r>
                    <w:rPr>
                      <w:rFonts w:hint="eastAsia"/>
                      <w:color w:val="auto"/>
                      <w:szCs w:val="21"/>
                    </w:rPr>
                    <w:t>总氮</w:t>
                  </w:r>
                </w:p>
                <w:p w14:paraId="36284D2F">
                  <w:pPr>
                    <w:keepNext w:val="0"/>
                    <w:keepLines w:val="0"/>
                    <w:pageBreakBefore w:val="0"/>
                    <w:kinsoku/>
                    <w:wordWrap/>
                    <w:overflowPunct/>
                    <w:topLinePunct w:val="0"/>
                    <w:bidi w:val="0"/>
                    <w:adjustRightInd w:val="0"/>
                    <w:snapToGrid w:val="0"/>
                    <w:jc w:val="center"/>
                    <w:rPr>
                      <w:color w:val="auto"/>
                      <w:szCs w:val="21"/>
                    </w:rPr>
                  </w:pPr>
                  <w:r>
                    <w:rPr>
                      <w:rFonts w:hint="eastAsia"/>
                      <w:color w:val="auto"/>
                      <w:szCs w:val="21"/>
                    </w:rPr>
                    <w:t>总磷</w:t>
                  </w:r>
                </w:p>
              </w:tc>
              <w:tc>
                <w:tcPr>
                  <w:tcW w:w="426" w:type="pct"/>
                  <w:vMerge w:val="restart"/>
                  <w:noWrap w:val="0"/>
                  <w:vAlign w:val="center"/>
                </w:tcPr>
                <w:p w14:paraId="5E1D0834">
                  <w:pPr>
                    <w:keepNext w:val="0"/>
                    <w:keepLines w:val="0"/>
                    <w:pageBreakBefore w:val="0"/>
                    <w:kinsoku/>
                    <w:wordWrap/>
                    <w:overflowPunct/>
                    <w:topLinePunct w:val="0"/>
                    <w:bidi w:val="0"/>
                    <w:adjustRightInd w:val="0"/>
                    <w:snapToGrid w:val="0"/>
                    <w:jc w:val="center"/>
                    <w:rPr>
                      <w:rFonts w:hint="default" w:eastAsia="宋体"/>
                      <w:color w:val="auto"/>
                      <w:szCs w:val="21"/>
                      <w:lang w:val="en-US" w:eastAsia="zh-CN"/>
                    </w:rPr>
                  </w:pPr>
                  <w:r>
                    <w:rPr>
                      <w:rFonts w:hint="eastAsia" w:ascii="Times New Roman" w:hAnsi="Times New Roman"/>
                      <w:color w:val="auto"/>
                      <w:kern w:val="0"/>
                      <w:lang w:val="en-US" w:eastAsia="zh-CN"/>
                    </w:rPr>
                    <w:t>城东污水处理厂二期</w:t>
                  </w:r>
                </w:p>
              </w:tc>
              <w:tc>
                <w:tcPr>
                  <w:tcW w:w="458" w:type="pct"/>
                  <w:vMerge w:val="restart"/>
                  <w:noWrap w:val="0"/>
                  <w:vAlign w:val="center"/>
                </w:tcPr>
                <w:p w14:paraId="5501E50D">
                  <w:pPr>
                    <w:keepNext w:val="0"/>
                    <w:keepLines w:val="0"/>
                    <w:pageBreakBefore w:val="0"/>
                    <w:kinsoku/>
                    <w:wordWrap/>
                    <w:overflowPunct/>
                    <w:topLinePunct w:val="0"/>
                    <w:bidi w:val="0"/>
                    <w:adjustRightInd w:val="0"/>
                    <w:snapToGrid w:val="0"/>
                    <w:jc w:val="center"/>
                    <w:rPr>
                      <w:rFonts w:hint="eastAsia" w:eastAsia="宋体"/>
                      <w:color w:val="auto"/>
                      <w:szCs w:val="21"/>
                      <w:lang w:eastAsia="zh-CN"/>
                    </w:rPr>
                  </w:pPr>
                  <w:r>
                    <w:rPr>
                      <w:rFonts w:hint="eastAsia"/>
                      <w:color w:val="auto"/>
                      <w:szCs w:val="21"/>
                      <w:lang w:val="en-US" w:eastAsia="zh-CN"/>
                    </w:rPr>
                    <w:t>连续</w:t>
                  </w:r>
                  <w:r>
                    <w:rPr>
                      <w:color w:val="auto"/>
                      <w:szCs w:val="21"/>
                    </w:rPr>
                    <w:t>排放</w:t>
                  </w:r>
                  <w:r>
                    <w:rPr>
                      <w:rFonts w:hint="eastAsia"/>
                      <w:color w:val="auto"/>
                      <w:szCs w:val="21"/>
                      <w:lang w:eastAsia="zh-CN"/>
                    </w:rPr>
                    <w:t>，</w:t>
                  </w:r>
                  <w:r>
                    <w:rPr>
                      <w:rFonts w:hint="eastAsia"/>
                      <w:color w:val="auto"/>
                      <w:szCs w:val="21"/>
                      <w:lang w:val="en-US" w:eastAsia="zh-CN"/>
                    </w:rPr>
                    <w:t>排放期间</w:t>
                  </w:r>
                  <w:r>
                    <w:rPr>
                      <w:color w:val="auto"/>
                      <w:szCs w:val="21"/>
                    </w:rPr>
                    <w:t>流量稳定</w:t>
                  </w:r>
                </w:p>
              </w:tc>
              <w:tc>
                <w:tcPr>
                  <w:tcW w:w="511" w:type="pct"/>
                  <w:noWrap w:val="0"/>
                  <w:vAlign w:val="center"/>
                </w:tcPr>
                <w:p w14:paraId="3BB86778">
                  <w:pPr>
                    <w:keepNext w:val="0"/>
                    <w:keepLines w:val="0"/>
                    <w:pageBreakBefore w:val="0"/>
                    <w:kinsoku/>
                    <w:wordWrap/>
                    <w:overflowPunct/>
                    <w:topLinePunct w:val="0"/>
                    <w:bidi w:val="0"/>
                    <w:adjustRightInd w:val="0"/>
                    <w:snapToGrid w:val="0"/>
                    <w:jc w:val="center"/>
                    <w:rPr>
                      <w:rFonts w:hint="eastAsia"/>
                      <w:color w:val="auto"/>
                      <w:szCs w:val="21"/>
                    </w:rPr>
                  </w:pPr>
                  <w:r>
                    <w:rPr>
                      <w:rFonts w:hint="eastAsia"/>
                      <w:color w:val="auto"/>
                      <w:szCs w:val="21"/>
                      <w:lang w:val="en-US" w:eastAsia="zh-CN"/>
                    </w:rPr>
                    <w:t>T</w:t>
                  </w:r>
                  <w:r>
                    <w:rPr>
                      <w:color w:val="auto"/>
                      <w:szCs w:val="21"/>
                    </w:rPr>
                    <w:t>W00</w:t>
                  </w:r>
                  <w:r>
                    <w:rPr>
                      <w:rFonts w:hint="eastAsia"/>
                      <w:color w:val="auto"/>
                      <w:szCs w:val="21"/>
                    </w:rPr>
                    <w:t>1</w:t>
                  </w:r>
                </w:p>
              </w:tc>
              <w:tc>
                <w:tcPr>
                  <w:tcW w:w="406" w:type="pct"/>
                  <w:noWrap w:val="0"/>
                  <w:vAlign w:val="center"/>
                </w:tcPr>
                <w:p w14:paraId="4AF7158F">
                  <w:pPr>
                    <w:keepNext w:val="0"/>
                    <w:keepLines w:val="0"/>
                    <w:pageBreakBefore w:val="0"/>
                    <w:kinsoku/>
                    <w:wordWrap/>
                    <w:overflowPunct/>
                    <w:topLinePunct w:val="0"/>
                    <w:bidi w:val="0"/>
                    <w:adjustRightInd w:val="0"/>
                    <w:snapToGrid w:val="0"/>
                    <w:jc w:val="center"/>
                    <w:rPr>
                      <w:color w:val="auto"/>
                      <w:szCs w:val="21"/>
                    </w:rPr>
                  </w:pPr>
                  <w:r>
                    <w:rPr>
                      <w:rFonts w:hint="eastAsia"/>
                      <w:color w:val="auto"/>
                      <w:szCs w:val="21"/>
                    </w:rPr>
                    <w:t>化粪池</w:t>
                  </w:r>
                </w:p>
              </w:tc>
              <w:tc>
                <w:tcPr>
                  <w:tcW w:w="414" w:type="pct"/>
                  <w:noWrap w:val="0"/>
                  <w:vAlign w:val="center"/>
                </w:tcPr>
                <w:p w14:paraId="7C1FFCC4">
                  <w:pPr>
                    <w:keepNext w:val="0"/>
                    <w:keepLines w:val="0"/>
                    <w:pageBreakBefore w:val="0"/>
                    <w:kinsoku/>
                    <w:wordWrap/>
                    <w:overflowPunct/>
                    <w:topLinePunct w:val="0"/>
                    <w:bidi w:val="0"/>
                    <w:adjustRightInd w:val="0"/>
                    <w:snapToGrid w:val="0"/>
                    <w:jc w:val="center"/>
                    <w:rPr>
                      <w:rFonts w:hint="eastAsia"/>
                      <w:color w:val="auto"/>
                      <w:szCs w:val="21"/>
                    </w:rPr>
                  </w:pPr>
                  <w:r>
                    <w:rPr>
                      <w:rFonts w:hint="eastAsia"/>
                      <w:color w:val="auto"/>
                      <w:szCs w:val="21"/>
                    </w:rPr>
                    <w:t>厌氧</w:t>
                  </w:r>
                </w:p>
              </w:tc>
              <w:tc>
                <w:tcPr>
                  <w:tcW w:w="553" w:type="pct"/>
                  <w:vMerge w:val="restart"/>
                  <w:noWrap w:val="0"/>
                  <w:vAlign w:val="center"/>
                </w:tcPr>
                <w:p w14:paraId="71E3E25E">
                  <w:pPr>
                    <w:keepNext w:val="0"/>
                    <w:keepLines w:val="0"/>
                    <w:pageBreakBefore w:val="0"/>
                    <w:kinsoku/>
                    <w:wordWrap/>
                    <w:overflowPunct/>
                    <w:topLinePunct w:val="0"/>
                    <w:bidi w:val="0"/>
                    <w:adjustRightInd w:val="0"/>
                    <w:snapToGrid w:val="0"/>
                    <w:jc w:val="center"/>
                    <w:rPr>
                      <w:color w:val="auto"/>
                      <w:szCs w:val="21"/>
                    </w:rPr>
                  </w:pPr>
                  <w:r>
                    <w:rPr>
                      <w:color w:val="auto"/>
                      <w:szCs w:val="21"/>
                    </w:rPr>
                    <w:t>DW001</w:t>
                  </w:r>
                </w:p>
              </w:tc>
              <w:tc>
                <w:tcPr>
                  <w:tcW w:w="514" w:type="pct"/>
                  <w:vMerge w:val="restart"/>
                  <w:noWrap w:val="0"/>
                  <w:vAlign w:val="center"/>
                </w:tcPr>
                <w:p w14:paraId="3D3021EB">
                  <w:pPr>
                    <w:keepNext w:val="0"/>
                    <w:keepLines w:val="0"/>
                    <w:pageBreakBefore w:val="0"/>
                    <w:kinsoku/>
                    <w:wordWrap/>
                    <w:overflowPunct/>
                    <w:topLinePunct w:val="0"/>
                    <w:bidi w:val="0"/>
                    <w:adjustRightInd w:val="0"/>
                    <w:snapToGrid w:val="0"/>
                    <w:jc w:val="center"/>
                    <w:rPr>
                      <w:color w:val="auto"/>
                      <w:szCs w:val="21"/>
                    </w:rPr>
                  </w:pPr>
                  <w:r>
                    <w:rPr>
                      <w:color w:val="auto"/>
                      <w:szCs w:val="21"/>
                    </w:rPr>
                    <w:t>是</w:t>
                  </w:r>
                </w:p>
              </w:tc>
              <w:tc>
                <w:tcPr>
                  <w:tcW w:w="392" w:type="pct"/>
                  <w:vMerge w:val="restart"/>
                  <w:noWrap w:val="0"/>
                  <w:vAlign w:val="center"/>
                </w:tcPr>
                <w:p w14:paraId="4AA76060">
                  <w:pPr>
                    <w:keepNext w:val="0"/>
                    <w:keepLines w:val="0"/>
                    <w:pageBreakBefore w:val="0"/>
                    <w:kinsoku/>
                    <w:wordWrap/>
                    <w:overflowPunct/>
                    <w:topLinePunct w:val="0"/>
                    <w:bidi w:val="0"/>
                    <w:adjustRightInd w:val="0"/>
                    <w:snapToGrid w:val="0"/>
                    <w:jc w:val="center"/>
                    <w:rPr>
                      <w:snapToGrid w:val="0"/>
                      <w:color w:val="auto"/>
                      <w:kern w:val="20"/>
                      <w:szCs w:val="21"/>
                    </w:rPr>
                  </w:pPr>
                  <w:r>
                    <w:rPr>
                      <w:color w:val="auto"/>
                      <w:szCs w:val="21"/>
                    </w:rPr>
                    <w:sym w:font="Wingdings 2" w:char="0052"/>
                  </w:r>
                  <w:r>
                    <w:rPr>
                      <w:color w:val="auto"/>
                      <w:szCs w:val="21"/>
                    </w:rPr>
                    <w:t>企业总排</w:t>
                  </w:r>
                </w:p>
                <w:p w14:paraId="6DE27469">
                  <w:pPr>
                    <w:keepNext w:val="0"/>
                    <w:keepLines w:val="0"/>
                    <w:pageBreakBefore w:val="0"/>
                    <w:kinsoku/>
                    <w:wordWrap/>
                    <w:overflowPunct/>
                    <w:topLinePunct w:val="0"/>
                    <w:bidi w:val="0"/>
                    <w:adjustRightInd w:val="0"/>
                    <w:snapToGrid w:val="0"/>
                    <w:jc w:val="center"/>
                    <w:rPr>
                      <w:color w:val="auto"/>
                      <w:szCs w:val="21"/>
                    </w:rPr>
                  </w:pPr>
                </w:p>
              </w:tc>
            </w:tr>
            <w:tr w14:paraId="05C9C8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noWrap w:val="0"/>
                  <w:vAlign w:val="center"/>
                </w:tcPr>
                <w:p w14:paraId="4422F9CE">
                  <w:pPr>
                    <w:keepNext w:val="0"/>
                    <w:keepLines w:val="0"/>
                    <w:pageBreakBefore w:val="0"/>
                    <w:kinsoku/>
                    <w:wordWrap/>
                    <w:overflowPunct/>
                    <w:topLinePunct w:val="0"/>
                    <w:bidi w:val="0"/>
                    <w:adjustRightInd w:val="0"/>
                    <w:snapToGrid w:val="0"/>
                    <w:jc w:val="center"/>
                    <w:rPr>
                      <w:rFonts w:hint="eastAsia" w:eastAsia="宋体"/>
                      <w:color w:val="auto"/>
                      <w:szCs w:val="21"/>
                      <w:lang w:val="en-US" w:eastAsia="zh-CN"/>
                    </w:rPr>
                  </w:pPr>
                  <w:r>
                    <w:rPr>
                      <w:rFonts w:hint="eastAsia"/>
                      <w:color w:val="auto"/>
                      <w:szCs w:val="21"/>
                      <w:lang w:val="en-US" w:eastAsia="zh-CN"/>
                    </w:rPr>
                    <w:t>2</w:t>
                  </w:r>
                </w:p>
              </w:tc>
              <w:tc>
                <w:tcPr>
                  <w:tcW w:w="450" w:type="pct"/>
                  <w:noWrap w:val="0"/>
                  <w:vAlign w:val="center"/>
                </w:tcPr>
                <w:p w14:paraId="7A33C598">
                  <w:pPr>
                    <w:keepNext w:val="0"/>
                    <w:keepLines w:val="0"/>
                    <w:pageBreakBefore w:val="0"/>
                    <w:kinsoku/>
                    <w:wordWrap/>
                    <w:overflowPunct/>
                    <w:topLinePunct w:val="0"/>
                    <w:bidi w:val="0"/>
                    <w:adjustRightInd w:val="0"/>
                    <w:snapToGrid w:val="0"/>
                    <w:jc w:val="center"/>
                    <w:rPr>
                      <w:rFonts w:hint="default" w:ascii="Times New Roman" w:hAnsi="Times New Roman" w:eastAsia="宋体"/>
                      <w:color w:val="auto"/>
                      <w:lang w:val="en-US" w:eastAsia="zh-CN"/>
                    </w:rPr>
                  </w:pPr>
                  <w:r>
                    <w:rPr>
                      <w:rFonts w:hint="eastAsia" w:ascii="Times New Roman" w:hAnsi="Times New Roman"/>
                      <w:color w:val="auto"/>
                      <w:lang w:val="en-US" w:eastAsia="zh-CN"/>
                    </w:rPr>
                    <w:t>生产废水</w:t>
                  </w:r>
                </w:p>
              </w:tc>
              <w:tc>
                <w:tcPr>
                  <w:tcW w:w="609" w:type="pct"/>
                  <w:noWrap w:val="0"/>
                  <w:vAlign w:val="center"/>
                </w:tcPr>
                <w:p w14:paraId="50806DCB">
                  <w:pPr>
                    <w:keepNext w:val="0"/>
                    <w:keepLines w:val="0"/>
                    <w:pageBreakBefore w:val="0"/>
                    <w:kinsoku/>
                    <w:wordWrap/>
                    <w:overflowPunct/>
                    <w:topLinePunct w:val="0"/>
                    <w:bidi w:val="0"/>
                    <w:adjustRightInd w:val="0"/>
                    <w:snapToGrid w:val="0"/>
                    <w:jc w:val="center"/>
                    <w:rPr>
                      <w:rFonts w:hint="eastAsia"/>
                      <w:color w:val="auto"/>
                      <w:szCs w:val="21"/>
                    </w:rPr>
                  </w:pPr>
                  <w:r>
                    <w:rPr>
                      <w:rFonts w:hint="eastAsia"/>
                      <w:color w:val="auto"/>
                      <w:szCs w:val="21"/>
                    </w:rPr>
                    <w:t>pH</w:t>
                  </w:r>
                </w:p>
                <w:p w14:paraId="52C3627B">
                  <w:pPr>
                    <w:keepNext w:val="0"/>
                    <w:keepLines w:val="0"/>
                    <w:pageBreakBefore w:val="0"/>
                    <w:kinsoku/>
                    <w:wordWrap/>
                    <w:overflowPunct/>
                    <w:topLinePunct w:val="0"/>
                    <w:bidi w:val="0"/>
                    <w:adjustRightInd w:val="0"/>
                    <w:snapToGrid w:val="0"/>
                    <w:jc w:val="center"/>
                    <w:rPr>
                      <w:color w:val="auto"/>
                      <w:szCs w:val="21"/>
                    </w:rPr>
                  </w:pPr>
                  <w:r>
                    <w:rPr>
                      <w:color w:val="auto"/>
                      <w:szCs w:val="21"/>
                    </w:rPr>
                    <w:t>COD</w:t>
                  </w:r>
                </w:p>
                <w:p w14:paraId="215997D6">
                  <w:pPr>
                    <w:keepNext w:val="0"/>
                    <w:keepLines w:val="0"/>
                    <w:pageBreakBefore w:val="0"/>
                    <w:kinsoku/>
                    <w:wordWrap/>
                    <w:overflowPunct/>
                    <w:topLinePunct w:val="0"/>
                    <w:bidi w:val="0"/>
                    <w:adjustRightInd w:val="0"/>
                    <w:snapToGrid w:val="0"/>
                    <w:jc w:val="center"/>
                    <w:rPr>
                      <w:color w:val="auto"/>
                      <w:szCs w:val="21"/>
                    </w:rPr>
                  </w:pPr>
                  <w:r>
                    <w:rPr>
                      <w:rFonts w:hint="eastAsia"/>
                      <w:color w:val="auto"/>
                      <w:szCs w:val="21"/>
                    </w:rPr>
                    <w:t>BOD</w:t>
                  </w:r>
                  <w:r>
                    <w:rPr>
                      <w:rFonts w:hint="eastAsia"/>
                      <w:color w:val="auto"/>
                      <w:szCs w:val="21"/>
                      <w:vertAlign w:val="subscript"/>
                    </w:rPr>
                    <w:t>5</w:t>
                  </w:r>
                </w:p>
                <w:p w14:paraId="6D4881AC">
                  <w:pPr>
                    <w:keepNext w:val="0"/>
                    <w:keepLines w:val="0"/>
                    <w:pageBreakBefore w:val="0"/>
                    <w:kinsoku/>
                    <w:wordWrap/>
                    <w:overflowPunct/>
                    <w:topLinePunct w:val="0"/>
                    <w:bidi w:val="0"/>
                    <w:adjustRightInd w:val="0"/>
                    <w:snapToGrid w:val="0"/>
                    <w:jc w:val="center"/>
                    <w:rPr>
                      <w:color w:val="auto"/>
                      <w:szCs w:val="21"/>
                    </w:rPr>
                  </w:pPr>
                  <w:r>
                    <w:rPr>
                      <w:color w:val="auto"/>
                      <w:szCs w:val="21"/>
                    </w:rPr>
                    <w:t>SS</w:t>
                  </w:r>
                </w:p>
                <w:p w14:paraId="71ABC260">
                  <w:pPr>
                    <w:keepNext w:val="0"/>
                    <w:keepLines w:val="0"/>
                    <w:pageBreakBefore w:val="0"/>
                    <w:kinsoku/>
                    <w:wordWrap/>
                    <w:overflowPunct/>
                    <w:topLinePunct w:val="0"/>
                    <w:bidi w:val="0"/>
                    <w:adjustRightInd w:val="0"/>
                    <w:snapToGrid w:val="0"/>
                    <w:jc w:val="center"/>
                    <w:rPr>
                      <w:color w:val="auto"/>
                      <w:szCs w:val="21"/>
                    </w:rPr>
                  </w:pPr>
                  <w:r>
                    <w:rPr>
                      <w:color w:val="auto"/>
                      <w:szCs w:val="21"/>
                    </w:rPr>
                    <w:t>氨氮</w:t>
                  </w:r>
                </w:p>
                <w:p w14:paraId="269C54C0">
                  <w:pPr>
                    <w:keepNext w:val="0"/>
                    <w:keepLines w:val="0"/>
                    <w:pageBreakBefore w:val="0"/>
                    <w:kinsoku/>
                    <w:wordWrap/>
                    <w:overflowPunct/>
                    <w:topLinePunct w:val="0"/>
                    <w:bidi w:val="0"/>
                    <w:adjustRightInd w:val="0"/>
                    <w:snapToGrid w:val="0"/>
                    <w:jc w:val="center"/>
                    <w:rPr>
                      <w:rFonts w:hint="eastAsia"/>
                      <w:color w:val="auto"/>
                      <w:szCs w:val="21"/>
                    </w:rPr>
                  </w:pPr>
                  <w:r>
                    <w:rPr>
                      <w:rFonts w:hint="eastAsia"/>
                      <w:color w:val="auto"/>
                      <w:szCs w:val="21"/>
                    </w:rPr>
                    <w:t>总氮</w:t>
                  </w:r>
                </w:p>
                <w:p w14:paraId="047F6807">
                  <w:pPr>
                    <w:keepNext w:val="0"/>
                    <w:keepLines w:val="0"/>
                    <w:pageBreakBefore w:val="0"/>
                    <w:kinsoku/>
                    <w:wordWrap/>
                    <w:overflowPunct/>
                    <w:topLinePunct w:val="0"/>
                    <w:bidi w:val="0"/>
                    <w:adjustRightInd w:val="0"/>
                    <w:snapToGrid w:val="0"/>
                    <w:jc w:val="center"/>
                    <w:rPr>
                      <w:rFonts w:hint="eastAsia"/>
                      <w:color w:val="auto"/>
                      <w:szCs w:val="21"/>
                    </w:rPr>
                  </w:pPr>
                  <w:r>
                    <w:rPr>
                      <w:rFonts w:hint="eastAsia"/>
                      <w:color w:val="auto"/>
                      <w:szCs w:val="21"/>
                    </w:rPr>
                    <w:t>总磷</w:t>
                  </w:r>
                </w:p>
                <w:p w14:paraId="5C6F404B">
                  <w:pPr>
                    <w:keepNext w:val="0"/>
                    <w:keepLines w:val="0"/>
                    <w:pageBreakBefore w:val="0"/>
                    <w:kinsoku/>
                    <w:wordWrap/>
                    <w:overflowPunct/>
                    <w:topLinePunct w:val="0"/>
                    <w:bidi w:val="0"/>
                    <w:adjustRightInd w:val="0"/>
                    <w:snapToGrid w:val="0"/>
                    <w:jc w:val="center"/>
                    <w:rPr>
                      <w:rFonts w:hint="eastAsia" w:eastAsia="宋体"/>
                      <w:color w:val="auto"/>
                      <w:szCs w:val="21"/>
                      <w:lang w:val="en-US" w:eastAsia="zh-CN"/>
                    </w:rPr>
                  </w:pPr>
                  <w:r>
                    <w:rPr>
                      <w:rFonts w:hint="eastAsia"/>
                      <w:color w:val="auto"/>
                      <w:szCs w:val="21"/>
                      <w:lang w:val="en-US" w:eastAsia="zh-CN"/>
                    </w:rPr>
                    <w:t>氟化物</w:t>
                  </w:r>
                </w:p>
              </w:tc>
              <w:tc>
                <w:tcPr>
                  <w:tcW w:w="426" w:type="pct"/>
                  <w:vMerge w:val="continue"/>
                  <w:noWrap w:val="0"/>
                  <w:vAlign w:val="center"/>
                </w:tcPr>
                <w:p w14:paraId="5E6462CD">
                  <w:pPr>
                    <w:keepNext w:val="0"/>
                    <w:keepLines w:val="0"/>
                    <w:pageBreakBefore w:val="0"/>
                    <w:kinsoku/>
                    <w:wordWrap/>
                    <w:overflowPunct/>
                    <w:topLinePunct w:val="0"/>
                    <w:bidi w:val="0"/>
                    <w:adjustRightInd w:val="0"/>
                    <w:snapToGrid w:val="0"/>
                    <w:jc w:val="center"/>
                    <w:rPr>
                      <w:rFonts w:hint="eastAsia" w:ascii="Times New Roman" w:hAnsi="Times New Roman"/>
                      <w:color w:val="auto"/>
                      <w:kern w:val="0"/>
                    </w:rPr>
                  </w:pPr>
                </w:p>
              </w:tc>
              <w:tc>
                <w:tcPr>
                  <w:tcW w:w="458" w:type="pct"/>
                  <w:vMerge w:val="continue"/>
                  <w:noWrap w:val="0"/>
                  <w:vAlign w:val="center"/>
                </w:tcPr>
                <w:p w14:paraId="77AA3079">
                  <w:pPr>
                    <w:keepNext w:val="0"/>
                    <w:keepLines w:val="0"/>
                    <w:pageBreakBefore w:val="0"/>
                    <w:kinsoku/>
                    <w:wordWrap/>
                    <w:overflowPunct/>
                    <w:topLinePunct w:val="0"/>
                    <w:bidi w:val="0"/>
                    <w:adjustRightInd w:val="0"/>
                    <w:snapToGrid w:val="0"/>
                    <w:jc w:val="center"/>
                    <w:rPr>
                      <w:rFonts w:hint="eastAsia"/>
                      <w:color w:val="auto"/>
                      <w:szCs w:val="21"/>
                    </w:rPr>
                  </w:pPr>
                </w:p>
              </w:tc>
              <w:tc>
                <w:tcPr>
                  <w:tcW w:w="511" w:type="pct"/>
                  <w:noWrap w:val="0"/>
                  <w:vAlign w:val="center"/>
                </w:tcPr>
                <w:p w14:paraId="6A31953D">
                  <w:pPr>
                    <w:keepNext w:val="0"/>
                    <w:keepLines w:val="0"/>
                    <w:pageBreakBefore w:val="0"/>
                    <w:kinsoku/>
                    <w:wordWrap/>
                    <w:overflowPunct/>
                    <w:topLinePunct w:val="0"/>
                    <w:bidi w:val="0"/>
                    <w:adjustRightInd w:val="0"/>
                    <w:snapToGrid w:val="0"/>
                    <w:jc w:val="center"/>
                    <w:rPr>
                      <w:rFonts w:hint="default" w:eastAsia="宋体"/>
                      <w:color w:val="auto"/>
                      <w:szCs w:val="21"/>
                      <w:lang w:val="en-US" w:eastAsia="zh-CN"/>
                    </w:rPr>
                  </w:pPr>
                  <w:r>
                    <w:rPr>
                      <w:rFonts w:hint="eastAsia"/>
                      <w:color w:val="auto"/>
                      <w:szCs w:val="21"/>
                      <w:lang w:val="en-US" w:eastAsia="zh-CN"/>
                    </w:rPr>
                    <w:t>TW002</w:t>
                  </w:r>
                </w:p>
              </w:tc>
              <w:tc>
                <w:tcPr>
                  <w:tcW w:w="406" w:type="pct"/>
                  <w:noWrap w:val="0"/>
                  <w:vAlign w:val="center"/>
                </w:tcPr>
                <w:p w14:paraId="5B90024D">
                  <w:pPr>
                    <w:keepNext w:val="0"/>
                    <w:keepLines w:val="0"/>
                    <w:pageBreakBefore w:val="0"/>
                    <w:kinsoku/>
                    <w:wordWrap/>
                    <w:overflowPunct/>
                    <w:topLinePunct w:val="0"/>
                    <w:bidi w:val="0"/>
                    <w:adjustRightInd w:val="0"/>
                    <w:snapToGrid w:val="0"/>
                    <w:jc w:val="center"/>
                    <w:rPr>
                      <w:rFonts w:hint="eastAsia" w:eastAsia="宋体"/>
                      <w:color w:val="auto"/>
                      <w:szCs w:val="21"/>
                      <w:lang w:val="en-US" w:eastAsia="zh-CN"/>
                    </w:rPr>
                  </w:pPr>
                  <w:r>
                    <w:rPr>
                      <w:rFonts w:hint="eastAsia"/>
                      <w:color w:val="auto"/>
                      <w:szCs w:val="21"/>
                      <w:lang w:val="en-US" w:eastAsia="zh-CN"/>
                    </w:rPr>
                    <w:t>污水处理站</w:t>
                  </w:r>
                </w:p>
              </w:tc>
              <w:tc>
                <w:tcPr>
                  <w:tcW w:w="414" w:type="pct"/>
                  <w:noWrap w:val="0"/>
                  <w:vAlign w:val="center"/>
                </w:tcPr>
                <w:p w14:paraId="5D5BA9F2">
                  <w:pPr>
                    <w:keepNext w:val="0"/>
                    <w:keepLines w:val="0"/>
                    <w:pageBreakBefore w:val="0"/>
                    <w:kinsoku/>
                    <w:wordWrap/>
                    <w:overflowPunct/>
                    <w:topLinePunct w:val="0"/>
                    <w:bidi w:val="0"/>
                    <w:adjustRightInd w:val="0"/>
                    <w:snapToGrid w:val="0"/>
                    <w:jc w:val="center"/>
                    <w:rPr>
                      <w:rFonts w:hint="default" w:eastAsia="宋体"/>
                      <w:color w:val="auto"/>
                      <w:szCs w:val="21"/>
                      <w:lang w:val="en-US" w:eastAsia="zh-CN"/>
                    </w:rPr>
                  </w:pPr>
                  <w:r>
                    <w:rPr>
                      <w:rFonts w:hint="eastAsia"/>
                      <w:color w:val="auto"/>
                      <w:szCs w:val="21"/>
                      <w:lang w:val="en-US" w:eastAsia="zh-CN"/>
                    </w:rPr>
                    <w:t>中和+絮凝沉淀</w:t>
                  </w:r>
                </w:p>
              </w:tc>
              <w:tc>
                <w:tcPr>
                  <w:tcW w:w="553" w:type="pct"/>
                  <w:vMerge w:val="continue"/>
                  <w:noWrap w:val="0"/>
                  <w:vAlign w:val="center"/>
                </w:tcPr>
                <w:p w14:paraId="3ED7F663">
                  <w:pPr>
                    <w:keepNext w:val="0"/>
                    <w:keepLines w:val="0"/>
                    <w:pageBreakBefore w:val="0"/>
                    <w:kinsoku/>
                    <w:wordWrap/>
                    <w:overflowPunct/>
                    <w:topLinePunct w:val="0"/>
                    <w:bidi w:val="0"/>
                    <w:adjustRightInd w:val="0"/>
                    <w:snapToGrid w:val="0"/>
                    <w:jc w:val="center"/>
                    <w:rPr>
                      <w:color w:val="auto"/>
                      <w:szCs w:val="21"/>
                    </w:rPr>
                  </w:pPr>
                </w:p>
              </w:tc>
              <w:tc>
                <w:tcPr>
                  <w:tcW w:w="514" w:type="pct"/>
                  <w:vMerge w:val="continue"/>
                  <w:noWrap w:val="0"/>
                  <w:vAlign w:val="center"/>
                </w:tcPr>
                <w:p w14:paraId="14624A8F">
                  <w:pPr>
                    <w:keepNext w:val="0"/>
                    <w:keepLines w:val="0"/>
                    <w:pageBreakBefore w:val="0"/>
                    <w:kinsoku/>
                    <w:wordWrap/>
                    <w:overflowPunct/>
                    <w:topLinePunct w:val="0"/>
                    <w:bidi w:val="0"/>
                    <w:adjustRightInd w:val="0"/>
                    <w:snapToGrid w:val="0"/>
                    <w:jc w:val="center"/>
                    <w:rPr>
                      <w:color w:val="auto"/>
                      <w:szCs w:val="21"/>
                    </w:rPr>
                  </w:pPr>
                </w:p>
              </w:tc>
              <w:tc>
                <w:tcPr>
                  <w:tcW w:w="392" w:type="pct"/>
                  <w:vMerge w:val="continue"/>
                  <w:noWrap w:val="0"/>
                  <w:vAlign w:val="center"/>
                </w:tcPr>
                <w:p w14:paraId="1B900E26">
                  <w:pPr>
                    <w:keepNext w:val="0"/>
                    <w:keepLines w:val="0"/>
                    <w:pageBreakBefore w:val="0"/>
                    <w:kinsoku/>
                    <w:wordWrap/>
                    <w:overflowPunct/>
                    <w:topLinePunct w:val="0"/>
                    <w:bidi w:val="0"/>
                    <w:adjustRightInd w:val="0"/>
                    <w:snapToGrid w:val="0"/>
                    <w:jc w:val="center"/>
                    <w:rPr>
                      <w:color w:val="auto"/>
                      <w:szCs w:val="21"/>
                    </w:rPr>
                  </w:pPr>
                </w:p>
              </w:tc>
            </w:tr>
          </w:tbl>
          <w:p w14:paraId="5BC996EB">
            <w:pPr>
              <w:keepNext w:val="0"/>
              <w:keepLines w:val="0"/>
              <w:pageBreakBefore w:val="0"/>
              <w:widowControl/>
              <w:tabs>
                <w:tab w:val="left" w:pos="1680"/>
              </w:tabs>
              <w:kinsoku/>
              <w:wordWrap/>
              <w:overflowPunct/>
              <w:topLinePunct w:val="0"/>
              <w:bidi w:val="0"/>
              <w:snapToGrid w:val="0"/>
              <w:spacing w:before="120" w:beforeLines="50"/>
              <w:jc w:val="center"/>
              <w:rPr>
                <w:rFonts w:ascii="Times New Roman" w:hAnsi="Times New Roman"/>
                <w:b/>
                <w:bCs/>
                <w:color w:val="auto"/>
                <w:spacing w:val="3"/>
              </w:rPr>
            </w:pPr>
          </w:p>
          <w:p w14:paraId="043548C1">
            <w:pPr>
              <w:keepNext w:val="0"/>
              <w:keepLines w:val="0"/>
              <w:pageBreakBefore w:val="0"/>
              <w:widowControl/>
              <w:tabs>
                <w:tab w:val="left" w:pos="1680"/>
              </w:tabs>
              <w:kinsoku/>
              <w:wordWrap/>
              <w:overflowPunct/>
              <w:topLinePunct w:val="0"/>
              <w:bidi w:val="0"/>
              <w:snapToGrid w:val="0"/>
              <w:spacing w:before="120" w:beforeLines="50"/>
              <w:jc w:val="center"/>
              <w:rPr>
                <w:rFonts w:ascii="Times New Roman" w:hAnsi="Times New Roman"/>
                <w:b/>
                <w:bCs/>
                <w:color w:val="auto"/>
                <w:spacing w:val="3"/>
              </w:rPr>
            </w:pPr>
          </w:p>
          <w:p w14:paraId="2CA217A7">
            <w:pPr>
              <w:keepNext w:val="0"/>
              <w:keepLines w:val="0"/>
              <w:pageBreakBefore w:val="0"/>
              <w:widowControl/>
              <w:tabs>
                <w:tab w:val="left" w:pos="1680"/>
              </w:tabs>
              <w:kinsoku/>
              <w:wordWrap/>
              <w:overflowPunct/>
              <w:topLinePunct w:val="0"/>
              <w:bidi w:val="0"/>
              <w:snapToGrid w:val="0"/>
              <w:spacing w:before="120" w:beforeLines="50"/>
              <w:jc w:val="center"/>
              <w:rPr>
                <w:rFonts w:ascii="Times New Roman" w:hAnsi="Times New Roman"/>
                <w:b/>
                <w:bCs/>
                <w:color w:val="auto"/>
                <w:spacing w:val="3"/>
              </w:rPr>
            </w:pPr>
          </w:p>
          <w:p w14:paraId="5965A7AC">
            <w:pPr>
              <w:keepNext w:val="0"/>
              <w:keepLines w:val="0"/>
              <w:pageBreakBefore w:val="0"/>
              <w:widowControl/>
              <w:tabs>
                <w:tab w:val="left" w:pos="1680"/>
              </w:tabs>
              <w:kinsoku/>
              <w:wordWrap/>
              <w:overflowPunct/>
              <w:topLinePunct w:val="0"/>
              <w:bidi w:val="0"/>
              <w:snapToGrid w:val="0"/>
              <w:spacing w:before="120" w:beforeLines="50"/>
              <w:jc w:val="center"/>
              <w:rPr>
                <w:rFonts w:ascii="Times New Roman" w:hAnsi="Times New Roman"/>
                <w:b/>
                <w:bCs/>
                <w:color w:val="auto"/>
                <w:spacing w:val="3"/>
              </w:rPr>
            </w:pPr>
            <w:r>
              <w:rPr>
                <w:rFonts w:ascii="Times New Roman" w:hAnsi="Times New Roman"/>
                <w:b/>
                <w:bCs/>
                <w:color w:val="auto"/>
                <w:spacing w:val="3"/>
              </w:rPr>
              <w:t>表</w:t>
            </w:r>
            <w:r>
              <w:rPr>
                <w:rFonts w:hint="eastAsia"/>
                <w:b/>
                <w:bCs/>
                <w:color w:val="auto"/>
                <w:spacing w:val="3"/>
              </w:rPr>
              <w:t>4</w:t>
            </w:r>
            <w:r>
              <w:rPr>
                <w:rFonts w:ascii="Times New Roman" w:hAnsi="Times New Roman"/>
                <w:b/>
                <w:bCs/>
                <w:color w:val="auto"/>
                <w:spacing w:val="3"/>
              </w:rPr>
              <w:t>-</w:t>
            </w:r>
            <w:r>
              <w:rPr>
                <w:rFonts w:hint="eastAsia"/>
                <w:b/>
                <w:bCs/>
                <w:color w:val="auto"/>
                <w:spacing w:val="3"/>
                <w:lang w:val="en-US" w:eastAsia="zh-CN"/>
              </w:rPr>
              <w:t>17</w:t>
            </w:r>
            <w:r>
              <w:rPr>
                <w:rFonts w:ascii="Times New Roman" w:hAnsi="Times New Roman"/>
                <w:b/>
                <w:bCs/>
                <w:color w:val="auto"/>
                <w:spacing w:val="3"/>
              </w:rPr>
              <w:t xml:space="preserve"> 废水间接排放口基本情况表</w:t>
            </w:r>
          </w:p>
          <w:tbl>
            <w:tblPr>
              <w:tblStyle w:val="30"/>
              <w:tblW w:w="496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86"/>
              <w:gridCol w:w="1215"/>
              <w:gridCol w:w="1125"/>
              <w:gridCol w:w="645"/>
              <w:gridCol w:w="660"/>
              <w:gridCol w:w="675"/>
              <w:gridCol w:w="660"/>
              <w:gridCol w:w="675"/>
              <w:gridCol w:w="870"/>
              <w:gridCol w:w="1326"/>
            </w:tblGrid>
            <w:tr w14:paraId="3801D1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 w:type="pct"/>
                  <w:vMerge w:val="restart"/>
                  <w:noWrap w:val="0"/>
                  <w:vAlign w:val="center"/>
                </w:tcPr>
                <w:p w14:paraId="5C904161">
                  <w:pPr>
                    <w:keepNext w:val="0"/>
                    <w:keepLines w:val="0"/>
                    <w:pageBreakBefore w:val="0"/>
                    <w:widowControl/>
                    <w:kinsoku/>
                    <w:wordWrap/>
                    <w:overflowPunct/>
                    <w:topLinePunct w:val="0"/>
                    <w:bidi w:val="0"/>
                    <w:adjustRightInd w:val="0"/>
                    <w:snapToGrid w:val="0"/>
                    <w:jc w:val="center"/>
                    <w:rPr>
                      <w:rFonts w:ascii="宋体" w:hAnsi="宋体" w:cs="宋体"/>
                      <w:b/>
                      <w:color w:val="auto"/>
                      <w:szCs w:val="21"/>
                    </w:rPr>
                  </w:pPr>
                  <w:r>
                    <w:rPr>
                      <w:rFonts w:hint="eastAsia" w:ascii="宋体" w:hAnsi="宋体" w:cs="宋体"/>
                      <w:b/>
                      <w:color w:val="auto"/>
                      <w:szCs w:val="21"/>
                    </w:rPr>
                    <w:t>排放口编号</w:t>
                  </w:r>
                </w:p>
              </w:tc>
              <w:tc>
                <w:tcPr>
                  <w:tcW w:w="1386" w:type="pct"/>
                  <w:gridSpan w:val="2"/>
                  <w:noWrap w:val="0"/>
                  <w:vAlign w:val="center"/>
                </w:tcPr>
                <w:p w14:paraId="5BA7E915">
                  <w:pPr>
                    <w:keepNext w:val="0"/>
                    <w:keepLines w:val="0"/>
                    <w:pageBreakBefore w:val="0"/>
                    <w:widowControl/>
                    <w:kinsoku/>
                    <w:wordWrap/>
                    <w:overflowPunct/>
                    <w:topLinePunct w:val="0"/>
                    <w:bidi w:val="0"/>
                    <w:adjustRightInd w:val="0"/>
                    <w:snapToGrid w:val="0"/>
                    <w:jc w:val="center"/>
                    <w:rPr>
                      <w:rFonts w:ascii="宋体" w:hAnsi="宋体" w:cs="宋体"/>
                      <w:b/>
                      <w:color w:val="auto"/>
                      <w:szCs w:val="21"/>
                    </w:rPr>
                  </w:pPr>
                  <w:r>
                    <w:rPr>
                      <w:rFonts w:hint="eastAsia" w:ascii="宋体" w:hAnsi="宋体" w:cs="宋体"/>
                      <w:b/>
                      <w:color w:val="auto"/>
                      <w:szCs w:val="21"/>
                    </w:rPr>
                    <w:t>排放口地理坐标</w:t>
                  </w:r>
                </w:p>
              </w:tc>
              <w:tc>
                <w:tcPr>
                  <w:tcW w:w="382" w:type="pct"/>
                  <w:vMerge w:val="restart"/>
                  <w:noWrap w:val="0"/>
                  <w:vAlign w:val="center"/>
                </w:tcPr>
                <w:p w14:paraId="1639AE5D">
                  <w:pPr>
                    <w:keepNext w:val="0"/>
                    <w:keepLines w:val="0"/>
                    <w:pageBreakBefore w:val="0"/>
                    <w:widowControl/>
                    <w:kinsoku/>
                    <w:wordWrap/>
                    <w:overflowPunct/>
                    <w:topLinePunct w:val="0"/>
                    <w:bidi w:val="0"/>
                    <w:adjustRightInd w:val="0"/>
                    <w:snapToGrid w:val="0"/>
                    <w:jc w:val="center"/>
                    <w:rPr>
                      <w:rFonts w:ascii="宋体" w:hAnsi="宋体" w:cs="宋体"/>
                      <w:b/>
                      <w:color w:val="auto"/>
                      <w:szCs w:val="21"/>
                    </w:rPr>
                  </w:pPr>
                  <w:r>
                    <w:rPr>
                      <w:rFonts w:hint="eastAsia" w:ascii="宋体" w:hAnsi="宋体" w:cs="宋体"/>
                      <w:b/>
                      <w:color w:val="auto"/>
                      <w:szCs w:val="21"/>
                    </w:rPr>
                    <w:t>废水排放量</w:t>
                  </w:r>
                  <w:r>
                    <w:rPr>
                      <w:rFonts w:hint="eastAsia"/>
                      <w:b/>
                      <w:color w:val="auto"/>
                      <w:szCs w:val="21"/>
                    </w:rPr>
                    <w:t>m</w:t>
                  </w:r>
                  <w:r>
                    <w:rPr>
                      <w:rFonts w:hint="eastAsia"/>
                      <w:b/>
                      <w:color w:val="auto"/>
                      <w:szCs w:val="21"/>
                      <w:vertAlign w:val="superscript"/>
                    </w:rPr>
                    <w:t>3</w:t>
                  </w:r>
                  <w:r>
                    <w:rPr>
                      <w:b/>
                      <w:color w:val="auto"/>
                      <w:szCs w:val="21"/>
                    </w:rPr>
                    <w:t>/a</w:t>
                  </w:r>
                </w:p>
              </w:tc>
              <w:tc>
                <w:tcPr>
                  <w:tcW w:w="391" w:type="pct"/>
                  <w:vMerge w:val="restart"/>
                  <w:noWrap w:val="0"/>
                  <w:vAlign w:val="center"/>
                </w:tcPr>
                <w:p w14:paraId="023299F7">
                  <w:pPr>
                    <w:keepNext w:val="0"/>
                    <w:keepLines w:val="0"/>
                    <w:pageBreakBefore w:val="0"/>
                    <w:widowControl/>
                    <w:kinsoku/>
                    <w:wordWrap/>
                    <w:overflowPunct/>
                    <w:topLinePunct w:val="0"/>
                    <w:bidi w:val="0"/>
                    <w:adjustRightInd w:val="0"/>
                    <w:snapToGrid w:val="0"/>
                    <w:jc w:val="center"/>
                    <w:rPr>
                      <w:rFonts w:ascii="宋体" w:hAnsi="宋体" w:cs="宋体"/>
                      <w:b/>
                      <w:color w:val="auto"/>
                      <w:szCs w:val="21"/>
                    </w:rPr>
                  </w:pPr>
                  <w:r>
                    <w:rPr>
                      <w:rFonts w:hint="eastAsia" w:ascii="宋体" w:hAnsi="宋体" w:cs="宋体"/>
                      <w:b/>
                      <w:color w:val="auto"/>
                      <w:szCs w:val="21"/>
                    </w:rPr>
                    <w:t>排放去向</w:t>
                  </w:r>
                </w:p>
              </w:tc>
              <w:tc>
                <w:tcPr>
                  <w:tcW w:w="400" w:type="pct"/>
                  <w:vMerge w:val="restart"/>
                  <w:noWrap w:val="0"/>
                  <w:vAlign w:val="center"/>
                </w:tcPr>
                <w:p w14:paraId="76A23AE2">
                  <w:pPr>
                    <w:keepNext w:val="0"/>
                    <w:keepLines w:val="0"/>
                    <w:pageBreakBefore w:val="0"/>
                    <w:widowControl/>
                    <w:kinsoku/>
                    <w:wordWrap/>
                    <w:overflowPunct/>
                    <w:topLinePunct w:val="0"/>
                    <w:bidi w:val="0"/>
                    <w:adjustRightInd w:val="0"/>
                    <w:snapToGrid w:val="0"/>
                    <w:jc w:val="center"/>
                    <w:rPr>
                      <w:rFonts w:ascii="宋体" w:hAnsi="宋体" w:cs="宋体"/>
                      <w:b/>
                      <w:color w:val="auto"/>
                      <w:szCs w:val="21"/>
                    </w:rPr>
                  </w:pPr>
                  <w:r>
                    <w:rPr>
                      <w:rFonts w:hint="eastAsia" w:ascii="宋体" w:hAnsi="宋体" w:cs="宋体"/>
                      <w:b/>
                      <w:color w:val="auto"/>
                      <w:szCs w:val="21"/>
                    </w:rPr>
                    <w:t>排放规律</w:t>
                  </w:r>
                </w:p>
              </w:tc>
              <w:tc>
                <w:tcPr>
                  <w:tcW w:w="391" w:type="pct"/>
                  <w:vMerge w:val="restart"/>
                  <w:noWrap w:val="0"/>
                  <w:vAlign w:val="center"/>
                </w:tcPr>
                <w:p w14:paraId="72CE8A22">
                  <w:pPr>
                    <w:keepNext w:val="0"/>
                    <w:keepLines w:val="0"/>
                    <w:pageBreakBefore w:val="0"/>
                    <w:widowControl/>
                    <w:kinsoku/>
                    <w:wordWrap/>
                    <w:overflowPunct/>
                    <w:topLinePunct w:val="0"/>
                    <w:bidi w:val="0"/>
                    <w:adjustRightInd w:val="0"/>
                    <w:snapToGrid w:val="0"/>
                    <w:jc w:val="center"/>
                    <w:rPr>
                      <w:rFonts w:ascii="宋体" w:hAnsi="宋体" w:cs="宋体"/>
                      <w:b/>
                      <w:color w:val="auto"/>
                      <w:szCs w:val="21"/>
                    </w:rPr>
                  </w:pPr>
                  <w:r>
                    <w:rPr>
                      <w:rFonts w:hint="eastAsia" w:ascii="宋体" w:hAnsi="宋体" w:cs="宋体"/>
                      <w:b/>
                      <w:color w:val="auto"/>
                      <w:szCs w:val="21"/>
                    </w:rPr>
                    <w:t>间歇排放时段</w:t>
                  </w:r>
                </w:p>
              </w:tc>
              <w:tc>
                <w:tcPr>
                  <w:tcW w:w="1701" w:type="pct"/>
                  <w:gridSpan w:val="3"/>
                  <w:noWrap w:val="0"/>
                  <w:vAlign w:val="center"/>
                </w:tcPr>
                <w:p w14:paraId="7171B9C6">
                  <w:pPr>
                    <w:keepNext w:val="0"/>
                    <w:keepLines w:val="0"/>
                    <w:pageBreakBefore w:val="0"/>
                    <w:widowControl/>
                    <w:kinsoku/>
                    <w:wordWrap/>
                    <w:overflowPunct/>
                    <w:topLinePunct w:val="0"/>
                    <w:bidi w:val="0"/>
                    <w:adjustRightInd w:val="0"/>
                    <w:snapToGrid w:val="0"/>
                    <w:jc w:val="center"/>
                    <w:rPr>
                      <w:rFonts w:ascii="宋体" w:hAnsi="宋体" w:cs="宋体"/>
                      <w:b/>
                      <w:color w:val="auto"/>
                      <w:szCs w:val="21"/>
                    </w:rPr>
                  </w:pPr>
                  <w:r>
                    <w:rPr>
                      <w:rFonts w:hint="eastAsia" w:ascii="宋体" w:hAnsi="宋体" w:cs="宋体"/>
                      <w:b/>
                      <w:color w:val="auto"/>
                      <w:szCs w:val="21"/>
                    </w:rPr>
                    <w:t>受纳污水处理厂信息</w:t>
                  </w:r>
                </w:p>
              </w:tc>
            </w:tr>
            <w:tr w14:paraId="212653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 w:type="pct"/>
                  <w:vMerge w:val="continue"/>
                  <w:noWrap w:val="0"/>
                  <w:vAlign w:val="center"/>
                </w:tcPr>
                <w:p w14:paraId="077D2C59">
                  <w:pPr>
                    <w:keepNext w:val="0"/>
                    <w:keepLines w:val="0"/>
                    <w:pageBreakBefore w:val="0"/>
                    <w:widowControl/>
                    <w:kinsoku/>
                    <w:wordWrap/>
                    <w:overflowPunct/>
                    <w:topLinePunct w:val="0"/>
                    <w:bidi w:val="0"/>
                    <w:adjustRightInd w:val="0"/>
                    <w:snapToGrid w:val="0"/>
                    <w:ind w:firstLine="360"/>
                    <w:jc w:val="center"/>
                    <w:rPr>
                      <w:rFonts w:ascii="宋体" w:hAnsi="宋体" w:cs="宋体"/>
                      <w:b/>
                      <w:color w:val="auto"/>
                      <w:szCs w:val="21"/>
                    </w:rPr>
                  </w:pPr>
                </w:p>
              </w:tc>
              <w:tc>
                <w:tcPr>
                  <w:tcW w:w="720" w:type="pct"/>
                  <w:noWrap w:val="0"/>
                  <w:vAlign w:val="center"/>
                </w:tcPr>
                <w:p w14:paraId="751E4418">
                  <w:pPr>
                    <w:keepNext w:val="0"/>
                    <w:keepLines w:val="0"/>
                    <w:pageBreakBefore w:val="0"/>
                    <w:widowControl/>
                    <w:kinsoku/>
                    <w:wordWrap/>
                    <w:overflowPunct/>
                    <w:topLinePunct w:val="0"/>
                    <w:bidi w:val="0"/>
                    <w:adjustRightInd w:val="0"/>
                    <w:snapToGrid w:val="0"/>
                    <w:jc w:val="center"/>
                    <w:rPr>
                      <w:rFonts w:ascii="宋体" w:hAnsi="宋体" w:cs="宋体"/>
                      <w:b/>
                      <w:color w:val="auto"/>
                      <w:szCs w:val="21"/>
                    </w:rPr>
                  </w:pPr>
                  <w:r>
                    <w:rPr>
                      <w:rFonts w:hint="eastAsia" w:ascii="宋体" w:hAnsi="宋体" w:cs="宋体"/>
                      <w:b/>
                      <w:color w:val="auto"/>
                      <w:szCs w:val="21"/>
                    </w:rPr>
                    <w:t>经度</w:t>
                  </w:r>
                </w:p>
              </w:tc>
              <w:tc>
                <w:tcPr>
                  <w:tcW w:w="666" w:type="pct"/>
                  <w:noWrap w:val="0"/>
                  <w:vAlign w:val="center"/>
                </w:tcPr>
                <w:p w14:paraId="771865AB">
                  <w:pPr>
                    <w:keepNext w:val="0"/>
                    <w:keepLines w:val="0"/>
                    <w:pageBreakBefore w:val="0"/>
                    <w:widowControl/>
                    <w:kinsoku/>
                    <w:wordWrap/>
                    <w:overflowPunct/>
                    <w:topLinePunct w:val="0"/>
                    <w:bidi w:val="0"/>
                    <w:adjustRightInd w:val="0"/>
                    <w:snapToGrid w:val="0"/>
                    <w:jc w:val="center"/>
                    <w:rPr>
                      <w:rFonts w:ascii="宋体" w:hAnsi="宋体" w:cs="宋体"/>
                      <w:b/>
                      <w:color w:val="auto"/>
                      <w:szCs w:val="21"/>
                    </w:rPr>
                  </w:pPr>
                  <w:r>
                    <w:rPr>
                      <w:rFonts w:hint="eastAsia" w:ascii="宋体" w:hAnsi="宋体" w:cs="宋体"/>
                      <w:b/>
                      <w:color w:val="auto"/>
                      <w:szCs w:val="21"/>
                    </w:rPr>
                    <w:t>纬度</w:t>
                  </w:r>
                </w:p>
              </w:tc>
              <w:tc>
                <w:tcPr>
                  <w:tcW w:w="382" w:type="pct"/>
                  <w:vMerge w:val="continue"/>
                  <w:noWrap w:val="0"/>
                  <w:vAlign w:val="center"/>
                </w:tcPr>
                <w:p w14:paraId="1E43D589">
                  <w:pPr>
                    <w:keepNext w:val="0"/>
                    <w:keepLines w:val="0"/>
                    <w:pageBreakBefore w:val="0"/>
                    <w:widowControl/>
                    <w:kinsoku/>
                    <w:wordWrap/>
                    <w:overflowPunct/>
                    <w:topLinePunct w:val="0"/>
                    <w:bidi w:val="0"/>
                    <w:adjustRightInd w:val="0"/>
                    <w:snapToGrid w:val="0"/>
                    <w:ind w:firstLine="360"/>
                    <w:jc w:val="center"/>
                    <w:rPr>
                      <w:rFonts w:ascii="宋体" w:hAnsi="宋体" w:cs="宋体"/>
                      <w:b/>
                      <w:color w:val="auto"/>
                      <w:szCs w:val="21"/>
                    </w:rPr>
                  </w:pPr>
                </w:p>
              </w:tc>
              <w:tc>
                <w:tcPr>
                  <w:tcW w:w="391" w:type="pct"/>
                  <w:vMerge w:val="continue"/>
                  <w:noWrap w:val="0"/>
                  <w:vAlign w:val="center"/>
                </w:tcPr>
                <w:p w14:paraId="19AB59D0">
                  <w:pPr>
                    <w:keepNext w:val="0"/>
                    <w:keepLines w:val="0"/>
                    <w:pageBreakBefore w:val="0"/>
                    <w:widowControl/>
                    <w:kinsoku/>
                    <w:wordWrap/>
                    <w:overflowPunct/>
                    <w:topLinePunct w:val="0"/>
                    <w:bidi w:val="0"/>
                    <w:adjustRightInd w:val="0"/>
                    <w:snapToGrid w:val="0"/>
                    <w:ind w:firstLine="360"/>
                    <w:jc w:val="center"/>
                    <w:rPr>
                      <w:rFonts w:ascii="宋体" w:hAnsi="宋体" w:cs="宋体"/>
                      <w:b/>
                      <w:color w:val="auto"/>
                      <w:szCs w:val="21"/>
                    </w:rPr>
                  </w:pPr>
                </w:p>
              </w:tc>
              <w:tc>
                <w:tcPr>
                  <w:tcW w:w="400" w:type="pct"/>
                  <w:vMerge w:val="continue"/>
                  <w:noWrap w:val="0"/>
                  <w:vAlign w:val="center"/>
                </w:tcPr>
                <w:p w14:paraId="0D53DAA7">
                  <w:pPr>
                    <w:keepNext w:val="0"/>
                    <w:keepLines w:val="0"/>
                    <w:pageBreakBefore w:val="0"/>
                    <w:widowControl/>
                    <w:kinsoku/>
                    <w:wordWrap/>
                    <w:overflowPunct/>
                    <w:topLinePunct w:val="0"/>
                    <w:bidi w:val="0"/>
                    <w:adjustRightInd w:val="0"/>
                    <w:snapToGrid w:val="0"/>
                    <w:ind w:firstLine="360"/>
                    <w:jc w:val="center"/>
                    <w:rPr>
                      <w:rFonts w:ascii="宋体" w:hAnsi="宋体" w:cs="宋体"/>
                      <w:b/>
                      <w:color w:val="auto"/>
                      <w:szCs w:val="21"/>
                    </w:rPr>
                  </w:pPr>
                </w:p>
              </w:tc>
              <w:tc>
                <w:tcPr>
                  <w:tcW w:w="391" w:type="pct"/>
                  <w:vMerge w:val="continue"/>
                  <w:noWrap w:val="0"/>
                  <w:vAlign w:val="center"/>
                </w:tcPr>
                <w:p w14:paraId="79A88661">
                  <w:pPr>
                    <w:keepNext w:val="0"/>
                    <w:keepLines w:val="0"/>
                    <w:pageBreakBefore w:val="0"/>
                    <w:widowControl/>
                    <w:kinsoku/>
                    <w:wordWrap/>
                    <w:overflowPunct/>
                    <w:topLinePunct w:val="0"/>
                    <w:bidi w:val="0"/>
                    <w:adjustRightInd w:val="0"/>
                    <w:snapToGrid w:val="0"/>
                    <w:ind w:firstLine="360"/>
                    <w:jc w:val="center"/>
                    <w:rPr>
                      <w:rFonts w:ascii="宋体" w:hAnsi="宋体" w:cs="宋体"/>
                      <w:b/>
                      <w:color w:val="auto"/>
                      <w:szCs w:val="21"/>
                    </w:rPr>
                  </w:pPr>
                </w:p>
              </w:tc>
              <w:tc>
                <w:tcPr>
                  <w:tcW w:w="400" w:type="pct"/>
                  <w:noWrap w:val="0"/>
                  <w:vAlign w:val="center"/>
                </w:tcPr>
                <w:p w14:paraId="55830925">
                  <w:pPr>
                    <w:keepNext w:val="0"/>
                    <w:keepLines w:val="0"/>
                    <w:pageBreakBefore w:val="0"/>
                    <w:widowControl/>
                    <w:kinsoku/>
                    <w:wordWrap/>
                    <w:overflowPunct/>
                    <w:topLinePunct w:val="0"/>
                    <w:bidi w:val="0"/>
                    <w:adjustRightInd w:val="0"/>
                    <w:snapToGrid w:val="0"/>
                    <w:jc w:val="center"/>
                    <w:rPr>
                      <w:rFonts w:ascii="宋体" w:hAnsi="宋体" w:cs="宋体"/>
                      <w:b/>
                      <w:color w:val="auto"/>
                      <w:szCs w:val="21"/>
                    </w:rPr>
                  </w:pPr>
                  <w:r>
                    <w:rPr>
                      <w:rFonts w:hint="eastAsia" w:ascii="宋体" w:hAnsi="宋体" w:cs="宋体"/>
                      <w:b/>
                      <w:color w:val="auto"/>
                      <w:szCs w:val="21"/>
                    </w:rPr>
                    <w:t>名称</w:t>
                  </w:r>
                </w:p>
              </w:tc>
              <w:tc>
                <w:tcPr>
                  <w:tcW w:w="515" w:type="pct"/>
                  <w:noWrap w:val="0"/>
                  <w:vAlign w:val="center"/>
                </w:tcPr>
                <w:p w14:paraId="7F3D0BF2">
                  <w:pPr>
                    <w:keepNext w:val="0"/>
                    <w:keepLines w:val="0"/>
                    <w:pageBreakBefore w:val="0"/>
                    <w:widowControl/>
                    <w:kinsoku/>
                    <w:wordWrap/>
                    <w:overflowPunct/>
                    <w:topLinePunct w:val="0"/>
                    <w:bidi w:val="0"/>
                    <w:adjustRightInd w:val="0"/>
                    <w:snapToGrid w:val="0"/>
                    <w:jc w:val="center"/>
                    <w:rPr>
                      <w:rFonts w:ascii="宋体" w:hAnsi="宋体" w:cs="宋体"/>
                      <w:b/>
                      <w:color w:val="auto"/>
                      <w:szCs w:val="21"/>
                    </w:rPr>
                  </w:pPr>
                  <w:r>
                    <w:rPr>
                      <w:rFonts w:hint="eastAsia" w:ascii="宋体" w:hAnsi="宋体" w:cs="宋体"/>
                      <w:b/>
                      <w:color w:val="auto"/>
                      <w:szCs w:val="21"/>
                    </w:rPr>
                    <w:t>污染物种类</w:t>
                  </w:r>
                </w:p>
              </w:tc>
              <w:tc>
                <w:tcPr>
                  <w:tcW w:w="785" w:type="pct"/>
                  <w:noWrap w:val="0"/>
                  <w:vAlign w:val="center"/>
                </w:tcPr>
                <w:p w14:paraId="1F2F3878">
                  <w:pPr>
                    <w:keepNext w:val="0"/>
                    <w:keepLines w:val="0"/>
                    <w:pageBreakBefore w:val="0"/>
                    <w:widowControl/>
                    <w:kinsoku/>
                    <w:wordWrap/>
                    <w:overflowPunct/>
                    <w:topLinePunct w:val="0"/>
                    <w:bidi w:val="0"/>
                    <w:adjustRightInd w:val="0"/>
                    <w:snapToGrid w:val="0"/>
                    <w:jc w:val="center"/>
                    <w:rPr>
                      <w:rFonts w:ascii="宋体" w:hAnsi="宋体" w:cs="宋体"/>
                      <w:b/>
                      <w:color w:val="auto"/>
                      <w:szCs w:val="21"/>
                    </w:rPr>
                  </w:pPr>
                  <w:r>
                    <w:rPr>
                      <w:rFonts w:hint="eastAsia" w:ascii="宋体" w:hAnsi="宋体" w:cs="宋体"/>
                      <w:b/>
                      <w:color w:val="auto"/>
                      <w:szCs w:val="21"/>
                    </w:rPr>
                    <w:t>国家或地方污染物排放标准浓度限值</w:t>
                  </w:r>
                  <w:r>
                    <w:rPr>
                      <w:b/>
                      <w:color w:val="auto"/>
                      <w:szCs w:val="21"/>
                    </w:rPr>
                    <w:t>mg/L</w:t>
                  </w:r>
                </w:p>
              </w:tc>
            </w:tr>
            <w:tr w14:paraId="6DD7B3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 w:type="pct"/>
                  <w:vMerge w:val="restart"/>
                  <w:noWrap w:val="0"/>
                  <w:vAlign w:val="center"/>
                </w:tcPr>
                <w:p w14:paraId="3F2F17D8">
                  <w:pPr>
                    <w:keepNext w:val="0"/>
                    <w:keepLines w:val="0"/>
                    <w:pageBreakBefore w:val="0"/>
                    <w:widowControl/>
                    <w:kinsoku/>
                    <w:wordWrap/>
                    <w:overflowPunct/>
                    <w:topLinePunct w:val="0"/>
                    <w:bidi w:val="0"/>
                    <w:adjustRightInd w:val="0"/>
                    <w:snapToGrid w:val="0"/>
                    <w:ind w:left="-105" w:leftChars="-50" w:right="-105" w:rightChars="-50"/>
                    <w:jc w:val="center"/>
                    <w:rPr>
                      <w:color w:val="auto"/>
                      <w:szCs w:val="21"/>
                    </w:rPr>
                  </w:pPr>
                  <w:r>
                    <w:rPr>
                      <w:color w:val="auto"/>
                      <w:szCs w:val="21"/>
                    </w:rPr>
                    <w:t>DW00</w:t>
                  </w:r>
                  <w:r>
                    <w:rPr>
                      <w:rFonts w:hint="eastAsia"/>
                      <w:color w:val="auto"/>
                      <w:szCs w:val="21"/>
                    </w:rPr>
                    <w:t>1</w:t>
                  </w:r>
                </w:p>
              </w:tc>
              <w:tc>
                <w:tcPr>
                  <w:tcW w:w="720" w:type="pct"/>
                  <w:vMerge w:val="restart"/>
                  <w:noWrap w:val="0"/>
                  <w:vAlign w:val="center"/>
                </w:tcPr>
                <w:p w14:paraId="77488932">
                  <w:pPr>
                    <w:keepNext w:val="0"/>
                    <w:keepLines w:val="0"/>
                    <w:pageBreakBefore w:val="0"/>
                    <w:kinsoku/>
                    <w:wordWrap/>
                    <w:overflowPunct/>
                    <w:topLinePunct w:val="0"/>
                    <w:bidi w:val="0"/>
                    <w:snapToGrid w:val="0"/>
                    <w:jc w:val="center"/>
                    <w:rPr>
                      <w:rFonts w:hint="default" w:eastAsia="宋体"/>
                      <w:color w:val="auto"/>
                      <w:lang w:val="en-US" w:eastAsia="zh-CN"/>
                    </w:rPr>
                  </w:pPr>
                  <w:r>
                    <w:rPr>
                      <w:rFonts w:hint="eastAsia"/>
                      <w:color w:val="auto"/>
                      <w:lang w:val="en-US" w:eastAsia="zh-CN"/>
                    </w:rPr>
                    <w:t>118.566187</w:t>
                  </w:r>
                </w:p>
              </w:tc>
              <w:tc>
                <w:tcPr>
                  <w:tcW w:w="666" w:type="pct"/>
                  <w:vMerge w:val="restart"/>
                  <w:noWrap w:val="0"/>
                  <w:vAlign w:val="center"/>
                </w:tcPr>
                <w:p w14:paraId="05B40B37">
                  <w:pPr>
                    <w:keepNext w:val="0"/>
                    <w:keepLines w:val="0"/>
                    <w:pageBreakBefore w:val="0"/>
                    <w:kinsoku/>
                    <w:wordWrap/>
                    <w:overflowPunct/>
                    <w:topLinePunct w:val="0"/>
                    <w:bidi w:val="0"/>
                    <w:snapToGrid w:val="0"/>
                    <w:jc w:val="center"/>
                    <w:rPr>
                      <w:rFonts w:hint="default" w:eastAsia="宋体"/>
                      <w:color w:val="auto"/>
                      <w:lang w:val="en-US" w:eastAsia="zh-CN"/>
                    </w:rPr>
                  </w:pPr>
                  <w:r>
                    <w:rPr>
                      <w:rFonts w:hint="eastAsia"/>
                      <w:color w:val="auto"/>
                      <w:lang w:val="en-US" w:eastAsia="zh-CN"/>
                    </w:rPr>
                    <w:t>33.714923</w:t>
                  </w:r>
                </w:p>
              </w:tc>
              <w:tc>
                <w:tcPr>
                  <w:tcW w:w="382" w:type="pct"/>
                  <w:vMerge w:val="restart"/>
                  <w:noWrap w:val="0"/>
                  <w:vAlign w:val="center"/>
                </w:tcPr>
                <w:p w14:paraId="1668AB39">
                  <w:pPr>
                    <w:keepNext w:val="0"/>
                    <w:keepLines w:val="0"/>
                    <w:pageBreakBefore w:val="0"/>
                    <w:widowControl/>
                    <w:kinsoku/>
                    <w:wordWrap/>
                    <w:overflowPunct/>
                    <w:topLinePunct w:val="0"/>
                    <w:bidi w:val="0"/>
                    <w:adjustRightInd w:val="0"/>
                    <w:snapToGrid w:val="0"/>
                    <w:jc w:val="center"/>
                    <w:rPr>
                      <w:rFonts w:hint="default" w:ascii="宋体" w:hAnsi="宋体" w:eastAsia="宋体" w:cs="宋体"/>
                      <w:color w:val="auto"/>
                      <w:szCs w:val="21"/>
                      <w:lang w:val="en-US" w:eastAsia="zh-CN"/>
                    </w:rPr>
                  </w:pPr>
                  <w:r>
                    <w:rPr>
                      <w:rFonts w:hint="eastAsia"/>
                      <w:color w:val="auto"/>
                      <w:lang w:val="en-US" w:eastAsia="zh-CN"/>
                    </w:rPr>
                    <w:t>2376</w:t>
                  </w:r>
                </w:p>
              </w:tc>
              <w:tc>
                <w:tcPr>
                  <w:tcW w:w="391" w:type="pct"/>
                  <w:vMerge w:val="restart"/>
                  <w:noWrap w:val="0"/>
                  <w:vAlign w:val="center"/>
                </w:tcPr>
                <w:p w14:paraId="04D4C635">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r>
                    <w:rPr>
                      <w:rFonts w:hint="eastAsia" w:ascii="Times New Roman" w:hAnsi="Times New Roman"/>
                      <w:color w:val="auto"/>
                      <w:kern w:val="0"/>
                      <w:lang w:val="en-US" w:eastAsia="zh-CN"/>
                    </w:rPr>
                    <w:t>城东污水处理厂二期</w:t>
                  </w:r>
                </w:p>
              </w:tc>
              <w:tc>
                <w:tcPr>
                  <w:tcW w:w="400" w:type="pct"/>
                  <w:vMerge w:val="restart"/>
                  <w:noWrap w:val="0"/>
                  <w:vAlign w:val="center"/>
                </w:tcPr>
                <w:p w14:paraId="3CAF416F">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r>
                    <w:rPr>
                      <w:rFonts w:hint="eastAsia"/>
                      <w:color w:val="auto"/>
                      <w:szCs w:val="21"/>
                      <w:lang w:val="en-US" w:eastAsia="zh-CN"/>
                    </w:rPr>
                    <w:t>连续</w:t>
                  </w:r>
                  <w:r>
                    <w:rPr>
                      <w:color w:val="auto"/>
                      <w:szCs w:val="21"/>
                    </w:rPr>
                    <w:t>排放</w:t>
                  </w:r>
                  <w:r>
                    <w:rPr>
                      <w:rFonts w:hint="eastAsia"/>
                      <w:color w:val="auto"/>
                      <w:szCs w:val="21"/>
                      <w:lang w:eastAsia="zh-CN"/>
                    </w:rPr>
                    <w:t>，</w:t>
                  </w:r>
                  <w:r>
                    <w:rPr>
                      <w:rFonts w:hint="eastAsia"/>
                      <w:color w:val="auto"/>
                      <w:szCs w:val="21"/>
                      <w:lang w:val="en-US" w:eastAsia="zh-CN"/>
                    </w:rPr>
                    <w:t>排放期间</w:t>
                  </w:r>
                  <w:r>
                    <w:rPr>
                      <w:color w:val="auto"/>
                      <w:szCs w:val="21"/>
                    </w:rPr>
                    <w:t>流量稳定</w:t>
                  </w:r>
                </w:p>
              </w:tc>
              <w:tc>
                <w:tcPr>
                  <w:tcW w:w="391" w:type="pct"/>
                  <w:vMerge w:val="restart"/>
                  <w:noWrap w:val="0"/>
                  <w:vAlign w:val="center"/>
                </w:tcPr>
                <w:p w14:paraId="05968239">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r>
                    <w:rPr>
                      <w:rFonts w:hint="eastAsia" w:ascii="宋体" w:hAnsi="宋体" w:cs="宋体"/>
                      <w:color w:val="auto"/>
                      <w:szCs w:val="21"/>
                    </w:rPr>
                    <w:t>/</w:t>
                  </w:r>
                </w:p>
              </w:tc>
              <w:tc>
                <w:tcPr>
                  <w:tcW w:w="400" w:type="pct"/>
                  <w:vMerge w:val="restart"/>
                  <w:noWrap w:val="0"/>
                  <w:vAlign w:val="center"/>
                </w:tcPr>
                <w:p w14:paraId="63374B73">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r>
                    <w:rPr>
                      <w:rFonts w:hint="eastAsia" w:ascii="Times New Roman" w:hAnsi="Times New Roman"/>
                      <w:color w:val="auto"/>
                      <w:kern w:val="0"/>
                      <w:lang w:val="en-US" w:eastAsia="zh-CN"/>
                    </w:rPr>
                    <w:t>城东污水处理厂二期</w:t>
                  </w:r>
                </w:p>
              </w:tc>
              <w:tc>
                <w:tcPr>
                  <w:tcW w:w="515" w:type="pct"/>
                  <w:noWrap w:val="0"/>
                  <w:vAlign w:val="center"/>
                </w:tcPr>
                <w:p w14:paraId="63BC5E8B">
                  <w:pPr>
                    <w:keepNext w:val="0"/>
                    <w:keepLines w:val="0"/>
                    <w:pageBreakBefore w:val="0"/>
                    <w:kinsoku/>
                    <w:wordWrap/>
                    <w:overflowPunct/>
                    <w:topLinePunct w:val="0"/>
                    <w:bidi w:val="0"/>
                    <w:adjustRightInd w:val="0"/>
                    <w:snapToGrid w:val="0"/>
                    <w:jc w:val="center"/>
                    <w:rPr>
                      <w:rFonts w:hint="eastAsia"/>
                      <w:color w:val="auto"/>
                      <w:szCs w:val="21"/>
                    </w:rPr>
                  </w:pPr>
                  <w:r>
                    <w:rPr>
                      <w:rFonts w:hint="eastAsia"/>
                      <w:color w:val="auto"/>
                      <w:szCs w:val="21"/>
                    </w:rPr>
                    <w:t>pH</w:t>
                  </w:r>
                </w:p>
              </w:tc>
              <w:tc>
                <w:tcPr>
                  <w:tcW w:w="785" w:type="pct"/>
                  <w:noWrap w:val="0"/>
                  <w:vAlign w:val="center"/>
                </w:tcPr>
                <w:p w14:paraId="71D55E0E">
                  <w:pPr>
                    <w:keepNext w:val="0"/>
                    <w:keepLines w:val="0"/>
                    <w:pageBreakBefore w:val="0"/>
                    <w:widowControl/>
                    <w:kinsoku/>
                    <w:wordWrap/>
                    <w:overflowPunct/>
                    <w:topLinePunct w:val="0"/>
                    <w:bidi w:val="0"/>
                    <w:adjustRightInd w:val="0"/>
                    <w:snapToGrid w:val="0"/>
                    <w:jc w:val="center"/>
                    <w:rPr>
                      <w:color w:val="auto"/>
                      <w:szCs w:val="21"/>
                    </w:rPr>
                  </w:pPr>
                  <w:r>
                    <w:rPr>
                      <w:rFonts w:hint="eastAsia"/>
                      <w:bCs/>
                      <w:color w:val="auto"/>
                    </w:rPr>
                    <w:t>6~9</w:t>
                  </w:r>
                </w:p>
              </w:tc>
            </w:tr>
            <w:tr w14:paraId="72E1CB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 w:type="pct"/>
                  <w:vMerge w:val="continue"/>
                  <w:noWrap w:val="0"/>
                  <w:vAlign w:val="center"/>
                </w:tcPr>
                <w:p w14:paraId="494A697C">
                  <w:pPr>
                    <w:keepNext w:val="0"/>
                    <w:keepLines w:val="0"/>
                    <w:pageBreakBefore w:val="0"/>
                    <w:widowControl/>
                    <w:kinsoku/>
                    <w:wordWrap/>
                    <w:overflowPunct/>
                    <w:topLinePunct w:val="0"/>
                    <w:bidi w:val="0"/>
                    <w:adjustRightInd w:val="0"/>
                    <w:snapToGrid w:val="0"/>
                    <w:ind w:left="-105" w:leftChars="-50" w:right="-105" w:rightChars="-50"/>
                    <w:jc w:val="center"/>
                    <w:rPr>
                      <w:color w:val="auto"/>
                      <w:szCs w:val="21"/>
                    </w:rPr>
                  </w:pPr>
                </w:p>
              </w:tc>
              <w:tc>
                <w:tcPr>
                  <w:tcW w:w="720" w:type="pct"/>
                  <w:vMerge w:val="continue"/>
                  <w:noWrap w:val="0"/>
                  <w:vAlign w:val="center"/>
                </w:tcPr>
                <w:p w14:paraId="2B65910B">
                  <w:pPr>
                    <w:keepNext w:val="0"/>
                    <w:keepLines w:val="0"/>
                    <w:pageBreakBefore w:val="0"/>
                    <w:kinsoku/>
                    <w:wordWrap/>
                    <w:overflowPunct/>
                    <w:topLinePunct w:val="0"/>
                    <w:bidi w:val="0"/>
                    <w:snapToGrid w:val="0"/>
                    <w:jc w:val="center"/>
                    <w:rPr>
                      <w:rFonts w:hint="eastAsia"/>
                      <w:color w:val="auto"/>
                    </w:rPr>
                  </w:pPr>
                </w:p>
              </w:tc>
              <w:tc>
                <w:tcPr>
                  <w:tcW w:w="666" w:type="pct"/>
                  <w:vMerge w:val="continue"/>
                  <w:noWrap w:val="0"/>
                  <w:vAlign w:val="center"/>
                </w:tcPr>
                <w:p w14:paraId="2DDD337B">
                  <w:pPr>
                    <w:keepNext w:val="0"/>
                    <w:keepLines w:val="0"/>
                    <w:pageBreakBefore w:val="0"/>
                    <w:kinsoku/>
                    <w:wordWrap/>
                    <w:overflowPunct/>
                    <w:topLinePunct w:val="0"/>
                    <w:bidi w:val="0"/>
                    <w:snapToGrid w:val="0"/>
                    <w:jc w:val="center"/>
                    <w:rPr>
                      <w:rFonts w:hint="eastAsia"/>
                      <w:color w:val="auto"/>
                    </w:rPr>
                  </w:pPr>
                </w:p>
              </w:tc>
              <w:tc>
                <w:tcPr>
                  <w:tcW w:w="382" w:type="pct"/>
                  <w:vMerge w:val="continue"/>
                  <w:noWrap w:val="0"/>
                  <w:vAlign w:val="center"/>
                </w:tcPr>
                <w:p w14:paraId="6EF6843D">
                  <w:pPr>
                    <w:keepNext w:val="0"/>
                    <w:keepLines w:val="0"/>
                    <w:pageBreakBefore w:val="0"/>
                    <w:widowControl/>
                    <w:kinsoku/>
                    <w:wordWrap/>
                    <w:overflowPunct/>
                    <w:topLinePunct w:val="0"/>
                    <w:bidi w:val="0"/>
                    <w:adjustRightInd w:val="0"/>
                    <w:snapToGrid w:val="0"/>
                    <w:jc w:val="center"/>
                    <w:rPr>
                      <w:rFonts w:hint="eastAsia" w:ascii="宋体" w:hAnsi="宋体" w:cs="宋体"/>
                      <w:color w:val="auto"/>
                      <w:szCs w:val="21"/>
                    </w:rPr>
                  </w:pPr>
                </w:p>
              </w:tc>
              <w:tc>
                <w:tcPr>
                  <w:tcW w:w="391" w:type="pct"/>
                  <w:vMerge w:val="continue"/>
                  <w:noWrap w:val="0"/>
                  <w:vAlign w:val="center"/>
                </w:tcPr>
                <w:p w14:paraId="76D948D8">
                  <w:pPr>
                    <w:keepNext w:val="0"/>
                    <w:keepLines w:val="0"/>
                    <w:pageBreakBefore w:val="0"/>
                    <w:widowControl/>
                    <w:kinsoku/>
                    <w:wordWrap/>
                    <w:overflowPunct/>
                    <w:topLinePunct w:val="0"/>
                    <w:bidi w:val="0"/>
                    <w:adjustRightInd w:val="0"/>
                    <w:snapToGrid w:val="0"/>
                    <w:jc w:val="center"/>
                    <w:rPr>
                      <w:rFonts w:ascii="Times New Roman" w:hAnsi="Times New Roman"/>
                      <w:color w:val="auto"/>
                      <w:kern w:val="0"/>
                    </w:rPr>
                  </w:pPr>
                </w:p>
              </w:tc>
              <w:tc>
                <w:tcPr>
                  <w:tcW w:w="400" w:type="pct"/>
                  <w:vMerge w:val="continue"/>
                  <w:noWrap w:val="0"/>
                  <w:vAlign w:val="center"/>
                </w:tcPr>
                <w:p w14:paraId="75A78957">
                  <w:pPr>
                    <w:keepNext w:val="0"/>
                    <w:keepLines w:val="0"/>
                    <w:pageBreakBefore w:val="0"/>
                    <w:widowControl/>
                    <w:kinsoku/>
                    <w:wordWrap/>
                    <w:overflowPunct/>
                    <w:topLinePunct w:val="0"/>
                    <w:bidi w:val="0"/>
                    <w:adjustRightInd w:val="0"/>
                    <w:snapToGrid w:val="0"/>
                    <w:jc w:val="center"/>
                    <w:rPr>
                      <w:rFonts w:hint="eastAsia" w:ascii="宋体" w:hAnsi="宋体" w:cs="宋体"/>
                      <w:color w:val="auto"/>
                      <w:szCs w:val="21"/>
                    </w:rPr>
                  </w:pPr>
                </w:p>
              </w:tc>
              <w:tc>
                <w:tcPr>
                  <w:tcW w:w="391" w:type="pct"/>
                  <w:vMerge w:val="continue"/>
                  <w:noWrap w:val="0"/>
                  <w:vAlign w:val="center"/>
                </w:tcPr>
                <w:p w14:paraId="6E086855">
                  <w:pPr>
                    <w:keepNext w:val="0"/>
                    <w:keepLines w:val="0"/>
                    <w:pageBreakBefore w:val="0"/>
                    <w:widowControl/>
                    <w:kinsoku/>
                    <w:wordWrap/>
                    <w:overflowPunct/>
                    <w:topLinePunct w:val="0"/>
                    <w:bidi w:val="0"/>
                    <w:adjustRightInd w:val="0"/>
                    <w:snapToGrid w:val="0"/>
                    <w:jc w:val="center"/>
                    <w:rPr>
                      <w:rFonts w:hint="eastAsia" w:ascii="宋体" w:hAnsi="宋体" w:cs="宋体"/>
                      <w:color w:val="auto"/>
                      <w:szCs w:val="21"/>
                    </w:rPr>
                  </w:pPr>
                </w:p>
              </w:tc>
              <w:tc>
                <w:tcPr>
                  <w:tcW w:w="400" w:type="pct"/>
                  <w:vMerge w:val="continue"/>
                  <w:noWrap w:val="0"/>
                  <w:vAlign w:val="center"/>
                </w:tcPr>
                <w:p w14:paraId="3585C97E">
                  <w:pPr>
                    <w:keepNext w:val="0"/>
                    <w:keepLines w:val="0"/>
                    <w:pageBreakBefore w:val="0"/>
                    <w:widowControl/>
                    <w:kinsoku/>
                    <w:wordWrap/>
                    <w:overflowPunct/>
                    <w:topLinePunct w:val="0"/>
                    <w:bidi w:val="0"/>
                    <w:adjustRightInd w:val="0"/>
                    <w:snapToGrid w:val="0"/>
                    <w:jc w:val="center"/>
                    <w:rPr>
                      <w:rFonts w:ascii="Times New Roman" w:hAnsi="Times New Roman"/>
                      <w:color w:val="auto"/>
                      <w:kern w:val="0"/>
                    </w:rPr>
                  </w:pPr>
                </w:p>
              </w:tc>
              <w:tc>
                <w:tcPr>
                  <w:tcW w:w="515" w:type="pct"/>
                  <w:noWrap w:val="0"/>
                  <w:vAlign w:val="center"/>
                </w:tcPr>
                <w:p w14:paraId="1DEB7F91">
                  <w:pPr>
                    <w:keepNext w:val="0"/>
                    <w:keepLines w:val="0"/>
                    <w:pageBreakBefore w:val="0"/>
                    <w:widowControl/>
                    <w:kinsoku/>
                    <w:wordWrap/>
                    <w:overflowPunct/>
                    <w:topLinePunct w:val="0"/>
                    <w:bidi w:val="0"/>
                    <w:adjustRightInd w:val="0"/>
                    <w:snapToGrid w:val="0"/>
                    <w:jc w:val="center"/>
                    <w:rPr>
                      <w:color w:val="auto"/>
                      <w:szCs w:val="21"/>
                    </w:rPr>
                  </w:pPr>
                  <w:r>
                    <w:rPr>
                      <w:color w:val="auto"/>
                      <w:szCs w:val="21"/>
                    </w:rPr>
                    <w:t>COD</w:t>
                  </w:r>
                </w:p>
              </w:tc>
              <w:tc>
                <w:tcPr>
                  <w:tcW w:w="785" w:type="pct"/>
                  <w:noWrap w:val="0"/>
                  <w:vAlign w:val="center"/>
                </w:tcPr>
                <w:p w14:paraId="370CA4A8">
                  <w:pPr>
                    <w:keepNext w:val="0"/>
                    <w:keepLines w:val="0"/>
                    <w:pageBreakBefore w:val="0"/>
                    <w:widowControl/>
                    <w:kinsoku/>
                    <w:wordWrap/>
                    <w:overflowPunct/>
                    <w:topLinePunct w:val="0"/>
                    <w:bidi w:val="0"/>
                    <w:adjustRightInd w:val="0"/>
                    <w:snapToGrid w:val="0"/>
                    <w:jc w:val="center"/>
                    <w:rPr>
                      <w:color w:val="auto"/>
                      <w:szCs w:val="21"/>
                    </w:rPr>
                  </w:pPr>
                  <w:r>
                    <w:rPr>
                      <w:color w:val="auto"/>
                      <w:szCs w:val="21"/>
                    </w:rPr>
                    <w:t>50</w:t>
                  </w:r>
                </w:p>
              </w:tc>
            </w:tr>
            <w:tr w14:paraId="6A6B8F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 w:type="pct"/>
                  <w:vMerge w:val="continue"/>
                  <w:noWrap w:val="0"/>
                  <w:vAlign w:val="center"/>
                </w:tcPr>
                <w:p w14:paraId="7A2E5E73">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720" w:type="pct"/>
                  <w:vMerge w:val="continue"/>
                  <w:noWrap w:val="0"/>
                  <w:vAlign w:val="center"/>
                </w:tcPr>
                <w:p w14:paraId="27566922">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666" w:type="pct"/>
                  <w:vMerge w:val="continue"/>
                  <w:noWrap w:val="0"/>
                  <w:vAlign w:val="center"/>
                </w:tcPr>
                <w:p w14:paraId="6F5BB5A8">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382" w:type="pct"/>
                  <w:vMerge w:val="continue"/>
                  <w:noWrap w:val="0"/>
                  <w:vAlign w:val="center"/>
                </w:tcPr>
                <w:p w14:paraId="0D381C18">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391" w:type="pct"/>
                  <w:vMerge w:val="continue"/>
                  <w:noWrap w:val="0"/>
                  <w:vAlign w:val="center"/>
                </w:tcPr>
                <w:p w14:paraId="7FE90FAD">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400" w:type="pct"/>
                  <w:vMerge w:val="continue"/>
                  <w:noWrap w:val="0"/>
                  <w:vAlign w:val="center"/>
                </w:tcPr>
                <w:p w14:paraId="39B00FED">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391" w:type="pct"/>
                  <w:vMerge w:val="continue"/>
                  <w:noWrap w:val="0"/>
                  <w:vAlign w:val="center"/>
                </w:tcPr>
                <w:p w14:paraId="5B1122A6">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400" w:type="pct"/>
                  <w:vMerge w:val="continue"/>
                  <w:noWrap w:val="0"/>
                  <w:vAlign w:val="center"/>
                </w:tcPr>
                <w:p w14:paraId="0A358AD2">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515" w:type="pct"/>
                  <w:noWrap w:val="0"/>
                  <w:vAlign w:val="center"/>
                </w:tcPr>
                <w:p w14:paraId="02E805B1">
                  <w:pPr>
                    <w:keepNext w:val="0"/>
                    <w:keepLines w:val="0"/>
                    <w:pageBreakBefore w:val="0"/>
                    <w:widowControl/>
                    <w:kinsoku/>
                    <w:wordWrap/>
                    <w:overflowPunct/>
                    <w:topLinePunct w:val="0"/>
                    <w:bidi w:val="0"/>
                    <w:adjustRightInd w:val="0"/>
                    <w:snapToGrid w:val="0"/>
                    <w:jc w:val="center"/>
                    <w:rPr>
                      <w:color w:val="auto"/>
                      <w:szCs w:val="21"/>
                    </w:rPr>
                  </w:pPr>
                  <w:r>
                    <w:rPr>
                      <w:rFonts w:hint="eastAsia"/>
                      <w:color w:val="auto"/>
                      <w:szCs w:val="21"/>
                    </w:rPr>
                    <w:t>BOD</w:t>
                  </w:r>
                  <w:r>
                    <w:rPr>
                      <w:rFonts w:hint="eastAsia"/>
                      <w:color w:val="auto"/>
                      <w:szCs w:val="21"/>
                      <w:vertAlign w:val="subscript"/>
                    </w:rPr>
                    <w:t>5</w:t>
                  </w:r>
                </w:p>
              </w:tc>
              <w:tc>
                <w:tcPr>
                  <w:tcW w:w="785" w:type="pct"/>
                  <w:noWrap w:val="0"/>
                  <w:vAlign w:val="center"/>
                </w:tcPr>
                <w:p w14:paraId="695A4D65">
                  <w:pPr>
                    <w:keepNext w:val="0"/>
                    <w:keepLines w:val="0"/>
                    <w:pageBreakBefore w:val="0"/>
                    <w:widowControl/>
                    <w:kinsoku/>
                    <w:wordWrap/>
                    <w:overflowPunct/>
                    <w:topLinePunct w:val="0"/>
                    <w:bidi w:val="0"/>
                    <w:adjustRightInd w:val="0"/>
                    <w:snapToGrid w:val="0"/>
                    <w:jc w:val="center"/>
                    <w:rPr>
                      <w:rFonts w:hint="eastAsia"/>
                      <w:color w:val="auto"/>
                      <w:szCs w:val="21"/>
                    </w:rPr>
                  </w:pPr>
                  <w:r>
                    <w:rPr>
                      <w:rFonts w:hint="eastAsia"/>
                      <w:color w:val="auto"/>
                      <w:szCs w:val="21"/>
                    </w:rPr>
                    <w:t>10</w:t>
                  </w:r>
                </w:p>
              </w:tc>
            </w:tr>
            <w:tr w14:paraId="4AD1FE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 w:type="pct"/>
                  <w:vMerge w:val="continue"/>
                  <w:noWrap w:val="0"/>
                  <w:vAlign w:val="center"/>
                </w:tcPr>
                <w:p w14:paraId="43EB6AD6">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720" w:type="pct"/>
                  <w:vMerge w:val="continue"/>
                  <w:noWrap w:val="0"/>
                  <w:vAlign w:val="center"/>
                </w:tcPr>
                <w:p w14:paraId="50FF88FE">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666" w:type="pct"/>
                  <w:vMerge w:val="continue"/>
                  <w:noWrap w:val="0"/>
                  <w:vAlign w:val="center"/>
                </w:tcPr>
                <w:p w14:paraId="5326B2DD">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382" w:type="pct"/>
                  <w:vMerge w:val="continue"/>
                  <w:noWrap w:val="0"/>
                  <w:vAlign w:val="center"/>
                </w:tcPr>
                <w:p w14:paraId="49C84DFB">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391" w:type="pct"/>
                  <w:vMerge w:val="continue"/>
                  <w:noWrap w:val="0"/>
                  <w:vAlign w:val="center"/>
                </w:tcPr>
                <w:p w14:paraId="70EC2E53">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400" w:type="pct"/>
                  <w:vMerge w:val="continue"/>
                  <w:noWrap w:val="0"/>
                  <w:vAlign w:val="center"/>
                </w:tcPr>
                <w:p w14:paraId="5791306E">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391" w:type="pct"/>
                  <w:vMerge w:val="continue"/>
                  <w:noWrap w:val="0"/>
                  <w:vAlign w:val="center"/>
                </w:tcPr>
                <w:p w14:paraId="1DE90ABD">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400" w:type="pct"/>
                  <w:vMerge w:val="continue"/>
                  <w:noWrap w:val="0"/>
                  <w:vAlign w:val="center"/>
                </w:tcPr>
                <w:p w14:paraId="3402A296">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515" w:type="pct"/>
                  <w:noWrap w:val="0"/>
                  <w:vAlign w:val="center"/>
                </w:tcPr>
                <w:p w14:paraId="6CDB248D">
                  <w:pPr>
                    <w:keepNext w:val="0"/>
                    <w:keepLines w:val="0"/>
                    <w:pageBreakBefore w:val="0"/>
                    <w:widowControl/>
                    <w:kinsoku/>
                    <w:wordWrap/>
                    <w:overflowPunct/>
                    <w:topLinePunct w:val="0"/>
                    <w:bidi w:val="0"/>
                    <w:adjustRightInd w:val="0"/>
                    <w:snapToGrid w:val="0"/>
                    <w:jc w:val="center"/>
                    <w:rPr>
                      <w:color w:val="auto"/>
                      <w:szCs w:val="21"/>
                    </w:rPr>
                  </w:pPr>
                  <w:r>
                    <w:rPr>
                      <w:color w:val="auto"/>
                      <w:szCs w:val="21"/>
                    </w:rPr>
                    <w:t>SS</w:t>
                  </w:r>
                </w:p>
              </w:tc>
              <w:tc>
                <w:tcPr>
                  <w:tcW w:w="785" w:type="pct"/>
                  <w:noWrap w:val="0"/>
                  <w:vAlign w:val="center"/>
                </w:tcPr>
                <w:p w14:paraId="0E9EB3D6">
                  <w:pPr>
                    <w:keepNext w:val="0"/>
                    <w:keepLines w:val="0"/>
                    <w:pageBreakBefore w:val="0"/>
                    <w:widowControl/>
                    <w:kinsoku/>
                    <w:wordWrap/>
                    <w:overflowPunct/>
                    <w:topLinePunct w:val="0"/>
                    <w:bidi w:val="0"/>
                    <w:adjustRightInd w:val="0"/>
                    <w:snapToGrid w:val="0"/>
                    <w:jc w:val="center"/>
                    <w:rPr>
                      <w:rFonts w:hint="eastAsia"/>
                      <w:color w:val="auto"/>
                      <w:szCs w:val="21"/>
                    </w:rPr>
                  </w:pPr>
                  <w:r>
                    <w:rPr>
                      <w:color w:val="auto"/>
                      <w:szCs w:val="21"/>
                    </w:rPr>
                    <w:t>10</w:t>
                  </w:r>
                </w:p>
              </w:tc>
            </w:tr>
            <w:tr w14:paraId="60BED2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 w:type="pct"/>
                  <w:vMerge w:val="continue"/>
                  <w:noWrap w:val="0"/>
                  <w:vAlign w:val="center"/>
                </w:tcPr>
                <w:p w14:paraId="3E97FAE5">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720" w:type="pct"/>
                  <w:vMerge w:val="continue"/>
                  <w:noWrap w:val="0"/>
                  <w:vAlign w:val="center"/>
                </w:tcPr>
                <w:p w14:paraId="0F99A6F5">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666" w:type="pct"/>
                  <w:vMerge w:val="continue"/>
                  <w:noWrap w:val="0"/>
                  <w:vAlign w:val="center"/>
                </w:tcPr>
                <w:p w14:paraId="6981556E">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382" w:type="pct"/>
                  <w:vMerge w:val="continue"/>
                  <w:noWrap w:val="0"/>
                  <w:vAlign w:val="center"/>
                </w:tcPr>
                <w:p w14:paraId="6720CC0F">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391" w:type="pct"/>
                  <w:vMerge w:val="continue"/>
                  <w:noWrap w:val="0"/>
                  <w:vAlign w:val="center"/>
                </w:tcPr>
                <w:p w14:paraId="479C9F6F">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400" w:type="pct"/>
                  <w:vMerge w:val="continue"/>
                  <w:noWrap w:val="0"/>
                  <w:vAlign w:val="center"/>
                </w:tcPr>
                <w:p w14:paraId="7FD976D9">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391" w:type="pct"/>
                  <w:vMerge w:val="continue"/>
                  <w:noWrap w:val="0"/>
                  <w:vAlign w:val="center"/>
                </w:tcPr>
                <w:p w14:paraId="5BDFD0C9">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400" w:type="pct"/>
                  <w:vMerge w:val="continue"/>
                  <w:noWrap w:val="0"/>
                  <w:vAlign w:val="center"/>
                </w:tcPr>
                <w:p w14:paraId="78C1EAB2">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515" w:type="pct"/>
                  <w:noWrap w:val="0"/>
                  <w:vAlign w:val="center"/>
                </w:tcPr>
                <w:p w14:paraId="28BF16CB">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r>
                    <w:rPr>
                      <w:rFonts w:hint="eastAsia" w:ascii="宋体" w:hAnsi="宋体" w:cs="宋体"/>
                      <w:color w:val="auto"/>
                      <w:szCs w:val="21"/>
                    </w:rPr>
                    <w:t>氨氮</w:t>
                  </w:r>
                </w:p>
              </w:tc>
              <w:tc>
                <w:tcPr>
                  <w:tcW w:w="785" w:type="pct"/>
                  <w:noWrap w:val="0"/>
                  <w:vAlign w:val="center"/>
                </w:tcPr>
                <w:p w14:paraId="51E7D1A8">
                  <w:pPr>
                    <w:keepNext w:val="0"/>
                    <w:keepLines w:val="0"/>
                    <w:pageBreakBefore w:val="0"/>
                    <w:widowControl/>
                    <w:kinsoku/>
                    <w:wordWrap/>
                    <w:overflowPunct/>
                    <w:topLinePunct w:val="0"/>
                    <w:bidi w:val="0"/>
                    <w:adjustRightInd w:val="0"/>
                    <w:snapToGrid w:val="0"/>
                    <w:jc w:val="center"/>
                    <w:rPr>
                      <w:rFonts w:hint="eastAsia"/>
                      <w:color w:val="auto"/>
                      <w:szCs w:val="21"/>
                    </w:rPr>
                  </w:pPr>
                  <w:r>
                    <w:rPr>
                      <w:color w:val="auto"/>
                      <w:szCs w:val="21"/>
                    </w:rPr>
                    <w:t>5</w:t>
                  </w:r>
                  <w:r>
                    <w:rPr>
                      <w:rFonts w:hint="eastAsia"/>
                      <w:color w:val="auto"/>
                      <w:szCs w:val="21"/>
                    </w:rPr>
                    <w:t>（8）*</w:t>
                  </w:r>
                </w:p>
              </w:tc>
            </w:tr>
            <w:tr w14:paraId="64B136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 w:type="pct"/>
                  <w:vMerge w:val="continue"/>
                  <w:noWrap w:val="0"/>
                  <w:vAlign w:val="center"/>
                </w:tcPr>
                <w:p w14:paraId="644AEDFC">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720" w:type="pct"/>
                  <w:vMerge w:val="continue"/>
                  <w:noWrap w:val="0"/>
                  <w:vAlign w:val="center"/>
                </w:tcPr>
                <w:p w14:paraId="2EF9CFF5">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666" w:type="pct"/>
                  <w:vMerge w:val="continue"/>
                  <w:noWrap w:val="0"/>
                  <w:vAlign w:val="center"/>
                </w:tcPr>
                <w:p w14:paraId="45502FDF">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382" w:type="pct"/>
                  <w:vMerge w:val="continue"/>
                  <w:noWrap w:val="0"/>
                  <w:vAlign w:val="center"/>
                </w:tcPr>
                <w:p w14:paraId="66026685">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391" w:type="pct"/>
                  <w:vMerge w:val="continue"/>
                  <w:noWrap w:val="0"/>
                  <w:vAlign w:val="center"/>
                </w:tcPr>
                <w:p w14:paraId="5179438A">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400" w:type="pct"/>
                  <w:vMerge w:val="continue"/>
                  <w:noWrap w:val="0"/>
                  <w:vAlign w:val="center"/>
                </w:tcPr>
                <w:p w14:paraId="326A1C78">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391" w:type="pct"/>
                  <w:vMerge w:val="continue"/>
                  <w:noWrap w:val="0"/>
                  <w:vAlign w:val="center"/>
                </w:tcPr>
                <w:p w14:paraId="08E63FC1">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400" w:type="pct"/>
                  <w:vMerge w:val="continue"/>
                  <w:noWrap w:val="0"/>
                  <w:vAlign w:val="center"/>
                </w:tcPr>
                <w:p w14:paraId="39C73B32">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515" w:type="pct"/>
                  <w:noWrap w:val="0"/>
                  <w:vAlign w:val="center"/>
                </w:tcPr>
                <w:p w14:paraId="5BA872D2">
                  <w:pPr>
                    <w:keepNext w:val="0"/>
                    <w:keepLines w:val="0"/>
                    <w:pageBreakBefore w:val="0"/>
                    <w:widowControl/>
                    <w:kinsoku/>
                    <w:wordWrap/>
                    <w:overflowPunct/>
                    <w:topLinePunct w:val="0"/>
                    <w:bidi w:val="0"/>
                    <w:adjustRightInd w:val="0"/>
                    <w:snapToGrid w:val="0"/>
                    <w:jc w:val="center"/>
                    <w:rPr>
                      <w:rFonts w:hint="eastAsia" w:ascii="宋体" w:hAnsi="宋体" w:cs="宋体"/>
                      <w:color w:val="auto"/>
                      <w:szCs w:val="21"/>
                    </w:rPr>
                  </w:pPr>
                  <w:r>
                    <w:rPr>
                      <w:rFonts w:hint="eastAsia" w:ascii="宋体" w:hAnsi="宋体" w:cs="宋体"/>
                      <w:color w:val="auto"/>
                      <w:szCs w:val="21"/>
                    </w:rPr>
                    <w:t>总氮</w:t>
                  </w:r>
                </w:p>
              </w:tc>
              <w:tc>
                <w:tcPr>
                  <w:tcW w:w="785" w:type="pct"/>
                  <w:noWrap w:val="0"/>
                  <w:vAlign w:val="center"/>
                </w:tcPr>
                <w:p w14:paraId="3BCD5A46">
                  <w:pPr>
                    <w:keepNext w:val="0"/>
                    <w:keepLines w:val="0"/>
                    <w:pageBreakBefore w:val="0"/>
                    <w:widowControl/>
                    <w:kinsoku/>
                    <w:wordWrap/>
                    <w:overflowPunct/>
                    <w:topLinePunct w:val="0"/>
                    <w:bidi w:val="0"/>
                    <w:adjustRightInd w:val="0"/>
                    <w:snapToGrid w:val="0"/>
                    <w:jc w:val="center"/>
                    <w:rPr>
                      <w:rFonts w:hint="eastAsia"/>
                      <w:color w:val="auto"/>
                      <w:szCs w:val="21"/>
                    </w:rPr>
                  </w:pPr>
                  <w:r>
                    <w:rPr>
                      <w:rFonts w:hint="eastAsia"/>
                      <w:color w:val="auto"/>
                      <w:szCs w:val="21"/>
                    </w:rPr>
                    <w:t>15</w:t>
                  </w:r>
                </w:p>
              </w:tc>
            </w:tr>
            <w:tr w14:paraId="25B214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 w:type="pct"/>
                  <w:vMerge w:val="continue"/>
                  <w:noWrap w:val="0"/>
                  <w:vAlign w:val="center"/>
                </w:tcPr>
                <w:p w14:paraId="610D2D1B">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720" w:type="pct"/>
                  <w:vMerge w:val="continue"/>
                  <w:noWrap w:val="0"/>
                  <w:vAlign w:val="center"/>
                </w:tcPr>
                <w:p w14:paraId="158CA5B2">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666" w:type="pct"/>
                  <w:vMerge w:val="continue"/>
                  <w:noWrap w:val="0"/>
                  <w:vAlign w:val="center"/>
                </w:tcPr>
                <w:p w14:paraId="4B528BCD">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382" w:type="pct"/>
                  <w:vMerge w:val="continue"/>
                  <w:noWrap w:val="0"/>
                  <w:vAlign w:val="center"/>
                </w:tcPr>
                <w:p w14:paraId="2F67BBF9">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391" w:type="pct"/>
                  <w:vMerge w:val="continue"/>
                  <w:noWrap w:val="0"/>
                  <w:vAlign w:val="center"/>
                </w:tcPr>
                <w:p w14:paraId="32F2725C">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400" w:type="pct"/>
                  <w:vMerge w:val="continue"/>
                  <w:noWrap w:val="0"/>
                  <w:vAlign w:val="center"/>
                </w:tcPr>
                <w:p w14:paraId="4ABD5266">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391" w:type="pct"/>
                  <w:vMerge w:val="continue"/>
                  <w:noWrap w:val="0"/>
                  <w:vAlign w:val="center"/>
                </w:tcPr>
                <w:p w14:paraId="470CED7B">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400" w:type="pct"/>
                  <w:vMerge w:val="continue"/>
                  <w:noWrap w:val="0"/>
                  <w:vAlign w:val="center"/>
                </w:tcPr>
                <w:p w14:paraId="3C2ED6E5">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515" w:type="pct"/>
                  <w:noWrap w:val="0"/>
                  <w:vAlign w:val="center"/>
                </w:tcPr>
                <w:p w14:paraId="4F0FCA42">
                  <w:pPr>
                    <w:keepNext w:val="0"/>
                    <w:keepLines w:val="0"/>
                    <w:pageBreakBefore w:val="0"/>
                    <w:widowControl/>
                    <w:kinsoku/>
                    <w:wordWrap/>
                    <w:overflowPunct/>
                    <w:topLinePunct w:val="0"/>
                    <w:bidi w:val="0"/>
                    <w:adjustRightInd w:val="0"/>
                    <w:snapToGrid w:val="0"/>
                    <w:jc w:val="center"/>
                    <w:rPr>
                      <w:rFonts w:hint="eastAsia" w:ascii="宋体" w:hAnsi="宋体" w:cs="宋体"/>
                      <w:color w:val="auto"/>
                      <w:szCs w:val="21"/>
                    </w:rPr>
                  </w:pPr>
                  <w:r>
                    <w:rPr>
                      <w:rFonts w:hint="eastAsia" w:ascii="宋体" w:hAnsi="宋体" w:cs="宋体"/>
                      <w:color w:val="auto"/>
                      <w:szCs w:val="21"/>
                    </w:rPr>
                    <w:t>总磷</w:t>
                  </w:r>
                </w:p>
              </w:tc>
              <w:tc>
                <w:tcPr>
                  <w:tcW w:w="785" w:type="pct"/>
                  <w:noWrap w:val="0"/>
                  <w:vAlign w:val="center"/>
                </w:tcPr>
                <w:p w14:paraId="6F859B17">
                  <w:pPr>
                    <w:keepNext w:val="0"/>
                    <w:keepLines w:val="0"/>
                    <w:pageBreakBefore w:val="0"/>
                    <w:widowControl/>
                    <w:kinsoku/>
                    <w:wordWrap/>
                    <w:overflowPunct/>
                    <w:topLinePunct w:val="0"/>
                    <w:bidi w:val="0"/>
                    <w:adjustRightInd w:val="0"/>
                    <w:snapToGrid w:val="0"/>
                    <w:jc w:val="center"/>
                    <w:rPr>
                      <w:color w:val="auto"/>
                      <w:szCs w:val="21"/>
                    </w:rPr>
                  </w:pPr>
                  <w:r>
                    <w:rPr>
                      <w:rFonts w:hint="eastAsia"/>
                      <w:color w:val="auto"/>
                      <w:szCs w:val="21"/>
                    </w:rPr>
                    <w:t>0.5</w:t>
                  </w:r>
                </w:p>
              </w:tc>
            </w:tr>
            <w:tr w14:paraId="2F63EE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7" w:type="pct"/>
                  <w:vMerge w:val="continue"/>
                  <w:noWrap w:val="0"/>
                  <w:vAlign w:val="center"/>
                </w:tcPr>
                <w:p w14:paraId="3F865370">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720" w:type="pct"/>
                  <w:vMerge w:val="continue"/>
                  <w:noWrap w:val="0"/>
                  <w:vAlign w:val="center"/>
                </w:tcPr>
                <w:p w14:paraId="5EF6427B">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666" w:type="pct"/>
                  <w:vMerge w:val="continue"/>
                  <w:noWrap w:val="0"/>
                  <w:vAlign w:val="center"/>
                </w:tcPr>
                <w:p w14:paraId="3A42858B">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382" w:type="pct"/>
                  <w:vMerge w:val="continue"/>
                  <w:noWrap w:val="0"/>
                  <w:vAlign w:val="center"/>
                </w:tcPr>
                <w:p w14:paraId="7C24CF85">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391" w:type="pct"/>
                  <w:vMerge w:val="continue"/>
                  <w:noWrap w:val="0"/>
                  <w:vAlign w:val="center"/>
                </w:tcPr>
                <w:p w14:paraId="0AC74244">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400" w:type="pct"/>
                  <w:vMerge w:val="continue"/>
                  <w:noWrap w:val="0"/>
                  <w:vAlign w:val="center"/>
                </w:tcPr>
                <w:p w14:paraId="74F396D9">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391" w:type="pct"/>
                  <w:vMerge w:val="continue"/>
                  <w:noWrap w:val="0"/>
                  <w:vAlign w:val="center"/>
                </w:tcPr>
                <w:p w14:paraId="79D17005">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400" w:type="pct"/>
                  <w:vMerge w:val="continue"/>
                  <w:noWrap w:val="0"/>
                  <w:vAlign w:val="center"/>
                </w:tcPr>
                <w:p w14:paraId="3E007582">
                  <w:pPr>
                    <w:keepNext w:val="0"/>
                    <w:keepLines w:val="0"/>
                    <w:pageBreakBefore w:val="0"/>
                    <w:widowControl/>
                    <w:kinsoku/>
                    <w:wordWrap/>
                    <w:overflowPunct/>
                    <w:topLinePunct w:val="0"/>
                    <w:bidi w:val="0"/>
                    <w:adjustRightInd w:val="0"/>
                    <w:snapToGrid w:val="0"/>
                    <w:jc w:val="center"/>
                    <w:rPr>
                      <w:rFonts w:ascii="宋体" w:hAnsi="宋体" w:cs="宋体"/>
                      <w:color w:val="auto"/>
                      <w:szCs w:val="21"/>
                    </w:rPr>
                  </w:pPr>
                </w:p>
              </w:tc>
              <w:tc>
                <w:tcPr>
                  <w:tcW w:w="515" w:type="pct"/>
                  <w:noWrap w:val="0"/>
                  <w:vAlign w:val="center"/>
                </w:tcPr>
                <w:p w14:paraId="0D30297B">
                  <w:pPr>
                    <w:keepNext w:val="0"/>
                    <w:keepLines w:val="0"/>
                    <w:pageBreakBefore w:val="0"/>
                    <w:widowControl/>
                    <w:kinsoku/>
                    <w:wordWrap/>
                    <w:overflowPunct/>
                    <w:topLinePunct w:val="0"/>
                    <w:bidi w:val="0"/>
                    <w:adjustRightInd w:val="0"/>
                    <w:snapToGrid w:val="0"/>
                    <w:jc w:val="center"/>
                    <w:rPr>
                      <w:rFonts w:hint="eastAsia" w:ascii="宋体" w:hAnsi="宋体" w:eastAsia="宋体" w:cs="宋体"/>
                      <w:color w:val="auto"/>
                      <w:szCs w:val="21"/>
                      <w:lang w:val="en-US" w:eastAsia="zh-CN"/>
                    </w:rPr>
                  </w:pPr>
                  <w:r>
                    <w:rPr>
                      <w:rFonts w:hint="eastAsia" w:ascii="宋体" w:hAnsi="宋体" w:cs="宋体"/>
                      <w:color w:val="auto"/>
                      <w:szCs w:val="21"/>
                      <w:lang w:val="en-US" w:eastAsia="zh-CN"/>
                    </w:rPr>
                    <w:t>氟化物</w:t>
                  </w:r>
                </w:p>
              </w:tc>
              <w:tc>
                <w:tcPr>
                  <w:tcW w:w="785" w:type="pct"/>
                  <w:noWrap w:val="0"/>
                  <w:vAlign w:val="center"/>
                </w:tcPr>
                <w:p w14:paraId="50311212">
                  <w:pPr>
                    <w:keepNext w:val="0"/>
                    <w:keepLines w:val="0"/>
                    <w:pageBreakBefore w:val="0"/>
                    <w:widowControl/>
                    <w:kinsoku/>
                    <w:wordWrap/>
                    <w:overflowPunct/>
                    <w:topLinePunct w:val="0"/>
                    <w:bidi w:val="0"/>
                    <w:adjustRightInd w:val="0"/>
                    <w:snapToGrid w:val="0"/>
                    <w:jc w:val="center"/>
                    <w:rPr>
                      <w:rFonts w:hint="default" w:eastAsia="宋体"/>
                      <w:color w:val="auto"/>
                      <w:szCs w:val="21"/>
                      <w:lang w:val="en-US" w:eastAsia="zh-CN"/>
                    </w:rPr>
                  </w:pPr>
                  <w:r>
                    <w:rPr>
                      <w:rFonts w:hint="eastAsia"/>
                      <w:color w:val="auto"/>
                      <w:szCs w:val="21"/>
                      <w:lang w:val="en-US" w:eastAsia="zh-CN"/>
                    </w:rPr>
                    <w:t>1.5</w:t>
                  </w:r>
                </w:p>
              </w:tc>
            </w:tr>
          </w:tbl>
          <w:p w14:paraId="4CA9741F">
            <w:pPr>
              <w:keepNext w:val="0"/>
              <w:keepLines w:val="0"/>
              <w:pageBreakBefore w:val="0"/>
              <w:widowControl w:val="0"/>
              <w:kinsoku/>
              <w:wordWrap/>
              <w:overflowPunct/>
              <w:topLinePunct w:val="0"/>
              <w:autoSpaceDE/>
              <w:autoSpaceDN/>
              <w:bidi w:val="0"/>
              <w:adjustRightInd w:val="0"/>
              <w:snapToGrid w:val="0"/>
              <w:spacing w:before="120" w:beforeLines="50" w:line="360" w:lineRule="auto"/>
              <w:jc w:val="both"/>
              <w:textAlignment w:val="auto"/>
              <w:rPr>
                <w:rFonts w:hint="eastAsia" w:ascii="Times New Roman" w:hAnsi="Times New Roman"/>
                <w:b/>
                <w:bCs/>
                <w:color w:val="auto"/>
                <w:szCs w:val="21"/>
                <w:lang w:val="en-US" w:eastAsia="zh-CN"/>
              </w:rPr>
            </w:pPr>
            <w:r>
              <w:rPr>
                <w:rFonts w:hint="eastAsia" w:ascii="Times New Roman" w:hAnsi="Times New Roman"/>
                <w:b/>
                <w:bCs/>
                <w:color w:val="auto"/>
                <w:szCs w:val="21"/>
                <w:lang w:val="en-US" w:eastAsia="zh-CN"/>
              </w:rPr>
              <w:t>2.2废水污染物排放信息</w:t>
            </w:r>
          </w:p>
          <w:p w14:paraId="1E991686">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default" w:ascii="Times New Roman" w:hAnsi="Times New Roman"/>
                <w:b w:val="0"/>
                <w:bCs w:val="0"/>
                <w:color w:val="auto"/>
                <w:szCs w:val="21"/>
                <w:lang w:val="en-US" w:eastAsia="zh-CN"/>
              </w:rPr>
            </w:pPr>
            <w:r>
              <w:rPr>
                <w:rFonts w:hint="eastAsia" w:ascii="Times New Roman" w:hAnsi="Times New Roman"/>
                <w:b w:val="0"/>
                <w:bCs w:val="0"/>
                <w:color w:val="auto"/>
                <w:szCs w:val="21"/>
                <w:lang w:val="en-US" w:eastAsia="zh-CN"/>
              </w:rPr>
              <w:t>废水污染物排放信息见下表。</w:t>
            </w:r>
          </w:p>
          <w:p w14:paraId="150B563E">
            <w:pPr>
              <w:keepNext w:val="0"/>
              <w:keepLines w:val="0"/>
              <w:pageBreakBefore w:val="0"/>
              <w:kinsoku/>
              <w:wordWrap/>
              <w:overflowPunct/>
              <w:topLinePunct w:val="0"/>
              <w:bidi w:val="0"/>
              <w:adjustRightInd w:val="0"/>
              <w:snapToGrid w:val="0"/>
              <w:spacing w:before="120" w:beforeLines="50"/>
              <w:jc w:val="center"/>
              <w:rPr>
                <w:rFonts w:ascii="Times New Roman" w:hAnsi="Times New Roman"/>
                <w:b/>
                <w:bCs/>
                <w:color w:val="auto"/>
                <w:szCs w:val="21"/>
              </w:rPr>
            </w:pPr>
            <w:r>
              <w:rPr>
                <w:rFonts w:ascii="Times New Roman" w:hAnsi="Times New Roman"/>
                <w:b/>
                <w:bCs/>
                <w:color w:val="auto"/>
                <w:szCs w:val="21"/>
              </w:rPr>
              <w:t>表</w:t>
            </w:r>
            <w:r>
              <w:rPr>
                <w:rFonts w:hint="eastAsia"/>
                <w:b/>
                <w:bCs/>
                <w:color w:val="auto"/>
                <w:szCs w:val="21"/>
              </w:rPr>
              <w:t>4-</w:t>
            </w:r>
            <w:r>
              <w:rPr>
                <w:rFonts w:hint="eastAsia"/>
                <w:b/>
                <w:bCs/>
                <w:color w:val="auto"/>
                <w:szCs w:val="21"/>
                <w:lang w:val="en-US" w:eastAsia="zh-CN"/>
              </w:rPr>
              <w:t>18</w:t>
            </w:r>
            <w:r>
              <w:rPr>
                <w:rFonts w:hint="eastAsia"/>
                <w:b/>
                <w:bCs/>
                <w:color w:val="auto"/>
                <w:szCs w:val="21"/>
              </w:rPr>
              <w:t xml:space="preserve"> </w:t>
            </w:r>
            <w:r>
              <w:rPr>
                <w:rFonts w:ascii="Times New Roman" w:hAnsi="Times New Roman"/>
                <w:b/>
                <w:bCs/>
                <w:color w:val="auto"/>
                <w:szCs w:val="21"/>
              </w:rPr>
              <w:t>废水污染物排放信息表</w:t>
            </w:r>
          </w:p>
          <w:tbl>
            <w:tblPr>
              <w:tblStyle w:val="30"/>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8"/>
              <w:gridCol w:w="900"/>
              <w:gridCol w:w="945"/>
              <w:gridCol w:w="1080"/>
              <w:gridCol w:w="1290"/>
              <w:gridCol w:w="1290"/>
              <w:gridCol w:w="1125"/>
              <w:gridCol w:w="1098"/>
            </w:tblGrid>
            <w:tr w14:paraId="04B330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pct"/>
                  <w:noWrap w:val="0"/>
                  <w:vAlign w:val="center"/>
                </w:tcPr>
                <w:p w14:paraId="13975FC1">
                  <w:pPr>
                    <w:keepNext w:val="0"/>
                    <w:keepLines w:val="0"/>
                    <w:pageBreakBefore w:val="0"/>
                    <w:widowControl/>
                    <w:kinsoku/>
                    <w:wordWrap/>
                    <w:overflowPunct/>
                    <w:topLinePunct w:val="0"/>
                    <w:bidi w:val="0"/>
                    <w:adjustRightInd w:val="0"/>
                    <w:snapToGrid w:val="0"/>
                    <w:contextualSpacing/>
                    <w:jc w:val="center"/>
                    <w:rPr>
                      <w:rFonts w:ascii="宋体" w:hAnsi="宋体" w:cs="宋体"/>
                      <w:b/>
                      <w:bCs/>
                      <w:color w:val="auto"/>
                      <w:kern w:val="0"/>
                      <w:szCs w:val="21"/>
                    </w:rPr>
                  </w:pPr>
                  <w:r>
                    <w:rPr>
                      <w:rFonts w:hint="eastAsia" w:ascii="宋体" w:hAnsi="宋体" w:cs="宋体"/>
                      <w:b/>
                      <w:bCs/>
                      <w:color w:val="auto"/>
                      <w:kern w:val="0"/>
                      <w:szCs w:val="21"/>
                    </w:rPr>
                    <w:t>序号</w:t>
                  </w:r>
                </w:p>
              </w:tc>
              <w:tc>
                <w:tcPr>
                  <w:tcW w:w="529" w:type="pct"/>
                  <w:noWrap w:val="0"/>
                  <w:vAlign w:val="center"/>
                </w:tcPr>
                <w:p w14:paraId="7FF851F1">
                  <w:pPr>
                    <w:keepNext w:val="0"/>
                    <w:keepLines w:val="0"/>
                    <w:pageBreakBefore w:val="0"/>
                    <w:widowControl/>
                    <w:kinsoku/>
                    <w:wordWrap/>
                    <w:overflowPunct/>
                    <w:topLinePunct w:val="0"/>
                    <w:bidi w:val="0"/>
                    <w:adjustRightInd w:val="0"/>
                    <w:snapToGrid w:val="0"/>
                    <w:contextualSpacing/>
                    <w:jc w:val="center"/>
                    <w:rPr>
                      <w:rFonts w:ascii="宋体" w:hAnsi="宋体" w:cs="宋体"/>
                      <w:b/>
                      <w:bCs/>
                      <w:color w:val="auto"/>
                      <w:kern w:val="0"/>
                      <w:szCs w:val="21"/>
                    </w:rPr>
                  </w:pPr>
                  <w:r>
                    <w:rPr>
                      <w:rFonts w:hint="eastAsia" w:ascii="宋体" w:hAnsi="宋体" w:cs="宋体"/>
                      <w:b/>
                      <w:bCs/>
                      <w:color w:val="auto"/>
                      <w:kern w:val="0"/>
                      <w:szCs w:val="21"/>
                    </w:rPr>
                    <w:t>排放口编号</w:t>
                  </w:r>
                </w:p>
              </w:tc>
              <w:tc>
                <w:tcPr>
                  <w:tcW w:w="556" w:type="pct"/>
                  <w:noWrap w:val="0"/>
                  <w:vAlign w:val="center"/>
                </w:tcPr>
                <w:p w14:paraId="253641F9">
                  <w:pPr>
                    <w:keepNext w:val="0"/>
                    <w:keepLines w:val="0"/>
                    <w:pageBreakBefore w:val="0"/>
                    <w:widowControl/>
                    <w:kinsoku/>
                    <w:wordWrap/>
                    <w:overflowPunct/>
                    <w:topLinePunct w:val="0"/>
                    <w:bidi w:val="0"/>
                    <w:adjustRightInd w:val="0"/>
                    <w:snapToGrid w:val="0"/>
                    <w:contextualSpacing/>
                    <w:jc w:val="center"/>
                    <w:rPr>
                      <w:rFonts w:ascii="宋体" w:hAnsi="宋体" w:cs="宋体"/>
                      <w:b/>
                      <w:bCs/>
                      <w:color w:val="auto"/>
                      <w:kern w:val="0"/>
                      <w:szCs w:val="21"/>
                    </w:rPr>
                  </w:pPr>
                  <w:r>
                    <w:rPr>
                      <w:rFonts w:hint="eastAsia" w:ascii="宋体" w:hAnsi="宋体" w:cs="宋体"/>
                      <w:b/>
                      <w:bCs/>
                      <w:color w:val="auto"/>
                      <w:kern w:val="0"/>
                      <w:szCs w:val="21"/>
                    </w:rPr>
                    <w:t>污染物种类</w:t>
                  </w:r>
                </w:p>
              </w:tc>
              <w:tc>
                <w:tcPr>
                  <w:tcW w:w="635" w:type="pct"/>
                  <w:noWrap w:val="0"/>
                  <w:vAlign w:val="center"/>
                </w:tcPr>
                <w:p w14:paraId="268B661B">
                  <w:pPr>
                    <w:keepNext w:val="0"/>
                    <w:keepLines w:val="0"/>
                    <w:pageBreakBefore w:val="0"/>
                    <w:widowControl/>
                    <w:kinsoku/>
                    <w:wordWrap/>
                    <w:overflowPunct/>
                    <w:topLinePunct w:val="0"/>
                    <w:bidi w:val="0"/>
                    <w:adjustRightInd w:val="0"/>
                    <w:snapToGrid w:val="0"/>
                    <w:contextualSpacing/>
                    <w:jc w:val="center"/>
                    <w:rPr>
                      <w:rFonts w:ascii="宋体" w:hAnsi="宋体" w:cs="宋体"/>
                      <w:b/>
                      <w:bCs/>
                      <w:color w:val="auto"/>
                      <w:kern w:val="0"/>
                      <w:szCs w:val="21"/>
                    </w:rPr>
                  </w:pPr>
                  <w:r>
                    <w:rPr>
                      <w:rFonts w:hint="eastAsia" w:ascii="宋体" w:hAnsi="宋体" w:cs="宋体"/>
                      <w:b/>
                      <w:bCs/>
                      <w:color w:val="auto"/>
                      <w:kern w:val="0"/>
                      <w:szCs w:val="21"/>
                    </w:rPr>
                    <w:t>排放浓度（</w:t>
                  </w:r>
                  <w:r>
                    <w:rPr>
                      <w:b/>
                      <w:bCs/>
                      <w:color w:val="auto"/>
                      <w:kern w:val="0"/>
                      <w:szCs w:val="21"/>
                    </w:rPr>
                    <w:t>mg/L</w:t>
                  </w:r>
                  <w:r>
                    <w:rPr>
                      <w:rFonts w:hint="eastAsia" w:ascii="宋体" w:hAnsi="宋体" w:cs="宋体"/>
                      <w:b/>
                      <w:bCs/>
                      <w:color w:val="auto"/>
                      <w:kern w:val="0"/>
                      <w:szCs w:val="21"/>
                    </w:rPr>
                    <w:t>）</w:t>
                  </w:r>
                </w:p>
              </w:tc>
              <w:tc>
                <w:tcPr>
                  <w:tcW w:w="759" w:type="pct"/>
                  <w:noWrap w:val="0"/>
                  <w:vAlign w:val="center"/>
                </w:tcPr>
                <w:p w14:paraId="5C04E0FC">
                  <w:pPr>
                    <w:pStyle w:val="10"/>
                    <w:keepNext w:val="0"/>
                    <w:keepLines w:val="0"/>
                    <w:pageBreakBefore w:val="0"/>
                    <w:kinsoku/>
                    <w:wordWrap/>
                    <w:overflowPunct/>
                    <w:topLinePunct w:val="0"/>
                    <w:bidi w:val="0"/>
                    <w:snapToGrid w:val="0"/>
                    <w:spacing w:before="0" w:after="0" w:line="240" w:lineRule="auto"/>
                    <w:ind w:right="0"/>
                    <w:jc w:val="center"/>
                    <w:rPr>
                      <w:rFonts w:hint="eastAsia"/>
                      <w:b/>
                      <w:color w:val="auto"/>
                      <w:sz w:val="21"/>
                      <w:szCs w:val="21"/>
                    </w:rPr>
                  </w:pPr>
                  <w:r>
                    <w:rPr>
                      <w:rFonts w:hint="eastAsia"/>
                      <w:b/>
                      <w:color w:val="auto"/>
                      <w:sz w:val="21"/>
                      <w:szCs w:val="21"/>
                      <w:lang w:val="en-US" w:eastAsia="zh-CN"/>
                    </w:rPr>
                    <w:t>新增</w:t>
                  </w:r>
                  <w:r>
                    <w:rPr>
                      <w:rFonts w:hint="eastAsia"/>
                      <w:b/>
                      <w:color w:val="auto"/>
                      <w:sz w:val="21"/>
                      <w:szCs w:val="21"/>
                    </w:rPr>
                    <w:t>日</w:t>
                  </w:r>
                  <w:r>
                    <w:rPr>
                      <w:b/>
                      <w:color w:val="auto"/>
                      <w:sz w:val="21"/>
                      <w:szCs w:val="21"/>
                    </w:rPr>
                    <w:t>排放量（</w:t>
                  </w:r>
                  <w:r>
                    <w:rPr>
                      <w:rFonts w:hint="eastAsia"/>
                      <w:b/>
                      <w:color w:val="auto"/>
                      <w:sz w:val="21"/>
                      <w:szCs w:val="21"/>
                    </w:rPr>
                    <w:t>kg</w:t>
                  </w:r>
                  <w:r>
                    <w:rPr>
                      <w:b/>
                      <w:color w:val="auto"/>
                      <w:sz w:val="21"/>
                      <w:szCs w:val="21"/>
                    </w:rPr>
                    <w:t>/</w:t>
                  </w:r>
                  <w:r>
                    <w:rPr>
                      <w:rFonts w:hint="eastAsia"/>
                      <w:b/>
                      <w:color w:val="auto"/>
                      <w:sz w:val="21"/>
                      <w:szCs w:val="21"/>
                    </w:rPr>
                    <w:t>d）</w:t>
                  </w:r>
                </w:p>
              </w:tc>
              <w:tc>
                <w:tcPr>
                  <w:tcW w:w="759" w:type="pct"/>
                  <w:noWrap w:val="0"/>
                  <w:vAlign w:val="center"/>
                </w:tcPr>
                <w:p w14:paraId="0D7D5DA0">
                  <w:pPr>
                    <w:pStyle w:val="10"/>
                    <w:keepNext w:val="0"/>
                    <w:keepLines w:val="0"/>
                    <w:pageBreakBefore w:val="0"/>
                    <w:kinsoku/>
                    <w:wordWrap/>
                    <w:overflowPunct/>
                    <w:topLinePunct w:val="0"/>
                    <w:bidi w:val="0"/>
                    <w:snapToGrid w:val="0"/>
                    <w:spacing w:before="0" w:after="0" w:line="240" w:lineRule="auto"/>
                    <w:ind w:right="0"/>
                    <w:jc w:val="center"/>
                    <w:rPr>
                      <w:rFonts w:hint="default" w:eastAsia="宋体"/>
                      <w:b/>
                      <w:color w:val="auto"/>
                      <w:sz w:val="21"/>
                      <w:szCs w:val="21"/>
                      <w:lang w:val="en-US" w:eastAsia="zh-CN"/>
                    </w:rPr>
                  </w:pPr>
                  <w:r>
                    <w:rPr>
                      <w:rFonts w:hint="eastAsia"/>
                      <w:b/>
                      <w:color w:val="auto"/>
                      <w:sz w:val="21"/>
                      <w:szCs w:val="21"/>
                      <w:lang w:val="en-US" w:eastAsia="zh-CN"/>
                    </w:rPr>
                    <w:t>全厂日排放量（kg/d）</w:t>
                  </w:r>
                </w:p>
              </w:tc>
              <w:tc>
                <w:tcPr>
                  <w:tcW w:w="662" w:type="pct"/>
                  <w:noWrap w:val="0"/>
                  <w:vAlign w:val="center"/>
                </w:tcPr>
                <w:p w14:paraId="1AFC515E">
                  <w:pPr>
                    <w:pStyle w:val="10"/>
                    <w:keepNext w:val="0"/>
                    <w:keepLines w:val="0"/>
                    <w:pageBreakBefore w:val="0"/>
                    <w:kinsoku/>
                    <w:wordWrap/>
                    <w:overflowPunct/>
                    <w:topLinePunct w:val="0"/>
                    <w:bidi w:val="0"/>
                    <w:snapToGrid w:val="0"/>
                    <w:spacing w:before="0" w:after="0" w:line="240" w:lineRule="auto"/>
                    <w:ind w:right="0"/>
                    <w:jc w:val="center"/>
                    <w:rPr>
                      <w:rFonts w:hint="eastAsia"/>
                      <w:b/>
                      <w:color w:val="auto"/>
                      <w:sz w:val="21"/>
                      <w:szCs w:val="21"/>
                    </w:rPr>
                  </w:pPr>
                  <w:r>
                    <w:rPr>
                      <w:rFonts w:hint="eastAsia"/>
                      <w:b/>
                      <w:color w:val="auto"/>
                      <w:sz w:val="21"/>
                      <w:szCs w:val="21"/>
                      <w:lang w:val="en-US" w:eastAsia="zh-CN"/>
                    </w:rPr>
                    <w:t>新增</w:t>
                  </w:r>
                  <w:r>
                    <w:rPr>
                      <w:b/>
                      <w:color w:val="auto"/>
                      <w:sz w:val="21"/>
                      <w:szCs w:val="21"/>
                    </w:rPr>
                    <w:t>年排放量（</w:t>
                  </w:r>
                  <w:r>
                    <w:rPr>
                      <w:rFonts w:hint="eastAsia"/>
                      <w:b/>
                      <w:color w:val="auto"/>
                      <w:sz w:val="21"/>
                      <w:szCs w:val="21"/>
                    </w:rPr>
                    <w:t>t</w:t>
                  </w:r>
                  <w:r>
                    <w:rPr>
                      <w:b/>
                      <w:color w:val="auto"/>
                      <w:sz w:val="21"/>
                      <w:szCs w:val="21"/>
                    </w:rPr>
                    <w:t>/</w:t>
                  </w:r>
                  <w:r>
                    <w:rPr>
                      <w:rFonts w:hint="eastAsia"/>
                      <w:b/>
                      <w:color w:val="auto"/>
                      <w:sz w:val="21"/>
                      <w:szCs w:val="21"/>
                    </w:rPr>
                    <w:t>a）</w:t>
                  </w:r>
                </w:p>
              </w:tc>
              <w:tc>
                <w:tcPr>
                  <w:tcW w:w="646" w:type="pct"/>
                  <w:noWrap w:val="0"/>
                  <w:vAlign w:val="center"/>
                </w:tcPr>
                <w:p w14:paraId="77BFACA5">
                  <w:pPr>
                    <w:pStyle w:val="10"/>
                    <w:keepNext w:val="0"/>
                    <w:keepLines w:val="0"/>
                    <w:pageBreakBefore w:val="0"/>
                    <w:kinsoku/>
                    <w:wordWrap/>
                    <w:overflowPunct/>
                    <w:topLinePunct w:val="0"/>
                    <w:bidi w:val="0"/>
                    <w:snapToGrid w:val="0"/>
                    <w:spacing w:before="0" w:after="0" w:line="240" w:lineRule="auto"/>
                    <w:ind w:right="0"/>
                    <w:jc w:val="center"/>
                    <w:rPr>
                      <w:rFonts w:hint="default" w:eastAsia="宋体"/>
                      <w:b/>
                      <w:color w:val="auto"/>
                      <w:sz w:val="21"/>
                      <w:szCs w:val="21"/>
                      <w:lang w:val="en-US" w:eastAsia="zh-CN"/>
                    </w:rPr>
                  </w:pPr>
                  <w:r>
                    <w:rPr>
                      <w:rFonts w:hint="eastAsia"/>
                      <w:b/>
                      <w:color w:val="auto"/>
                      <w:sz w:val="21"/>
                      <w:szCs w:val="21"/>
                      <w:lang w:val="en-US" w:eastAsia="zh-CN"/>
                    </w:rPr>
                    <w:t>全厂年排放量（t/a）</w:t>
                  </w:r>
                </w:p>
              </w:tc>
            </w:tr>
            <w:tr w14:paraId="159742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pct"/>
                  <w:vMerge w:val="restart"/>
                  <w:noWrap w:val="0"/>
                  <w:vAlign w:val="center"/>
                </w:tcPr>
                <w:p w14:paraId="0D00A408">
                  <w:pPr>
                    <w:keepNext w:val="0"/>
                    <w:keepLines w:val="0"/>
                    <w:pageBreakBefore w:val="0"/>
                    <w:kinsoku/>
                    <w:wordWrap/>
                    <w:overflowPunct/>
                    <w:topLinePunct w:val="0"/>
                    <w:bidi w:val="0"/>
                    <w:snapToGrid w:val="0"/>
                    <w:spacing w:before="120" w:beforeLines="50" w:line="360" w:lineRule="auto"/>
                    <w:jc w:val="center"/>
                    <w:rPr>
                      <w:rFonts w:hint="eastAsia"/>
                      <w:color w:val="auto"/>
                      <w:szCs w:val="21"/>
                    </w:rPr>
                  </w:pPr>
                  <w:r>
                    <w:rPr>
                      <w:rFonts w:hint="eastAsia"/>
                      <w:color w:val="auto"/>
                      <w:szCs w:val="21"/>
                    </w:rPr>
                    <w:t>1</w:t>
                  </w:r>
                </w:p>
              </w:tc>
              <w:tc>
                <w:tcPr>
                  <w:tcW w:w="529" w:type="pct"/>
                  <w:vMerge w:val="restart"/>
                  <w:noWrap w:val="0"/>
                  <w:vAlign w:val="center"/>
                </w:tcPr>
                <w:p w14:paraId="353B3EC7">
                  <w:pPr>
                    <w:keepNext w:val="0"/>
                    <w:keepLines w:val="0"/>
                    <w:pageBreakBefore w:val="0"/>
                    <w:kinsoku/>
                    <w:wordWrap/>
                    <w:overflowPunct/>
                    <w:topLinePunct w:val="0"/>
                    <w:bidi w:val="0"/>
                    <w:snapToGrid w:val="0"/>
                    <w:spacing w:before="120" w:beforeLines="50" w:line="360" w:lineRule="auto"/>
                    <w:jc w:val="center"/>
                    <w:rPr>
                      <w:rFonts w:hint="eastAsia"/>
                      <w:color w:val="auto"/>
                      <w:szCs w:val="21"/>
                    </w:rPr>
                  </w:pPr>
                  <w:r>
                    <w:rPr>
                      <w:color w:val="auto"/>
                      <w:szCs w:val="21"/>
                    </w:rPr>
                    <w:t>DW001</w:t>
                  </w:r>
                </w:p>
              </w:tc>
              <w:tc>
                <w:tcPr>
                  <w:tcW w:w="556" w:type="pct"/>
                  <w:noWrap w:val="0"/>
                  <w:vAlign w:val="center"/>
                </w:tcPr>
                <w:p w14:paraId="270DD966">
                  <w:pPr>
                    <w:keepNext w:val="0"/>
                    <w:keepLines w:val="0"/>
                    <w:pageBreakBefore w:val="0"/>
                    <w:widowControl/>
                    <w:kinsoku/>
                    <w:wordWrap/>
                    <w:overflowPunct/>
                    <w:topLinePunct w:val="0"/>
                    <w:bidi w:val="0"/>
                    <w:adjustRightInd w:val="0"/>
                    <w:snapToGrid w:val="0"/>
                    <w:contextualSpacing/>
                    <w:jc w:val="center"/>
                    <w:rPr>
                      <w:rFonts w:hint="default" w:eastAsia="宋体"/>
                      <w:color w:val="auto"/>
                      <w:szCs w:val="21"/>
                      <w:lang w:val="en-US" w:eastAsia="zh-CN"/>
                    </w:rPr>
                  </w:pPr>
                  <w:r>
                    <w:rPr>
                      <w:rFonts w:hint="eastAsia"/>
                      <w:color w:val="auto"/>
                      <w:szCs w:val="21"/>
                      <w:lang w:val="en-US" w:eastAsia="zh-CN"/>
                    </w:rPr>
                    <w:t>废水量</w:t>
                  </w:r>
                </w:p>
              </w:tc>
              <w:tc>
                <w:tcPr>
                  <w:tcW w:w="635" w:type="pct"/>
                  <w:noWrap w:val="0"/>
                  <w:vAlign w:val="center"/>
                </w:tcPr>
                <w:p w14:paraId="6A7D1C52">
                  <w:pPr>
                    <w:keepNext w:val="0"/>
                    <w:keepLines w:val="0"/>
                    <w:pageBreakBefore w:val="0"/>
                    <w:kinsoku/>
                    <w:wordWrap/>
                    <w:overflowPunct/>
                    <w:topLinePunct w:val="0"/>
                    <w:bidi w:val="0"/>
                    <w:snapToGrid w:val="0"/>
                    <w:jc w:val="center"/>
                    <w:rPr>
                      <w:rFonts w:hint="eastAsia" w:eastAsia="宋体"/>
                      <w:bCs/>
                      <w:color w:val="auto"/>
                      <w:lang w:val="en-US" w:eastAsia="zh-CN"/>
                    </w:rPr>
                  </w:pPr>
                  <w:r>
                    <w:rPr>
                      <w:rFonts w:hint="eastAsia"/>
                      <w:bCs/>
                      <w:color w:val="auto"/>
                      <w:lang w:val="en-US" w:eastAsia="zh-CN"/>
                    </w:rPr>
                    <w:t>/</w:t>
                  </w:r>
                </w:p>
              </w:tc>
              <w:tc>
                <w:tcPr>
                  <w:tcW w:w="759" w:type="pct"/>
                  <w:noWrap w:val="0"/>
                  <w:vAlign w:val="center"/>
                </w:tcPr>
                <w:p w14:paraId="1BCBAFEE">
                  <w:pPr>
                    <w:keepNext w:val="0"/>
                    <w:keepLines w:val="0"/>
                    <w:pageBreakBefore w:val="0"/>
                    <w:widowControl/>
                    <w:kinsoku/>
                    <w:wordWrap/>
                    <w:overflowPunct/>
                    <w:topLinePunct w:val="0"/>
                    <w:bidi w:val="0"/>
                    <w:snapToGrid w:val="0"/>
                    <w:jc w:val="center"/>
                    <w:textAlignment w:val="center"/>
                    <w:rPr>
                      <w:rFonts w:hint="default"/>
                      <w:color w:val="auto"/>
                      <w:kern w:val="0"/>
                      <w:szCs w:val="21"/>
                      <w:lang w:val="en-US" w:eastAsia="zh-CN" w:bidi="ar"/>
                    </w:rPr>
                  </w:pPr>
                  <w:r>
                    <w:rPr>
                      <w:rFonts w:hint="eastAsia"/>
                      <w:color w:val="auto"/>
                      <w:kern w:val="0"/>
                      <w:szCs w:val="21"/>
                      <w:lang w:val="en-US" w:eastAsia="zh-CN" w:bidi="ar"/>
                    </w:rPr>
                    <w:t>7920</w:t>
                  </w:r>
                </w:p>
              </w:tc>
              <w:tc>
                <w:tcPr>
                  <w:tcW w:w="759" w:type="pct"/>
                  <w:noWrap w:val="0"/>
                  <w:vAlign w:val="center"/>
                </w:tcPr>
                <w:p w14:paraId="5521FE79">
                  <w:pPr>
                    <w:keepNext w:val="0"/>
                    <w:keepLines w:val="0"/>
                    <w:pageBreakBefore w:val="0"/>
                    <w:widowControl/>
                    <w:kinsoku/>
                    <w:wordWrap/>
                    <w:overflowPunct/>
                    <w:topLinePunct w:val="0"/>
                    <w:bidi w:val="0"/>
                    <w:snapToGrid w:val="0"/>
                    <w:jc w:val="center"/>
                    <w:textAlignment w:val="center"/>
                    <w:rPr>
                      <w:rFonts w:hint="default"/>
                      <w:color w:val="auto"/>
                      <w:kern w:val="0"/>
                      <w:szCs w:val="21"/>
                      <w:lang w:val="en-US" w:eastAsia="zh-CN" w:bidi="ar"/>
                    </w:rPr>
                  </w:pPr>
                  <w:r>
                    <w:rPr>
                      <w:rFonts w:hint="eastAsia"/>
                      <w:color w:val="auto"/>
                      <w:kern w:val="0"/>
                      <w:szCs w:val="21"/>
                      <w:lang w:val="en-US" w:eastAsia="zh-CN" w:bidi="ar"/>
                    </w:rPr>
                    <w:t>60544</w:t>
                  </w:r>
                </w:p>
              </w:tc>
              <w:tc>
                <w:tcPr>
                  <w:tcW w:w="662" w:type="pct"/>
                  <w:shd w:val="clear" w:color="auto" w:fill="auto"/>
                  <w:noWrap w:val="0"/>
                  <w:vAlign w:val="center"/>
                </w:tcPr>
                <w:p w14:paraId="7EC330C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b w:val="0"/>
                      <w:bCs/>
                      <w:color w:val="auto"/>
                      <w:kern w:val="0"/>
                      <w:szCs w:val="21"/>
                      <w:vertAlign w:val="baseline"/>
                      <w:lang w:val="en-US" w:eastAsia="zh-CN"/>
                    </w:rPr>
                  </w:pPr>
                  <w:r>
                    <w:rPr>
                      <w:rFonts w:hint="eastAsia"/>
                      <w:b w:val="0"/>
                      <w:bCs/>
                      <w:color w:val="auto"/>
                      <w:kern w:val="0"/>
                      <w:szCs w:val="21"/>
                      <w:vertAlign w:val="baseline"/>
                      <w:lang w:val="en-US" w:eastAsia="zh-CN"/>
                    </w:rPr>
                    <w:t>2376</w:t>
                  </w:r>
                </w:p>
              </w:tc>
              <w:tc>
                <w:tcPr>
                  <w:tcW w:w="646" w:type="pct"/>
                  <w:noWrap w:val="0"/>
                  <w:vAlign w:val="center"/>
                </w:tcPr>
                <w:p w14:paraId="37D65427">
                  <w:pPr>
                    <w:keepNext w:val="0"/>
                    <w:keepLines w:val="0"/>
                    <w:pageBreakBefore w:val="0"/>
                    <w:kinsoku/>
                    <w:wordWrap/>
                    <w:overflowPunct/>
                    <w:topLinePunct w:val="0"/>
                    <w:bidi w:val="0"/>
                    <w:snapToGrid w:val="0"/>
                    <w:jc w:val="center"/>
                    <w:rPr>
                      <w:rFonts w:hint="default"/>
                      <w:bCs/>
                      <w:color w:val="auto"/>
                      <w:lang w:val="en-US" w:eastAsia="zh-CN"/>
                    </w:rPr>
                  </w:pPr>
                  <w:r>
                    <w:rPr>
                      <w:rFonts w:hint="eastAsia"/>
                      <w:bCs/>
                      <w:color w:val="auto"/>
                      <w:lang w:val="en-US" w:eastAsia="zh-CN"/>
                    </w:rPr>
                    <w:t>18163.2</w:t>
                  </w:r>
                </w:p>
              </w:tc>
            </w:tr>
            <w:tr w14:paraId="7F8EB5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pct"/>
                  <w:vMerge w:val="continue"/>
                  <w:noWrap w:val="0"/>
                  <w:vAlign w:val="center"/>
                </w:tcPr>
                <w:p w14:paraId="27B664E6">
                  <w:pPr>
                    <w:keepNext w:val="0"/>
                    <w:keepLines w:val="0"/>
                    <w:pageBreakBefore w:val="0"/>
                    <w:kinsoku/>
                    <w:wordWrap/>
                    <w:overflowPunct/>
                    <w:topLinePunct w:val="0"/>
                    <w:bidi w:val="0"/>
                    <w:snapToGrid w:val="0"/>
                    <w:spacing w:before="120" w:beforeLines="50" w:line="360" w:lineRule="auto"/>
                    <w:jc w:val="center"/>
                    <w:rPr>
                      <w:rFonts w:hint="eastAsia"/>
                      <w:color w:val="auto"/>
                      <w:szCs w:val="21"/>
                    </w:rPr>
                  </w:pPr>
                </w:p>
              </w:tc>
              <w:tc>
                <w:tcPr>
                  <w:tcW w:w="529" w:type="pct"/>
                  <w:vMerge w:val="continue"/>
                  <w:noWrap w:val="0"/>
                  <w:vAlign w:val="center"/>
                </w:tcPr>
                <w:p w14:paraId="42BC7216">
                  <w:pPr>
                    <w:keepNext w:val="0"/>
                    <w:keepLines w:val="0"/>
                    <w:pageBreakBefore w:val="0"/>
                    <w:kinsoku/>
                    <w:wordWrap/>
                    <w:overflowPunct/>
                    <w:topLinePunct w:val="0"/>
                    <w:bidi w:val="0"/>
                    <w:snapToGrid w:val="0"/>
                    <w:spacing w:before="120" w:beforeLines="50" w:line="360" w:lineRule="auto"/>
                    <w:jc w:val="center"/>
                    <w:rPr>
                      <w:rFonts w:hint="eastAsia"/>
                      <w:color w:val="auto"/>
                      <w:szCs w:val="21"/>
                    </w:rPr>
                  </w:pPr>
                </w:p>
              </w:tc>
              <w:tc>
                <w:tcPr>
                  <w:tcW w:w="556" w:type="pct"/>
                  <w:noWrap w:val="0"/>
                  <w:vAlign w:val="center"/>
                </w:tcPr>
                <w:p w14:paraId="66650D0F">
                  <w:pPr>
                    <w:keepNext w:val="0"/>
                    <w:keepLines w:val="0"/>
                    <w:pageBreakBefore w:val="0"/>
                    <w:widowControl/>
                    <w:kinsoku/>
                    <w:wordWrap/>
                    <w:overflowPunct/>
                    <w:topLinePunct w:val="0"/>
                    <w:bidi w:val="0"/>
                    <w:adjustRightInd w:val="0"/>
                    <w:snapToGrid w:val="0"/>
                    <w:contextualSpacing/>
                    <w:jc w:val="center"/>
                    <w:rPr>
                      <w:color w:val="auto"/>
                      <w:szCs w:val="21"/>
                    </w:rPr>
                  </w:pPr>
                  <w:r>
                    <w:rPr>
                      <w:color w:val="auto"/>
                      <w:szCs w:val="21"/>
                    </w:rPr>
                    <w:t>COD</w:t>
                  </w:r>
                </w:p>
              </w:tc>
              <w:tc>
                <w:tcPr>
                  <w:tcW w:w="635" w:type="pct"/>
                  <w:shd w:val="clear" w:color="auto" w:fill="auto"/>
                  <w:noWrap w:val="0"/>
                  <w:vAlign w:val="center"/>
                </w:tcPr>
                <w:p w14:paraId="1676F03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368.71</w:t>
                  </w:r>
                </w:p>
              </w:tc>
              <w:tc>
                <w:tcPr>
                  <w:tcW w:w="759" w:type="pct"/>
                  <w:noWrap w:val="0"/>
                  <w:vAlign w:val="center"/>
                </w:tcPr>
                <w:p w14:paraId="4BABBCF9">
                  <w:pPr>
                    <w:keepNext w:val="0"/>
                    <w:keepLines w:val="0"/>
                    <w:pageBreakBefore w:val="0"/>
                    <w:widowControl/>
                    <w:kinsoku/>
                    <w:wordWrap/>
                    <w:overflowPunct/>
                    <w:topLinePunct w:val="0"/>
                    <w:bidi w:val="0"/>
                    <w:snapToGrid w:val="0"/>
                    <w:jc w:val="center"/>
                    <w:textAlignment w:val="center"/>
                    <w:rPr>
                      <w:rFonts w:hint="default" w:ascii="Times New Roman" w:hAnsi="Times New Roman" w:eastAsia="宋体"/>
                      <w:color w:val="auto"/>
                      <w:kern w:val="0"/>
                      <w:szCs w:val="21"/>
                      <w:lang w:val="en-US" w:eastAsia="zh-CN" w:bidi="ar"/>
                    </w:rPr>
                  </w:pPr>
                  <w:r>
                    <w:rPr>
                      <w:rFonts w:hint="eastAsia"/>
                      <w:color w:val="auto"/>
                      <w:kern w:val="0"/>
                      <w:szCs w:val="21"/>
                      <w:lang w:val="en-US" w:eastAsia="zh-CN" w:bidi="ar"/>
                    </w:rPr>
                    <w:t>1.8</w:t>
                  </w:r>
                </w:p>
              </w:tc>
              <w:tc>
                <w:tcPr>
                  <w:tcW w:w="759" w:type="pct"/>
                  <w:noWrap w:val="0"/>
                  <w:vAlign w:val="center"/>
                </w:tcPr>
                <w:p w14:paraId="152DF540">
                  <w:pPr>
                    <w:keepNext w:val="0"/>
                    <w:keepLines w:val="0"/>
                    <w:pageBreakBefore w:val="0"/>
                    <w:widowControl/>
                    <w:kinsoku/>
                    <w:wordWrap/>
                    <w:overflowPunct/>
                    <w:topLinePunct w:val="0"/>
                    <w:bidi w:val="0"/>
                    <w:snapToGrid w:val="0"/>
                    <w:jc w:val="center"/>
                    <w:textAlignment w:val="center"/>
                    <w:rPr>
                      <w:rFonts w:hint="default" w:ascii="Times New Roman" w:hAnsi="Times New Roman" w:eastAsia="宋体"/>
                      <w:color w:val="auto"/>
                      <w:kern w:val="0"/>
                      <w:szCs w:val="21"/>
                      <w:lang w:val="en-US" w:eastAsia="zh-CN" w:bidi="ar"/>
                    </w:rPr>
                  </w:pPr>
                  <w:r>
                    <w:rPr>
                      <w:rFonts w:hint="eastAsia"/>
                      <w:color w:val="auto"/>
                      <w:kern w:val="0"/>
                      <w:szCs w:val="21"/>
                      <w:lang w:val="en-US" w:eastAsia="zh-CN" w:bidi="ar"/>
                    </w:rPr>
                    <w:t>22.32</w:t>
                  </w:r>
                </w:p>
              </w:tc>
              <w:tc>
                <w:tcPr>
                  <w:tcW w:w="662" w:type="pct"/>
                  <w:shd w:val="clear" w:color="auto" w:fill="auto"/>
                  <w:noWrap w:val="0"/>
                  <w:vAlign w:val="center"/>
                </w:tcPr>
                <w:p w14:paraId="13F2452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0.54</w:t>
                  </w:r>
                </w:p>
              </w:tc>
              <w:tc>
                <w:tcPr>
                  <w:tcW w:w="646" w:type="pct"/>
                  <w:shd w:val="clear" w:color="auto" w:fill="auto"/>
                  <w:noWrap w:val="0"/>
                  <w:vAlign w:val="center"/>
                </w:tcPr>
                <w:p w14:paraId="05724DF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6.697</w:t>
                  </w:r>
                </w:p>
              </w:tc>
            </w:tr>
            <w:tr w14:paraId="0C1307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pct"/>
                  <w:vMerge w:val="continue"/>
                  <w:noWrap w:val="0"/>
                  <w:vAlign w:val="center"/>
                </w:tcPr>
                <w:p w14:paraId="5C799000">
                  <w:pPr>
                    <w:keepNext w:val="0"/>
                    <w:keepLines w:val="0"/>
                    <w:pageBreakBefore w:val="0"/>
                    <w:kinsoku/>
                    <w:wordWrap/>
                    <w:overflowPunct/>
                    <w:topLinePunct w:val="0"/>
                    <w:bidi w:val="0"/>
                    <w:snapToGrid w:val="0"/>
                    <w:spacing w:before="120" w:beforeLines="50" w:line="360" w:lineRule="auto"/>
                    <w:jc w:val="center"/>
                    <w:rPr>
                      <w:rFonts w:hint="eastAsia"/>
                      <w:color w:val="auto"/>
                      <w:szCs w:val="21"/>
                    </w:rPr>
                  </w:pPr>
                </w:p>
              </w:tc>
              <w:tc>
                <w:tcPr>
                  <w:tcW w:w="529" w:type="pct"/>
                  <w:vMerge w:val="continue"/>
                  <w:noWrap w:val="0"/>
                  <w:vAlign w:val="center"/>
                </w:tcPr>
                <w:p w14:paraId="019A904C">
                  <w:pPr>
                    <w:keepNext w:val="0"/>
                    <w:keepLines w:val="0"/>
                    <w:pageBreakBefore w:val="0"/>
                    <w:kinsoku/>
                    <w:wordWrap/>
                    <w:overflowPunct/>
                    <w:topLinePunct w:val="0"/>
                    <w:bidi w:val="0"/>
                    <w:snapToGrid w:val="0"/>
                    <w:spacing w:before="120" w:beforeLines="50" w:line="360" w:lineRule="auto"/>
                    <w:jc w:val="center"/>
                    <w:rPr>
                      <w:color w:val="auto"/>
                      <w:szCs w:val="21"/>
                    </w:rPr>
                  </w:pPr>
                </w:p>
              </w:tc>
              <w:tc>
                <w:tcPr>
                  <w:tcW w:w="556" w:type="pct"/>
                  <w:noWrap w:val="0"/>
                  <w:vAlign w:val="center"/>
                </w:tcPr>
                <w:p w14:paraId="4FD8CCE8">
                  <w:pPr>
                    <w:keepNext w:val="0"/>
                    <w:keepLines w:val="0"/>
                    <w:pageBreakBefore w:val="0"/>
                    <w:widowControl/>
                    <w:kinsoku/>
                    <w:wordWrap/>
                    <w:overflowPunct/>
                    <w:topLinePunct w:val="0"/>
                    <w:bidi w:val="0"/>
                    <w:adjustRightInd w:val="0"/>
                    <w:snapToGrid w:val="0"/>
                    <w:contextualSpacing/>
                    <w:jc w:val="center"/>
                    <w:rPr>
                      <w:color w:val="auto"/>
                      <w:szCs w:val="21"/>
                    </w:rPr>
                  </w:pPr>
                  <w:r>
                    <w:rPr>
                      <w:rFonts w:hint="eastAsia"/>
                      <w:color w:val="auto"/>
                      <w:szCs w:val="21"/>
                    </w:rPr>
                    <w:t>BOD</w:t>
                  </w:r>
                  <w:r>
                    <w:rPr>
                      <w:rFonts w:hint="eastAsia"/>
                      <w:color w:val="auto"/>
                      <w:szCs w:val="21"/>
                      <w:vertAlign w:val="subscript"/>
                    </w:rPr>
                    <w:t>5</w:t>
                  </w:r>
                </w:p>
              </w:tc>
              <w:tc>
                <w:tcPr>
                  <w:tcW w:w="635" w:type="pct"/>
                  <w:shd w:val="clear" w:color="auto" w:fill="auto"/>
                  <w:noWrap w:val="0"/>
                  <w:vAlign w:val="center"/>
                </w:tcPr>
                <w:p w14:paraId="7025FF3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99.65</w:t>
                  </w:r>
                </w:p>
              </w:tc>
              <w:tc>
                <w:tcPr>
                  <w:tcW w:w="759" w:type="pct"/>
                  <w:noWrap w:val="0"/>
                  <w:vAlign w:val="center"/>
                </w:tcPr>
                <w:p w14:paraId="0BCC9153">
                  <w:pPr>
                    <w:keepNext w:val="0"/>
                    <w:keepLines w:val="0"/>
                    <w:pageBreakBefore w:val="0"/>
                    <w:kinsoku/>
                    <w:wordWrap/>
                    <w:overflowPunct/>
                    <w:topLinePunct w:val="0"/>
                    <w:bidi w:val="0"/>
                    <w:snapToGrid w:val="0"/>
                    <w:jc w:val="center"/>
                    <w:rPr>
                      <w:rFonts w:hint="default" w:eastAsia="宋体"/>
                      <w:bCs/>
                      <w:color w:val="auto"/>
                      <w:kern w:val="2"/>
                      <w:sz w:val="21"/>
                      <w:szCs w:val="24"/>
                      <w:lang w:val="en-US" w:eastAsia="zh-CN" w:bidi="ar-SA"/>
                    </w:rPr>
                  </w:pPr>
                  <w:r>
                    <w:rPr>
                      <w:rFonts w:hint="eastAsia"/>
                      <w:bCs/>
                      <w:color w:val="auto"/>
                      <w:kern w:val="2"/>
                      <w:sz w:val="21"/>
                      <w:szCs w:val="24"/>
                      <w:lang w:val="en-US" w:eastAsia="zh-CN" w:bidi="ar-SA"/>
                    </w:rPr>
                    <w:t>0.77</w:t>
                  </w:r>
                </w:p>
              </w:tc>
              <w:tc>
                <w:tcPr>
                  <w:tcW w:w="759" w:type="pct"/>
                  <w:noWrap w:val="0"/>
                  <w:vAlign w:val="center"/>
                </w:tcPr>
                <w:p w14:paraId="0A5713E4">
                  <w:pPr>
                    <w:keepNext w:val="0"/>
                    <w:keepLines w:val="0"/>
                    <w:pageBreakBefore w:val="0"/>
                    <w:kinsoku/>
                    <w:wordWrap/>
                    <w:overflowPunct/>
                    <w:topLinePunct w:val="0"/>
                    <w:bidi w:val="0"/>
                    <w:snapToGrid w:val="0"/>
                    <w:jc w:val="center"/>
                    <w:rPr>
                      <w:rFonts w:hint="default" w:eastAsia="宋体"/>
                      <w:bCs/>
                      <w:color w:val="auto"/>
                      <w:lang w:val="en-US" w:eastAsia="zh-CN"/>
                    </w:rPr>
                  </w:pPr>
                  <w:r>
                    <w:rPr>
                      <w:rFonts w:hint="eastAsia"/>
                      <w:bCs/>
                      <w:color w:val="auto"/>
                      <w:lang w:val="en-US" w:eastAsia="zh-CN"/>
                    </w:rPr>
                    <w:t>6.03</w:t>
                  </w:r>
                </w:p>
              </w:tc>
              <w:tc>
                <w:tcPr>
                  <w:tcW w:w="662" w:type="pct"/>
                  <w:shd w:val="clear" w:color="auto" w:fill="auto"/>
                  <w:noWrap w:val="0"/>
                  <w:vAlign w:val="center"/>
                </w:tcPr>
                <w:p w14:paraId="21BC217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0.231</w:t>
                  </w:r>
                </w:p>
              </w:tc>
              <w:tc>
                <w:tcPr>
                  <w:tcW w:w="646" w:type="pct"/>
                  <w:shd w:val="clear" w:color="auto" w:fill="auto"/>
                  <w:noWrap w:val="0"/>
                  <w:vAlign w:val="center"/>
                </w:tcPr>
                <w:p w14:paraId="52E8566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1.81</w:t>
                  </w:r>
                </w:p>
              </w:tc>
            </w:tr>
            <w:tr w14:paraId="2B67BC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pct"/>
                  <w:vMerge w:val="continue"/>
                  <w:noWrap w:val="0"/>
                  <w:vAlign w:val="center"/>
                </w:tcPr>
                <w:p w14:paraId="59DB74DB">
                  <w:pPr>
                    <w:keepNext w:val="0"/>
                    <w:keepLines w:val="0"/>
                    <w:pageBreakBefore w:val="0"/>
                    <w:kinsoku/>
                    <w:wordWrap/>
                    <w:overflowPunct/>
                    <w:topLinePunct w:val="0"/>
                    <w:bidi w:val="0"/>
                    <w:snapToGrid w:val="0"/>
                    <w:spacing w:before="120" w:beforeLines="50" w:line="360" w:lineRule="auto"/>
                    <w:jc w:val="center"/>
                    <w:rPr>
                      <w:rFonts w:hint="eastAsia"/>
                      <w:color w:val="auto"/>
                      <w:szCs w:val="21"/>
                    </w:rPr>
                  </w:pPr>
                </w:p>
              </w:tc>
              <w:tc>
                <w:tcPr>
                  <w:tcW w:w="529" w:type="pct"/>
                  <w:vMerge w:val="continue"/>
                  <w:noWrap w:val="0"/>
                  <w:vAlign w:val="center"/>
                </w:tcPr>
                <w:p w14:paraId="0D4E8989">
                  <w:pPr>
                    <w:keepNext w:val="0"/>
                    <w:keepLines w:val="0"/>
                    <w:pageBreakBefore w:val="0"/>
                    <w:kinsoku/>
                    <w:wordWrap/>
                    <w:overflowPunct/>
                    <w:topLinePunct w:val="0"/>
                    <w:bidi w:val="0"/>
                    <w:snapToGrid w:val="0"/>
                    <w:spacing w:before="120" w:beforeLines="50" w:line="360" w:lineRule="auto"/>
                    <w:jc w:val="center"/>
                    <w:rPr>
                      <w:rFonts w:hint="eastAsia"/>
                      <w:color w:val="auto"/>
                      <w:szCs w:val="21"/>
                    </w:rPr>
                  </w:pPr>
                </w:p>
              </w:tc>
              <w:tc>
                <w:tcPr>
                  <w:tcW w:w="556" w:type="pct"/>
                  <w:noWrap w:val="0"/>
                  <w:vAlign w:val="center"/>
                </w:tcPr>
                <w:p w14:paraId="47B49995">
                  <w:pPr>
                    <w:keepNext w:val="0"/>
                    <w:keepLines w:val="0"/>
                    <w:pageBreakBefore w:val="0"/>
                    <w:widowControl/>
                    <w:kinsoku/>
                    <w:wordWrap/>
                    <w:overflowPunct/>
                    <w:topLinePunct w:val="0"/>
                    <w:bidi w:val="0"/>
                    <w:adjustRightInd w:val="0"/>
                    <w:snapToGrid w:val="0"/>
                    <w:contextualSpacing/>
                    <w:jc w:val="center"/>
                    <w:rPr>
                      <w:color w:val="auto"/>
                      <w:szCs w:val="21"/>
                    </w:rPr>
                  </w:pPr>
                  <w:r>
                    <w:rPr>
                      <w:color w:val="auto"/>
                      <w:szCs w:val="21"/>
                    </w:rPr>
                    <w:t>SS</w:t>
                  </w:r>
                </w:p>
              </w:tc>
              <w:tc>
                <w:tcPr>
                  <w:tcW w:w="635" w:type="pct"/>
                  <w:shd w:val="clear" w:color="auto" w:fill="auto"/>
                  <w:noWrap w:val="0"/>
                  <w:vAlign w:val="center"/>
                </w:tcPr>
                <w:p w14:paraId="2EFBC1D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36.94</w:t>
                  </w:r>
                </w:p>
              </w:tc>
              <w:tc>
                <w:tcPr>
                  <w:tcW w:w="759" w:type="pct"/>
                  <w:noWrap w:val="0"/>
                  <w:vAlign w:val="center"/>
                </w:tcPr>
                <w:p w14:paraId="22611775">
                  <w:pPr>
                    <w:keepNext w:val="0"/>
                    <w:keepLines w:val="0"/>
                    <w:pageBreakBefore w:val="0"/>
                    <w:widowControl/>
                    <w:kinsoku/>
                    <w:wordWrap/>
                    <w:overflowPunct/>
                    <w:topLinePunct w:val="0"/>
                    <w:bidi w:val="0"/>
                    <w:snapToGrid w:val="0"/>
                    <w:jc w:val="center"/>
                    <w:textAlignment w:val="center"/>
                    <w:rPr>
                      <w:rFonts w:hint="default" w:ascii="Times New Roman" w:hAnsi="Times New Roman" w:eastAsia="宋体"/>
                      <w:color w:val="auto"/>
                      <w:kern w:val="0"/>
                      <w:szCs w:val="21"/>
                      <w:lang w:val="en-US" w:eastAsia="zh-CN" w:bidi="ar"/>
                    </w:rPr>
                  </w:pPr>
                  <w:r>
                    <w:rPr>
                      <w:rFonts w:hint="eastAsia"/>
                      <w:color w:val="auto"/>
                      <w:kern w:val="0"/>
                      <w:szCs w:val="21"/>
                      <w:lang w:val="en-US" w:eastAsia="zh-CN" w:bidi="ar"/>
                    </w:rPr>
                    <w:t>0.66</w:t>
                  </w:r>
                </w:p>
              </w:tc>
              <w:tc>
                <w:tcPr>
                  <w:tcW w:w="759" w:type="pct"/>
                  <w:noWrap w:val="0"/>
                  <w:vAlign w:val="center"/>
                </w:tcPr>
                <w:p w14:paraId="6369C778">
                  <w:pPr>
                    <w:keepNext w:val="0"/>
                    <w:keepLines w:val="0"/>
                    <w:pageBreakBefore w:val="0"/>
                    <w:widowControl/>
                    <w:kinsoku/>
                    <w:wordWrap/>
                    <w:overflowPunct/>
                    <w:topLinePunct w:val="0"/>
                    <w:bidi w:val="0"/>
                    <w:snapToGrid w:val="0"/>
                    <w:jc w:val="center"/>
                    <w:textAlignment w:val="center"/>
                    <w:rPr>
                      <w:rFonts w:hint="default" w:ascii="Times New Roman" w:hAnsi="Times New Roman" w:eastAsia="宋体"/>
                      <w:color w:val="auto"/>
                      <w:kern w:val="0"/>
                      <w:szCs w:val="21"/>
                      <w:lang w:val="en-US" w:eastAsia="zh-CN" w:bidi="ar"/>
                    </w:rPr>
                  </w:pPr>
                  <w:r>
                    <w:rPr>
                      <w:rFonts w:hint="eastAsia"/>
                      <w:color w:val="auto"/>
                      <w:kern w:val="0"/>
                      <w:szCs w:val="21"/>
                      <w:lang w:val="en-US" w:eastAsia="zh-CN" w:bidi="ar"/>
                    </w:rPr>
                    <w:t>2.24</w:t>
                  </w:r>
                </w:p>
              </w:tc>
              <w:tc>
                <w:tcPr>
                  <w:tcW w:w="662" w:type="pct"/>
                  <w:shd w:val="clear" w:color="auto" w:fill="auto"/>
                  <w:noWrap w:val="0"/>
                  <w:vAlign w:val="center"/>
                </w:tcPr>
                <w:p w14:paraId="6FD76CE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0.1973</w:t>
                  </w:r>
                </w:p>
              </w:tc>
              <w:tc>
                <w:tcPr>
                  <w:tcW w:w="646" w:type="pct"/>
                  <w:shd w:val="clear" w:color="auto" w:fill="auto"/>
                  <w:noWrap w:val="0"/>
                  <w:vAlign w:val="center"/>
                </w:tcPr>
                <w:p w14:paraId="78D29AD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0.6709</w:t>
                  </w:r>
                </w:p>
              </w:tc>
            </w:tr>
            <w:tr w14:paraId="691343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pct"/>
                  <w:vMerge w:val="continue"/>
                  <w:noWrap w:val="0"/>
                  <w:vAlign w:val="center"/>
                </w:tcPr>
                <w:p w14:paraId="087D48E6">
                  <w:pPr>
                    <w:keepNext w:val="0"/>
                    <w:keepLines w:val="0"/>
                    <w:pageBreakBefore w:val="0"/>
                    <w:kinsoku/>
                    <w:wordWrap/>
                    <w:overflowPunct/>
                    <w:topLinePunct w:val="0"/>
                    <w:bidi w:val="0"/>
                    <w:snapToGrid w:val="0"/>
                    <w:spacing w:before="120" w:beforeLines="50" w:line="360" w:lineRule="auto"/>
                    <w:jc w:val="center"/>
                    <w:rPr>
                      <w:rFonts w:hint="eastAsia"/>
                      <w:color w:val="auto"/>
                      <w:szCs w:val="21"/>
                    </w:rPr>
                  </w:pPr>
                </w:p>
              </w:tc>
              <w:tc>
                <w:tcPr>
                  <w:tcW w:w="529" w:type="pct"/>
                  <w:vMerge w:val="continue"/>
                  <w:noWrap w:val="0"/>
                  <w:vAlign w:val="center"/>
                </w:tcPr>
                <w:p w14:paraId="6EF18ACC">
                  <w:pPr>
                    <w:keepNext w:val="0"/>
                    <w:keepLines w:val="0"/>
                    <w:pageBreakBefore w:val="0"/>
                    <w:kinsoku/>
                    <w:wordWrap/>
                    <w:overflowPunct/>
                    <w:topLinePunct w:val="0"/>
                    <w:bidi w:val="0"/>
                    <w:snapToGrid w:val="0"/>
                    <w:spacing w:before="120" w:beforeLines="50" w:line="360" w:lineRule="auto"/>
                    <w:jc w:val="center"/>
                    <w:rPr>
                      <w:color w:val="auto"/>
                      <w:szCs w:val="21"/>
                    </w:rPr>
                  </w:pPr>
                </w:p>
              </w:tc>
              <w:tc>
                <w:tcPr>
                  <w:tcW w:w="556" w:type="pct"/>
                  <w:noWrap w:val="0"/>
                  <w:vAlign w:val="center"/>
                </w:tcPr>
                <w:p w14:paraId="09C5BCDC">
                  <w:pPr>
                    <w:keepNext w:val="0"/>
                    <w:keepLines w:val="0"/>
                    <w:pageBreakBefore w:val="0"/>
                    <w:widowControl/>
                    <w:kinsoku/>
                    <w:wordWrap/>
                    <w:overflowPunct/>
                    <w:topLinePunct w:val="0"/>
                    <w:bidi w:val="0"/>
                    <w:adjustRightInd w:val="0"/>
                    <w:snapToGrid w:val="0"/>
                    <w:contextualSpacing/>
                    <w:jc w:val="center"/>
                    <w:rPr>
                      <w:color w:val="auto"/>
                      <w:szCs w:val="21"/>
                    </w:rPr>
                  </w:pPr>
                  <w:r>
                    <w:rPr>
                      <w:color w:val="auto"/>
                      <w:szCs w:val="21"/>
                    </w:rPr>
                    <w:t>氨氮</w:t>
                  </w:r>
                </w:p>
              </w:tc>
              <w:tc>
                <w:tcPr>
                  <w:tcW w:w="635" w:type="pct"/>
                  <w:shd w:val="clear" w:color="auto" w:fill="auto"/>
                  <w:noWrap w:val="0"/>
                  <w:vAlign w:val="center"/>
                </w:tcPr>
                <w:p w14:paraId="42FE34E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24.29</w:t>
                  </w:r>
                </w:p>
              </w:tc>
              <w:tc>
                <w:tcPr>
                  <w:tcW w:w="759" w:type="pct"/>
                  <w:noWrap w:val="0"/>
                  <w:vAlign w:val="center"/>
                </w:tcPr>
                <w:p w14:paraId="2E84C9EB">
                  <w:pPr>
                    <w:keepNext w:val="0"/>
                    <w:keepLines w:val="0"/>
                    <w:pageBreakBefore w:val="0"/>
                    <w:widowControl/>
                    <w:kinsoku/>
                    <w:wordWrap/>
                    <w:overflowPunct/>
                    <w:topLinePunct w:val="0"/>
                    <w:bidi w:val="0"/>
                    <w:snapToGrid w:val="0"/>
                    <w:jc w:val="center"/>
                    <w:textAlignment w:val="center"/>
                    <w:rPr>
                      <w:rFonts w:hint="default" w:ascii="Times New Roman" w:hAnsi="Times New Roman" w:eastAsia="宋体"/>
                      <w:color w:val="auto"/>
                      <w:kern w:val="0"/>
                      <w:szCs w:val="21"/>
                      <w:lang w:val="en-US" w:eastAsia="zh-CN" w:bidi="ar"/>
                    </w:rPr>
                  </w:pPr>
                  <w:r>
                    <w:rPr>
                      <w:rFonts w:hint="eastAsia"/>
                      <w:color w:val="auto"/>
                      <w:kern w:val="0"/>
                      <w:szCs w:val="21"/>
                      <w:lang w:val="en-US" w:eastAsia="zh-CN" w:bidi="ar"/>
                    </w:rPr>
                    <w:t>0.155</w:t>
                  </w:r>
                </w:p>
              </w:tc>
              <w:tc>
                <w:tcPr>
                  <w:tcW w:w="759" w:type="pct"/>
                  <w:noWrap w:val="0"/>
                  <w:vAlign w:val="center"/>
                </w:tcPr>
                <w:p w14:paraId="05435E98">
                  <w:pPr>
                    <w:keepNext w:val="0"/>
                    <w:keepLines w:val="0"/>
                    <w:pageBreakBefore w:val="0"/>
                    <w:widowControl/>
                    <w:kinsoku/>
                    <w:wordWrap/>
                    <w:overflowPunct/>
                    <w:topLinePunct w:val="0"/>
                    <w:bidi w:val="0"/>
                    <w:snapToGrid w:val="0"/>
                    <w:jc w:val="center"/>
                    <w:textAlignment w:val="center"/>
                    <w:rPr>
                      <w:rFonts w:hint="default" w:ascii="Times New Roman" w:hAnsi="Times New Roman" w:eastAsia="宋体"/>
                      <w:color w:val="auto"/>
                      <w:kern w:val="0"/>
                      <w:szCs w:val="21"/>
                      <w:lang w:val="en-US" w:eastAsia="zh-CN" w:bidi="ar"/>
                    </w:rPr>
                  </w:pPr>
                  <w:r>
                    <w:rPr>
                      <w:rFonts w:hint="eastAsia"/>
                      <w:color w:val="auto"/>
                      <w:kern w:val="0"/>
                      <w:szCs w:val="21"/>
                      <w:lang w:val="en-US" w:eastAsia="zh-CN" w:bidi="ar"/>
                    </w:rPr>
                    <w:t>1.47</w:t>
                  </w:r>
                </w:p>
              </w:tc>
              <w:tc>
                <w:tcPr>
                  <w:tcW w:w="662" w:type="pct"/>
                  <w:shd w:val="clear" w:color="auto" w:fill="auto"/>
                  <w:noWrap w:val="0"/>
                  <w:vAlign w:val="center"/>
                </w:tcPr>
                <w:p w14:paraId="5E75CC3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0.0464</w:t>
                  </w:r>
                </w:p>
              </w:tc>
              <w:tc>
                <w:tcPr>
                  <w:tcW w:w="646" w:type="pct"/>
                  <w:shd w:val="clear" w:color="auto" w:fill="auto"/>
                  <w:noWrap w:val="0"/>
                  <w:vAlign w:val="center"/>
                </w:tcPr>
                <w:p w14:paraId="28B0867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0.4411</w:t>
                  </w:r>
                </w:p>
              </w:tc>
            </w:tr>
            <w:tr w14:paraId="5D51E0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pct"/>
                  <w:vMerge w:val="continue"/>
                  <w:noWrap w:val="0"/>
                  <w:vAlign w:val="center"/>
                </w:tcPr>
                <w:p w14:paraId="29F84F57">
                  <w:pPr>
                    <w:keepNext w:val="0"/>
                    <w:keepLines w:val="0"/>
                    <w:pageBreakBefore w:val="0"/>
                    <w:kinsoku/>
                    <w:wordWrap/>
                    <w:overflowPunct/>
                    <w:topLinePunct w:val="0"/>
                    <w:bidi w:val="0"/>
                    <w:snapToGrid w:val="0"/>
                    <w:spacing w:before="120" w:beforeLines="50" w:line="360" w:lineRule="auto"/>
                    <w:jc w:val="center"/>
                    <w:rPr>
                      <w:rFonts w:hint="eastAsia"/>
                      <w:color w:val="auto"/>
                      <w:szCs w:val="21"/>
                    </w:rPr>
                  </w:pPr>
                </w:p>
              </w:tc>
              <w:tc>
                <w:tcPr>
                  <w:tcW w:w="529" w:type="pct"/>
                  <w:vMerge w:val="continue"/>
                  <w:noWrap w:val="0"/>
                  <w:vAlign w:val="center"/>
                </w:tcPr>
                <w:p w14:paraId="347E0612">
                  <w:pPr>
                    <w:keepNext w:val="0"/>
                    <w:keepLines w:val="0"/>
                    <w:pageBreakBefore w:val="0"/>
                    <w:kinsoku/>
                    <w:wordWrap/>
                    <w:overflowPunct/>
                    <w:topLinePunct w:val="0"/>
                    <w:bidi w:val="0"/>
                    <w:snapToGrid w:val="0"/>
                    <w:spacing w:before="120" w:beforeLines="50" w:line="360" w:lineRule="auto"/>
                    <w:jc w:val="center"/>
                    <w:rPr>
                      <w:rFonts w:hint="eastAsia"/>
                      <w:color w:val="auto"/>
                      <w:szCs w:val="21"/>
                    </w:rPr>
                  </w:pPr>
                </w:p>
              </w:tc>
              <w:tc>
                <w:tcPr>
                  <w:tcW w:w="556" w:type="pct"/>
                  <w:noWrap w:val="0"/>
                  <w:vAlign w:val="center"/>
                </w:tcPr>
                <w:p w14:paraId="00F7E02B">
                  <w:pPr>
                    <w:keepNext w:val="0"/>
                    <w:keepLines w:val="0"/>
                    <w:pageBreakBefore w:val="0"/>
                    <w:widowControl/>
                    <w:kinsoku/>
                    <w:wordWrap/>
                    <w:overflowPunct/>
                    <w:topLinePunct w:val="0"/>
                    <w:bidi w:val="0"/>
                    <w:adjustRightInd w:val="0"/>
                    <w:snapToGrid w:val="0"/>
                    <w:contextualSpacing/>
                    <w:jc w:val="center"/>
                    <w:rPr>
                      <w:color w:val="auto"/>
                      <w:szCs w:val="21"/>
                    </w:rPr>
                  </w:pPr>
                  <w:r>
                    <w:rPr>
                      <w:color w:val="auto"/>
                      <w:szCs w:val="21"/>
                    </w:rPr>
                    <w:t>总氮</w:t>
                  </w:r>
                </w:p>
              </w:tc>
              <w:tc>
                <w:tcPr>
                  <w:tcW w:w="635" w:type="pct"/>
                  <w:shd w:val="clear" w:color="auto" w:fill="auto"/>
                  <w:noWrap w:val="0"/>
                  <w:vAlign w:val="center"/>
                </w:tcPr>
                <w:p w14:paraId="5333123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29.28</w:t>
                  </w:r>
                </w:p>
              </w:tc>
              <w:tc>
                <w:tcPr>
                  <w:tcW w:w="759" w:type="pct"/>
                  <w:noWrap w:val="0"/>
                  <w:vAlign w:val="center"/>
                </w:tcPr>
                <w:p w14:paraId="2732E70A">
                  <w:pPr>
                    <w:keepNext w:val="0"/>
                    <w:keepLines w:val="0"/>
                    <w:pageBreakBefore w:val="0"/>
                    <w:widowControl/>
                    <w:kinsoku/>
                    <w:wordWrap/>
                    <w:overflowPunct/>
                    <w:topLinePunct w:val="0"/>
                    <w:bidi w:val="0"/>
                    <w:snapToGrid w:val="0"/>
                    <w:jc w:val="center"/>
                    <w:textAlignment w:val="center"/>
                    <w:rPr>
                      <w:rFonts w:hint="default" w:ascii="Times New Roman" w:hAnsi="Times New Roman" w:eastAsia="宋体"/>
                      <w:color w:val="auto"/>
                      <w:kern w:val="0"/>
                      <w:szCs w:val="21"/>
                      <w:lang w:val="en-US" w:eastAsia="zh-CN" w:bidi="ar"/>
                    </w:rPr>
                  </w:pPr>
                  <w:r>
                    <w:rPr>
                      <w:rFonts w:hint="eastAsia"/>
                      <w:color w:val="auto"/>
                      <w:kern w:val="0"/>
                      <w:szCs w:val="21"/>
                      <w:lang w:val="en-US" w:eastAsia="zh-CN" w:bidi="ar"/>
                    </w:rPr>
                    <w:t>0.194</w:t>
                  </w:r>
                </w:p>
              </w:tc>
              <w:tc>
                <w:tcPr>
                  <w:tcW w:w="759" w:type="pct"/>
                  <w:noWrap w:val="0"/>
                  <w:vAlign w:val="center"/>
                </w:tcPr>
                <w:p w14:paraId="404A60B7">
                  <w:pPr>
                    <w:keepNext w:val="0"/>
                    <w:keepLines w:val="0"/>
                    <w:pageBreakBefore w:val="0"/>
                    <w:widowControl/>
                    <w:kinsoku/>
                    <w:wordWrap/>
                    <w:overflowPunct/>
                    <w:topLinePunct w:val="0"/>
                    <w:bidi w:val="0"/>
                    <w:snapToGrid w:val="0"/>
                    <w:jc w:val="center"/>
                    <w:textAlignment w:val="center"/>
                    <w:rPr>
                      <w:rFonts w:hint="default" w:ascii="Times New Roman" w:hAnsi="Times New Roman" w:eastAsia="宋体"/>
                      <w:color w:val="auto"/>
                      <w:kern w:val="0"/>
                      <w:szCs w:val="21"/>
                      <w:lang w:val="en-US" w:eastAsia="zh-CN" w:bidi="ar"/>
                    </w:rPr>
                  </w:pPr>
                  <w:r>
                    <w:rPr>
                      <w:rFonts w:hint="eastAsia"/>
                      <w:color w:val="auto"/>
                      <w:kern w:val="0"/>
                      <w:szCs w:val="21"/>
                      <w:lang w:val="en-US" w:eastAsia="zh-CN" w:bidi="ar"/>
                    </w:rPr>
                    <w:t>1.77</w:t>
                  </w:r>
                </w:p>
              </w:tc>
              <w:tc>
                <w:tcPr>
                  <w:tcW w:w="662" w:type="pct"/>
                  <w:shd w:val="clear" w:color="auto" w:fill="auto"/>
                  <w:noWrap w:val="0"/>
                  <w:vAlign w:val="center"/>
                </w:tcPr>
                <w:p w14:paraId="1EEBC9F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0.0583</w:t>
                  </w:r>
                </w:p>
              </w:tc>
              <w:tc>
                <w:tcPr>
                  <w:tcW w:w="646" w:type="pct"/>
                  <w:shd w:val="clear" w:color="auto" w:fill="auto"/>
                  <w:noWrap w:val="0"/>
                  <w:vAlign w:val="center"/>
                </w:tcPr>
                <w:p w14:paraId="7A30570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0.5319</w:t>
                  </w:r>
                </w:p>
              </w:tc>
            </w:tr>
            <w:tr w14:paraId="043558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pct"/>
                  <w:vMerge w:val="continue"/>
                  <w:noWrap w:val="0"/>
                  <w:vAlign w:val="center"/>
                </w:tcPr>
                <w:p w14:paraId="1C12249E">
                  <w:pPr>
                    <w:keepNext w:val="0"/>
                    <w:keepLines w:val="0"/>
                    <w:pageBreakBefore w:val="0"/>
                    <w:kinsoku/>
                    <w:wordWrap/>
                    <w:overflowPunct/>
                    <w:topLinePunct w:val="0"/>
                    <w:bidi w:val="0"/>
                    <w:snapToGrid w:val="0"/>
                    <w:spacing w:before="120" w:beforeLines="50" w:line="360" w:lineRule="auto"/>
                    <w:jc w:val="center"/>
                    <w:rPr>
                      <w:rFonts w:hint="eastAsia"/>
                      <w:color w:val="auto"/>
                      <w:szCs w:val="21"/>
                    </w:rPr>
                  </w:pPr>
                </w:p>
              </w:tc>
              <w:tc>
                <w:tcPr>
                  <w:tcW w:w="529" w:type="pct"/>
                  <w:vMerge w:val="continue"/>
                  <w:noWrap w:val="0"/>
                  <w:vAlign w:val="center"/>
                </w:tcPr>
                <w:p w14:paraId="23C11CFE">
                  <w:pPr>
                    <w:keepNext w:val="0"/>
                    <w:keepLines w:val="0"/>
                    <w:pageBreakBefore w:val="0"/>
                    <w:kinsoku/>
                    <w:wordWrap/>
                    <w:overflowPunct/>
                    <w:topLinePunct w:val="0"/>
                    <w:bidi w:val="0"/>
                    <w:snapToGrid w:val="0"/>
                    <w:spacing w:before="120" w:beforeLines="50" w:line="360" w:lineRule="auto"/>
                    <w:jc w:val="center"/>
                    <w:rPr>
                      <w:rFonts w:hint="eastAsia"/>
                      <w:color w:val="auto"/>
                      <w:szCs w:val="21"/>
                    </w:rPr>
                  </w:pPr>
                </w:p>
              </w:tc>
              <w:tc>
                <w:tcPr>
                  <w:tcW w:w="556" w:type="pct"/>
                  <w:noWrap w:val="0"/>
                  <w:vAlign w:val="center"/>
                </w:tcPr>
                <w:p w14:paraId="537C7E9B">
                  <w:pPr>
                    <w:keepNext w:val="0"/>
                    <w:keepLines w:val="0"/>
                    <w:pageBreakBefore w:val="0"/>
                    <w:widowControl/>
                    <w:kinsoku/>
                    <w:wordWrap/>
                    <w:overflowPunct/>
                    <w:topLinePunct w:val="0"/>
                    <w:bidi w:val="0"/>
                    <w:adjustRightInd w:val="0"/>
                    <w:snapToGrid w:val="0"/>
                    <w:contextualSpacing/>
                    <w:jc w:val="center"/>
                    <w:rPr>
                      <w:color w:val="auto"/>
                      <w:szCs w:val="21"/>
                    </w:rPr>
                  </w:pPr>
                  <w:r>
                    <w:rPr>
                      <w:color w:val="auto"/>
                      <w:szCs w:val="21"/>
                    </w:rPr>
                    <w:t>总磷</w:t>
                  </w:r>
                </w:p>
              </w:tc>
              <w:tc>
                <w:tcPr>
                  <w:tcW w:w="635" w:type="pct"/>
                  <w:shd w:val="clear" w:color="auto" w:fill="auto"/>
                  <w:noWrap w:val="0"/>
                  <w:vAlign w:val="center"/>
                </w:tcPr>
                <w:p w14:paraId="16D4567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2.82</w:t>
                  </w:r>
                </w:p>
              </w:tc>
              <w:tc>
                <w:tcPr>
                  <w:tcW w:w="759" w:type="pct"/>
                  <w:noWrap w:val="0"/>
                  <w:vAlign w:val="center"/>
                </w:tcPr>
                <w:p w14:paraId="2F45060F">
                  <w:pPr>
                    <w:keepNext w:val="0"/>
                    <w:keepLines w:val="0"/>
                    <w:pageBreakBefore w:val="0"/>
                    <w:widowControl/>
                    <w:kinsoku/>
                    <w:wordWrap/>
                    <w:overflowPunct/>
                    <w:topLinePunct w:val="0"/>
                    <w:bidi w:val="0"/>
                    <w:snapToGrid w:val="0"/>
                    <w:jc w:val="center"/>
                    <w:textAlignment w:val="center"/>
                    <w:rPr>
                      <w:rFonts w:hint="default" w:ascii="Times New Roman" w:hAnsi="Times New Roman" w:eastAsia="宋体"/>
                      <w:color w:val="auto"/>
                      <w:kern w:val="0"/>
                      <w:szCs w:val="21"/>
                      <w:lang w:val="en-US" w:eastAsia="zh-CN" w:bidi="ar"/>
                    </w:rPr>
                  </w:pPr>
                  <w:r>
                    <w:rPr>
                      <w:rFonts w:hint="eastAsia"/>
                      <w:color w:val="auto"/>
                      <w:kern w:val="0"/>
                      <w:szCs w:val="21"/>
                      <w:lang w:val="en-US" w:eastAsia="zh-CN" w:bidi="ar"/>
                    </w:rPr>
                    <w:t>0.0124</w:t>
                  </w:r>
                </w:p>
              </w:tc>
              <w:tc>
                <w:tcPr>
                  <w:tcW w:w="759" w:type="pct"/>
                  <w:noWrap w:val="0"/>
                  <w:vAlign w:val="center"/>
                </w:tcPr>
                <w:p w14:paraId="05A41D12">
                  <w:pPr>
                    <w:keepNext w:val="0"/>
                    <w:keepLines w:val="0"/>
                    <w:pageBreakBefore w:val="0"/>
                    <w:widowControl/>
                    <w:kinsoku/>
                    <w:wordWrap/>
                    <w:overflowPunct/>
                    <w:topLinePunct w:val="0"/>
                    <w:bidi w:val="0"/>
                    <w:snapToGrid w:val="0"/>
                    <w:jc w:val="center"/>
                    <w:textAlignment w:val="center"/>
                    <w:rPr>
                      <w:rFonts w:hint="default" w:ascii="Times New Roman" w:hAnsi="Times New Roman" w:eastAsia="宋体"/>
                      <w:color w:val="auto"/>
                      <w:kern w:val="0"/>
                      <w:szCs w:val="21"/>
                      <w:lang w:val="en-US" w:eastAsia="zh-CN" w:bidi="ar"/>
                    </w:rPr>
                  </w:pPr>
                  <w:r>
                    <w:rPr>
                      <w:rFonts w:hint="eastAsia"/>
                      <w:color w:val="auto"/>
                      <w:kern w:val="0"/>
                      <w:szCs w:val="21"/>
                      <w:lang w:val="en-US" w:eastAsia="zh-CN" w:bidi="ar"/>
                    </w:rPr>
                    <w:t>0.17</w:t>
                  </w:r>
                </w:p>
              </w:tc>
              <w:tc>
                <w:tcPr>
                  <w:tcW w:w="662" w:type="pct"/>
                  <w:shd w:val="clear" w:color="auto" w:fill="auto"/>
                  <w:noWrap w:val="0"/>
                  <w:vAlign w:val="center"/>
                </w:tcPr>
                <w:p w14:paraId="6D67F5B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0.00393</w:t>
                  </w:r>
                </w:p>
              </w:tc>
              <w:tc>
                <w:tcPr>
                  <w:tcW w:w="646" w:type="pct"/>
                  <w:shd w:val="clear" w:color="auto" w:fill="auto"/>
                  <w:noWrap w:val="0"/>
                  <w:vAlign w:val="center"/>
                </w:tcPr>
                <w:p w14:paraId="5446F4B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0.05129</w:t>
                  </w:r>
                </w:p>
              </w:tc>
            </w:tr>
            <w:tr w14:paraId="47F6E9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pct"/>
                  <w:vMerge w:val="continue"/>
                  <w:noWrap w:val="0"/>
                  <w:vAlign w:val="center"/>
                </w:tcPr>
                <w:p w14:paraId="6AFAC3FD">
                  <w:pPr>
                    <w:keepNext w:val="0"/>
                    <w:keepLines w:val="0"/>
                    <w:pageBreakBefore w:val="0"/>
                    <w:kinsoku/>
                    <w:wordWrap/>
                    <w:overflowPunct/>
                    <w:topLinePunct w:val="0"/>
                    <w:bidi w:val="0"/>
                    <w:snapToGrid w:val="0"/>
                    <w:spacing w:before="120" w:beforeLines="50" w:line="360" w:lineRule="auto"/>
                    <w:jc w:val="center"/>
                    <w:rPr>
                      <w:rFonts w:hint="eastAsia"/>
                      <w:color w:val="auto"/>
                      <w:szCs w:val="21"/>
                    </w:rPr>
                  </w:pPr>
                </w:p>
              </w:tc>
              <w:tc>
                <w:tcPr>
                  <w:tcW w:w="529" w:type="pct"/>
                  <w:vMerge w:val="continue"/>
                  <w:noWrap w:val="0"/>
                  <w:vAlign w:val="center"/>
                </w:tcPr>
                <w:p w14:paraId="32469EA7">
                  <w:pPr>
                    <w:keepNext w:val="0"/>
                    <w:keepLines w:val="0"/>
                    <w:pageBreakBefore w:val="0"/>
                    <w:kinsoku/>
                    <w:wordWrap/>
                    <w:overflowPunct/>
                    <w:topLinePunct w:val="0"/>
                    <w:bidi w:val="0"/>
                    <w:snapToGrid w:val="0"/>
                    <w:spacing w:before="120" w:beforeLines="50" w:line="360" w:lineRule="auto"/>
                    <w:jc w:val="center"/>
                    <w:rPr>
                      <w:rFonts w:hint="eastAsia"/>
                      <w:color w:val="auto"/>
                      <w:szCs w:val="21"/>
                    </w:rPr>
                  </w:pPr>
                </w:p>
              </w:tc>
              <w:tc>
                <w:tcPr>
                  <w:tcW w:w="556" w:type="pct"/>
                  <w:noWrap w:val="0"/>
                  <w:vAlign w:val="center"/>
                </w:tcPr>
                <w:p w14:paraId="0991650D">
                  <w:pPr>
                    <w:keepNext w:val="0"/>
                    <w:keepLines w:val="0"/>
                    <w:pageBreakBefore w:val="0"/>
                    <w:widowControl/>
                    <w:kinsoku/>
                    <w:wordWrap/>
                    <w:overflowPunct/>
                    <w:topLinePunct w:val="0"/>
                    <w:bidi w:val="0"/>
                    <w:adjustRightInd w:val="0"/>
                    <w:snapToGrid w:val="0"/>
                    <w:contextualSpacing/>
                    <w:jc w:val="center"/>
                    <w:rPr>
                      <w:rFonts w:hint="eastAsia" w:eastAsia="宋体"/>
                      <w:color w:val="auto"/>
                      <w:szCs w:val="21"/>
                      <w:lang w:eastAsia="zh-CN"/>
                    </w:rPr>
                  </w:pPr>
                  <w:r>
                    <w:rPr>
                      <w:rFonts w:hint="eastAsia"/>
                      <w:color w:val="auto"/>
                      <w:szCs w:val="21"/>
                      <w:lang w:val="en-US" w:eastAsia="zh-CN"/>
                    </w:rPr>
                    <w:t>氟化物</w:t>
                  </w:r>
                </w:p>
              </w:tc>
              <w:tc>
                <w:tcPr>
                  <w:tcW w:w="635" w:type="pct"/>
                  <w:shd w:val="clear" w:color="auto" w:fill="auto"/>
                  <w:noWrap w:val="0"/>
                  <w:vAlign w:val="center"/>
                </w:tcPr>
                <w:p w14:paraId="08A8A11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0.88</w:t>
                  </w:r>
                </w:p>
              </w:tc>
              <w:tc>
                <w:tcPr>
                  <w:tcW w:w="759" w:type="pct"/>
                  <w:noWrap w:val="0"/>
                  <w:vAlign w:val="center"/>
                </w:tcPr>
                <w:p w14:paraId="705DC4AC">
                  <w:pPr>
                    <w:keepNext w:val="0"/>
                    <w:keepLines w:val="0"/>
                    <w:pageBreakBefore w:val="0"/>
                    <w:widowControl/>
                    <w:kinsoku/>
                    <w:wordWrap/>
                    <w:overflowPunct/>
                    <w:topLinePunct w:val="0"/>
                    <w:bidi w:val="0"/>
                    <w:snapToGrid w:val="0"/>
                    <w:jc w:val="center"/>
                    <w:textAlignment w:val="center"/>
                    <w:rPr>
                      <w:rFonts w:hint="default" w:ascii="Times New Roman" w:hAnsi="Times New Roman" w:eastAsia="宋体"/>
                      <w:color w:val="auto"/>
                      <w:kern w:val="0"/>
                      <w:szCs w:val="21"/>
                      <w:lang w:val="en-US" w:eastAsia="zh-CN" w:bidi="ar"/>
                    </w:rPr>
                  </w:pPr>
                  <w:r>
                    <w:rPr>
                      <w:rFonts w:hint="eastAsia"/>
                      <w:color w:val="auto"/>
                      <w:kern w:val="0"/>
                      <w:szCs w:val="21"/>
                      <w:lang w:val="en-US" w:eastAsia="zh-CN" w:bidi="ar"/>
                    </w:rPr>
                    <w:t>0.053</w:t>
                  </w:r>
                </w:p>
              </w:tc>
              <w:tc>
                <w:tcPr>
                  <w:tcW w:w="759" w:type="pct"/>
                  <w:noWrap w:val="0"/>
                  <w:vAlign w:val="center"/>
                </w:tcPr>
                <w:p w14:paraId="42F84163">
                  <w:pPr>
                    <w:keepNext w:val="0"/>
                    <w:keepLines w:val="0"/>
                    <w:pageBreakBefore w:val="0"/>
                    <w:widowControl/>
                    <w:kinsoku/>
                    <w:wordWrap/>
                    <w:overflowPunct/>
                    <w:topLinePunct w:val="0"/>
                    <w:bidi w:val="0"/>
                    <w:snapToGrid w:val="0"/>
                    <w:jc w:val="center"/>
                    <w:textAlignment w:val="center"/>
                    <w:rPr>
                      <w:rFonts w:hint="default" w:ascii="Times New Roman" w:hAnsi="Times New Roman" w:eastAsia="宋体"/>
                      <w:color w:val="auto"/>
                      <w:kern w:val="0"/>
                      <w:szCs w:val="21"/>
                      <w:lang w:val="en-US" w:eastAsia="zh-CN" w:bidi="ar"/>
                    </w:rPr>
                  </w:pPr>
                  <w:r>
                    <w:rPr>
                      <w:rFonts w:hint="eastAsia"/>
                      <w:color w:val="auto"/>
                      <w:kern w:val="0"/>
                      <w:szCs w:val="21"/>
                      <w:lang w:val="en-US" w:eastAsia="zh-CN" w:bidi="ar"/>
                    </w:rPr>
                    <w:t>0.053</w:t>
                  </w:r>
                </w:p>
              </w:tc>
              <w:tc>
                <w:tcPr>
                  <w:tcW w:w="662" w:type="pct"/>
                  <w:shd w:val="clear" w:color="auto" w:fill="auto"/>
                  <w:noWrap w:val="0"/>
                  <w:vAlign w:val="center"/>
                </w:tcPr>
                <w:p w14:paraId="2B8B512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0.016</w:t>
                  </w:r>
                </w:p>
              </w:tc>
              <w:tc>
                <w:tcPr>
                  <w:tcW w:w="646" w:type="pct"/>
                  <w:shd w:val="clear" w:color="auto" w:fill="auto"/>
                  <w:noWrap w:val="0"/>
                  <w:vAlign w:val="center"/>
                </w:tcPr>
                <w:p w14:paraId="043665D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0.016</w:t>
                  </w:r>
                </w:p>
              </w:tc>
            </w:tr>
            <w:tr w14:paraId="111293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pct"/>
                  <w:vMerge w:val="restart"/>
                  <w:noWrap w:val="0"/>
                  <w:vAlign w:val="center"/>
                </w:tcPr>
                <w:p w14:paraId="7683DBD9">
                  <w:pPr>
                    <w:keepNext w:val="0"/>
                    <w:keepLines w:val="0"/>
                    <w:pageBreakBefore w:val="0"/>
                    <w:kinsoku/>
                    <w:wordWrap/>
                    <w:overflowPunct/>
                    <w:topLinePunct w:val="0"/>
                    <w:bidi w:val="0"/>
                    <w:snapToGrid w:val="0"/>
                    <w:jc w:val="center"/>
                    <w:rPr>
                      <w:rFonts w:hint="eastAsia"/>
                      <w:color w:val="auto"/>
                      <w:szCs w:val="21"/>
                    </w:rPr>
                  </w:pPr>
                  <w:r>
                    <w:rPr>
                      <w:rFonts w:hint="eastAsia"/>
                      <w:color w:val="auto"/>
                      <w:szCs w:val="21"/>
                    </w:rPr>
                    <w:t>全厂排放口合计</w:t>
                  </w:r>
                </w:p>
              </w:tc>
              <w:tc>
                <w:tcPr>
                  <w:tcW w:w="3239" w:type="pct"/>
                  <w:gridSpan w:val="5"/>
                  <w:noWrap w:val="0"/>
                  <w:vAlign w:val="center"/>
                </w:tcPr>
                <w:p w14:paraId="7F98BDD5">
                  <w:pPr>
                    <w:keepNext w:val="0"/>
                    <w:keepLines w:val="0"/>
                    <w:pageBreakBefore w:val="0"/>
                    <w:widowControl/>
                    <w:kinsoku/>
                    <w:wordWrap/>
                    <w:overflowPunct/>
                    <w:topLinePunct w:val="0"/>
                    <w:bidi w:val="0"/>
                    <w:snapToGrid w:val="0"/>
                    <w:jc w:val="center"/>
                    <w:textAlignment w:val="center"/>
                    <w:rPr>
                      <w:rFonts w:hint="eastAsia"/>
                      <w:color w:val="auto"/>
                      <w:kern w:val="0"/>
                      <w:szCs w:val="21"/>
                      <w:lang w:val="en-US" w:eastAsia="zh-CN" w:bidi="ar"/>
                    </w:rPr>
                  </w:pPr>
                  <w:r>
                    <w:rPr>
                      <w:rFonts w:hint="eastAsia"/>
                      <w:color w:val="auto"/>
                      <w:szCs w:val="21"/>
                      <w:lang w:val="en-US" w:eastAsia="zh-CN"/>
                    </w:rPr>
                    <w:t>废水量</w:t>
                  </w:r>
                </w:p>
              </w:tc>
              <w:tc>
                <w:tcPr>
                  <w:tcW w:w="662" w:type="pct"/>
                  <w:shd w:val="clear" w:color="auto" w:fill="auto"/>
                  <w:noWrap w:val="0"/>
                  <w:vAlign w:val="center"/>
                </w:tcPr>
                <w:p w14:paraId="0322D36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2376</w:t>
                  </w:r>
                </w:p>
              </w:tc>
              <w:tc>
                <w:tcPr>
                  <w:tcW w:w="646" w:type="pct"/>
                  <w:shd w:val="clear" w:color="auto" w:fill="auto"/>
                  <w:noWrap w:val="0"/>
                  <w:vAlign w:val="center"/>
                </w:tcPr>
                <w:p w14:paraId="7AA4791C">
                  <w:pPr>
                    <w:keepNext w:val="0"/>
                    <w:keepLines w:val="0"/>
                    <w:pageBreakBefore w:val="0"/>
                    <w:kinsoku/>
                    <w:wordWrap/>
                    <w:overflowPunct/>
                    <w:topLinePunct w:val="0"/>
                    <w:bidi w:val="0"/>
                    <w:snapToGrid w:val="0"/>
                    <w:jc w:val="center"/>
                    <w:rPr>
                      <w:rFonts w:hint="eastAsia" w:ascii="Times New Roman" w:hAnsi="Times New Roman" w:eastAsia="宋体" w:cs="Times New Roman"/>
                      <w:bCs/>
                      <w:color w:val="auto"/>
                      <w:kern w:val="2"/>
                      <w:sz w:val="21"/>
                      <w:szCs w:val="24"/>
                      <w:lang w:val="en-US" w:eastAsia="zh-CN" w:bidi="ar-SA"/>
                    </w:rPr>
                  </w:pPr>
                  <w:r>
                    <w:rPr>
                      <w:rFonts w:hint="eastAsia"/>
                      <w:bCs/>
                      <w:color w:val="auto"/>
                      <w:lang w:val="en-US" w:eastAsia="zh-CN"/>
                    </w:rPr>
                    <w:t>18163.2</w:t>
                  </w:r>
                </w:p>
              </w:tc>
            </w:tr>
            <w:tr w14:paraId="0E1377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pct"/>
                  <w:vMerge w:val="continue"/>
                  <w:noWrap w:val="0"/>
                  <w:vAlign w:val="center"/>
                </w:tcPr>
                <w:p w14:paraId="7C65726A">
                  <w:pPr>
                    <w:keepNext w:val="0"/>
                    <w:keepLines w:val="0"/>
                    <w:pageBreakBefore w:val="0"/>
                    <w:kinsoku/>
                    <w:wordWrap/>
                    <w:overflowPunct/>
                    <w:topLinePunct w:val="0"/>
                    <w:bidi w:val="0"/>
                    <w:snapToGrid w:val="0"/>
                    <w:jc w:val="center"/>
                    <w:rPr>
                      <w:rFonts w:hint="eastAsia"/>
                      <w:color w:val="auto"/>
                      <w:szCs w:val="21"/>
                    </w:rPr>
                  </w:pPr>
                </w:p>
              </w:tc>
              <w:tc>
                <w:tcPr>
                  <w:tcW w:w="3239" w:type="pct"/>
                  <w:gridSpan w:val="5"/>
                  <w:noWrap w:val="0"/>
                  <w:vAlign w:val="center"/>
                </w:tcPr>
                <w:p w14:paraId="1C5BEFF5">
                  <w:pPr>
                    <w:keepNext w:val="0"/>
                    <w:keepLines w:val="0"/>
                    <w:pageBreakBefore w:val="0"/>
                    <w:widowControl/>
                    <w:kinsoku/>
                    <w:wordWrap/>
                    <w:overflowPunct/>
                    <w:topLinePunct w:val="0"/>
                    <w:bidi w:val="0"/>
                    <w:adjustRightInd w:val="0"/>
                    <w:snapToGrid w:val="0"/>
                    <w:contextualSpacing/>
                    <w:jc w:val="center"/>
                    <w:rPr>
                      <w:color w:val="auto"/>
                      <w:szCs w:val="21"/>
                    </w:rPr>
                  </w:pPr>
                  <w:r>
                    <w:rPr>
                      <w:color w:val="auto"/>
                      <w:szCs w:val="21"/>
                    </w:rPr>
                    <w:t>COD</w:t>
                  </w:r>
                </w:p>
              </w:tc>
              <w:tc>
                <w:tcPr>
                  <w:tcW w:w="662" w:type="pct"/>
                  <w:shd w:val="clear" w:color="auto" w:fill="auto"/>
                  <w:noWrap w:val="0"/>
                  <w:vAlign w:val="center"/>
                </w:tcPr>
                <w:p w14:paraId="3B9E89D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0.54</w:t>
                  </w:r>
                </w:p>
              </w:tc>
              <w:tc>
                <w:tcPr>
                  <w:tcW w:w="646" w:type="pct"/>
                  <w:shd w:val="clear" w:color="auto" w:fill="auto"/>
                  <w:noWrap w:val="0"/>
                  <w:vAlign w:val="center"/>
                </w:tcPr>
                <w:p w14:paraId="48ADE8E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6.697</w:t>
                  </w:r>
                </w:p>
              </w:tc>
            </w:tr>
            <w:tr w14:paraId="0521F2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pct"/>
                  <w:vMerge w:val="continue"/>
                  <w:noWrap w:val="0"/>
                  <w:vAlign w:val="center"/>
                </w:tcPr>
                <w:p w14:paraId="1581DD33">
                  <w:pPr>
                    <w:keepNext w:val="0"/>
                    <w:keepLines w:val="0"/>
                    <w:pageBreakBefore w:val="0"/>
                    <w:kinsoku/>
                    <w:wordWrap/>
                    <w:overflowPunct/>
                    <w:topLinePunct w:val="0"/>
                    <w:bidi w:val="0"/>
                    <w:snapToGrid w:val="0"/>
                    <w:jc w:val="center"/>
                    <w:rPr>
                      <w:rFonts w:hint="eastAsia"/>
                      <w:color w:val="auto"/>
                      <w:szCs w:val="21"/>
                    </w:rPr>
                  </w:pPr>
                </w:p>
              </w:tc>
              <w:tc>
                <w:tcPr>
                  <w:tcW w:w="3239" w:type="pct"/>
                  <w:gridSpan w:val="5"/>
                  <w:noWrap w:val="0"/>
                  <w:vAlign w:val="center"/>
                </w:tcPr>
                <w:p w14:paraId="159287FF">
                  <w:pPr>
                    <w:keepNext w:val="0"/>
                    <w:keepLines w:val="0"/>
                    <w:pageBreakBefore w:val="0"/>
                    <w:widowControl/>
                    <w:kinsoku/>
                    <w:wordWrap/>
                    <w:overflowPunct/>
                    <w:topLinePunct w:val="0"/>
                    <w:bidi w:val="0"/>
                    <w:adjustRightInd w:val="0"/>
                    <w:snapToGrid w:val="0"/>
                    <w:contextualSpacing/>
                    <w:jc w:val="center"/>
                    <w:rPr>
                      <w:color w:val="auto"/>
                      <w:szCs w:val="21"/>
                    </w:rPr>
                  </w:pPr>
                  <w:r>
                    <w:rPr>
                      <w:rFonts w:hint="eastAsia"/>
                      <w:color w:val="auto"/>
                      <w:szCs w:val="21"/>
                    </w:rPr>
                    <w:t>BOD</w:t>
                  </w:r>
                  <w:r>
                    <w:rPr>
                      <w:rFonts w:hint="eastAsia"/>
                      <w:color w:val="auto"/>
                      <w:szCs w:val="21"/>
                      <w:vertAlign w:val="subscript"/>
                    </w:rPr>
                    <w:t>5</w:t>
                  </w:r>
                </w:p>
              </w:tc>
              <w:tc>
                <w:tcPr>
                  <w:tcW w:w="662" w:type="pct"/>
                  <w:shd w:val="clear" w:color="auto" w:fill="auto"/>
                  <w:noWrap w:val="0"/>
                  <w:vAlign w:val="center"/>
                </w:tcPr>
                <w:p w14:paraId="61738BB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0.231</w:t>
                  </w:r>
                </w:p>
              </w:tc>
              <w:tc>
                <w:tcPr>
                  <w:tcW w:w="646" w:type="pct"/>
                  <w:shd w:val="clear" w:color="auto" w:fill="auto"/>
                  <w:noWrap w:val="0"/>
                  <w:vAlign w:val="center"/>
                </w:tcPr>
                <w:p w14:paraId="20F2857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1.81</w:t>
                  </w:r>
                </w:p>
              </w:tc>
            </w:tr>
            <w:tr w14:paraId="507D36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pct"/>
                  <w:vMerge w:val="continue"/>
                  <w:noWrap w:val="0"/>
                  <w:vAlign w:val="center"/>
                </w:tcPr>
                <w:p w14:paraId="0DE534AD">
                  <w:pPr>
                    <w:keepNext w:val="0"/>
                    <w:keepLines w:val="0"/>
                    <w:pageBreakBefore w:val="0"/>
                    <w:kinsoku/>
                    <w:wordWrap/>
                    <w:overflowPunct/>
                    <w:topLinePunct w:val="0"/>
                    <w:bidi w:val="0"/>
                    <w:snapToGrid w:val="0"/>
                    <w:jc w:val="center"/>
                    <w:rPr>
                      <w:rFonts w:hint="eastAsia"/>
                      <w:color w:val="auto"/>
                      <w:szCs w:val="21"/>
                    </w:rPr>
                  </w:pPr>
                </w:p>
              </w:tc>
              <w:tc>
                <w:tcPr>
                  <w:tcW w:w="3239" w:type="pct"/>
                  <w:gridSpan w:val="5"/>
                  <w:noWrap w:val="0"/>
                  <w:vAlign w:val="center"/>
                </w:tcPr>
                <w:p w14:paraId="03BD2CFB">
                  <w:pPr>
                    <w:keepNext w:val="0"/>
                    <w:keepLines w:val="0"/>
                    <w:pageBreakBefore w:val="0"/>
                    <w:widowControl/>
                    <w:kinsoku/>
                    <w:wordWrap/>
                    <w:overflowPunct/>
                    <w:topLinePunct w:val="0"/>
                    <w:bidi w:val="0"/>
                    <w:adjustRightInd w:val="0"/>
                    <w:snapToGrid w:val="0"/>
                    <w:contextualSpacing/>
                    <w:jc w:val="center"/>
                    <w:rPr>
                      <w:color w:val="auto"/>
                      <w:szCs w:val="21"/>
                    </w:rPr>
                  </w:pPr>
                  <w:r>
                    <w:rPr>
                      <w:color w:val="auto"/>
                      <w:szCs w:val="21"/>
                    </w:rPr>
                    <w:t>SS</w:t>
                  </w:r>
                </w:p>
              </w:tc>
              <w:tc>
                <w:tcPr>
                  <w:tcW w:w="662" w:type="pct"/>
                  <w:shd w:val="clear" w:color="auto" w:fill="auto"/>
                  <w:noWrap w:val="0"/>
                  <w:vAlign w:val="center"/>
                </w:tcPr>
                <w:p w14:paraId="574FCF4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0.1973</w:t>
                  </w:r>
                </w:p>
              </w:tc>
              <w:tc>
                <w:tcPr>
                  <w:tcW w:w="646" w:type="pct"/>
                  <w:shd w:val="clear" w:color="auto" w:fill="auto"/>
                  <w:noWrap w:val="0"/>
                  <w:vAlign w:val="center"/>
                </w:tcPr>
                <w:p w14:paraId="3169D77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0.6709</w:t>
                  </w:r>
                </w:p>
              </w:tc>
            </w:tr>
            <w:tr w14:paraId="1E6D97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pct"/>
                  <w:vMerge w:val="continue"/>
                  <w:noWrap w:val="0"/>
                  <w:vAlign w:val="center"/>
                </w:tcPr>
                <w:p w14:paraId="787D8988">
                  <w:pPr>
                    <w:keepNext w:val="0"/>
                    <w:keepLines w:val="0"/>
                    <w:pageBreakBefore w:val="0"/>
                    <w:kinsoku/>
                    <w:wordWrap/>
                    <w:overflowPunct/>
                    <w:topLinePunct w:val="0"/>
                    <w:bidi w:val="0"/>
                    <w:snapToGrid w:val="0"/>
                    <w:jc w:val="center"/>
                    <w:rPr>
                      <w:rFonts w:hint="eastAsia"/>
                      <w:color w:val="auto"/>
                      <w:szCs w:val="21"/>
                    </w:rPr>
                  </w:pPr>
                </w:p>
              </w:tc>
              <w:tc>
                <w:tcPr>
                  <w:tcW w:w="3239" w:type="pct"/>
                  <w:gridSpan w:val="5"/>
                  <w:noWrap w:val="0"/>
                  <w:vAlign w:val="center"/>
                </w:tcPr>
                <w:p w14:paraId="3500C91D">
                  <w:pPr>
                    <w:keepNext w:val="0"/>
                    <w:keepLines w:val="0"/>
                    <w:pageBreakBefore w:val="0"/>
                    <w:kinsoku/>
                    <w:wordWrap/>
                    <w:overflowPunct/>
                    <w:topLinePunct w:val="0"/>
                    <w:bidi w:val="0"/>
                    <w:snapToGrid w:val="0"/>
                    <w:jc w:val="center"/>
                    <w:rPr>
                      <w:rFonts w:hint="eastAsia"/>
                      <w:color w:val="auto"/>
                      <w:szCs w:val="21"/>
                    </w:rPr>
                  </w:pPr>
                  <w:r>
                    <w:rPr>
                      <w:color w:val="auto"/>
                      <w:szCs w:val="21"/>
                    </w:rPr>
                    <w:t>氨氮</w:t>
                  </w:r>
                </w:p>
              </w:tc>
              <w:tc>
                <w:tcPr>
                  <w:tcW w:w="662" w:type="pct"/>
                  <w:shd w:val="clear" w:color="auto" w:fill="auto"/>
                  <w:noWrap w:val="0"/>
                  <w:vAlign w:val="center"/>
                </w:tcPr>
                <w:p w14:paraId="7D3698A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0.0464</w:t>
                  </w:r>
                </w:p>
              </w:tc>
              <w:tc>
                <w:tcPr>
                  <w:tcW w:w="646" w:type="pct"/>
                  <w:shd w:val="clear" w:color="auto" w:fill="auto"/>
                  <w:noWrap w:val="0"/>
                  <w:vAlign w:val="center"/>
                </w:tcPr>
                <w:p w14:paraId="0C70FB7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0.4411</w:t>
                  </w:r>
                </w:p>
              </w:tc>
            </w:tr>
            <w:tr w14:paraId="457685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pct"/>
                  <w:vMerge w:val="continue"/>
                  <w:noWrap w:val="0"/>
                  <w:vAlign w:val="center"/>
                </w:tcPr>
                <w:p w14:paraId="741B5A1B">
                  <w:pPr>
                    <w:keepNext w:val="0"/>
                    <w:keepLines w:val="0"/>
                    <w:pageBreakBefore w:val="0"/>
                    <w:kinsoku/>
                    <w:wordWrap/>
                    <w:overflowPunct/>
                    <w:topLinePunct w:val="0"/>
                    <w:bidi w:val="0"/>
                    <w:snapToGrid w:val="0"/>
                    <w:jc w:val="center"/>
                    <w:rPr>
                      <w:rFonts w:hint="eastAsia"/>
                      <w:color w:val="auto"/>
                      <w:szCs w:val="21"/>
                    </w:rPr>
                  </w:pPr>
                </w:p>
              </w:tc>
              <w:tc>
                <w:tcPr>
                  <w:tcW w:w="3239" w:type="pct"/>
                  <w:gridSpan w:val="5"/>
                  <w:noWrap w:val="0"/>
                  <w:vAlign w:val="center"/>
                </w:tcPr>
                <w:p w14:paraId="75C3423F">
                  <w:pPr>
                    <w:keepNext w:val="0"/>
                    <w:keepLines w:val="0"/>
                    <w:pageBreakBefore w:val="0"/>
                    <w:kinsoku/>
                    <w:wordWrap/>
                    <w:overflowPunct/>
                    <w:topLinePunct w:val="0"/>
                    <w:bidi w:val="0"/>
                    <w:snapToGrid w:val="0"/>
                    <w:jc w:val="center"/>
                    <w:rPr>
                      <w:rFonts w:hint="eastAsia"/>
                      <w:color w:val="auto"/>
                      <w:szCs w:val="21"/>
                    </w:rPr>
                  </w:pPr>
                  <w:r>
                    <w:rPr>
                      <w:color w:val="auto"/>
                      <w:szCs w:val="21"/>
                    </w:rPr>
                    <w:t>总氮</w:t>
                  </w:r>
                </w:p>
              </w:tc>
              <w:tc>
                <w:tcPr>
                  <w:tcW w:w="662" w:type="pct"/>
                  <w:shd w:val="clear" w:color="auto" w:fill="auto"/>
                  <w:noWrap w:val="0"/>
                  <w:vAlign w:val="center"/>
                </w:tcPr>
                <w:p w14:paraId="4AFBB12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0.0583</w:t>
                  </w:r>
                </w:p>
              </w:tc>
              <w:tc>
                <w:tcPr>
                  <w:tcW w:w="646" w:type="pct"/>
                  <w:shd w:val="clear" w:color="auto" w:fill="auto"/>
                  <w:noWrap w:val="0"/>
                  <w:vAlign w:val="center"/>
                </w:tcPr>
                <w:p w14:paraId="11157B0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0.5319</w:t>
                  </w:r>
                </w:p>
              </w:tc>
            </w:tr>
            <w:tr w14:paraId="2BA4D8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pct"/>
                  <w:vMerge w:val="continue"/>
                  <w:noWrap w:val="0"/>
                  <w:vAlign w:val="center"/>
                </w:tcPr>
                <w:p w14:paraId="45C596CD">
                  <w:pPr>
                    <w:keepNext w:val="0"/>
                    <w:keepLines w:val="0"/>
                    <w:pageBreakBefore w:val="0"/>
                    <w:kinsoku/>
                    <w:wordWrap/>
                    <w:overflowPunct/>
                    <w:topLinePunct w:val="0"/>
                    <w:bidi w:val="0"/>
                    <w:snapToGrid w:val="0"/>
                    <w:jc w:val="center"/>
                    <w:rPr>
                      <w:rFonts w:hint="eastAsia"/>
                      <w:color w:val="auto"/>
                      <w:szCs w:val="21"/>
                    </w:rPr>
                  </w:pPr>
                </w:p>
              </w:tc>
              <w:tc>
                <w:tcPr>
                  <w:tcW w:w="3239" w:type="pct"/>
                  <w:gridSpan w:val="5"/>
                  <w:noWrap w:val="0"/>
                  <w:vAlign w:val="center"/>
                </w:tcPr>
                <w:p w14:paraId="0A61979E">
                  <w:pPr>
                    <w:keepNext w:val="0"/>
                    <w:keepLines w:val="0"/>
                    <w:pageBreakBefore w:val="0"/>
                    <w:kinsoku/>
                    <w:wordWrap/>
                    <w:overflowPunct/>
                    <w:topLinePunct w:val="0"/>
                    <w:bidi w:val="0"/>
                    <w:snapToGrid w:val="0"/>
                    <w:jc w:val="center"/>
                    <w:rPr>
                      <w:rFonts w:hint="eastAsia"/>
                      <w:color w:val="auto"/>
                      <w:szCs w:val="21"/>
                    </w:rPr>
                  </w:pPr>
                  <w:r>
                    <w:rPr>
                      <w:color w:val="auto"/>
                      <w:szCs w:val="21"/>
                    </w:rPr>
                    <w:t>总磷</w:t>
                  </w:r>
                </w:p>
              </w:tc>
              <w:tc>
                <w:tcPr>
                  <w:tcW w:w="662" w:type="pct"/>
                  <w:shd w:val="clear" w:color="auto" w:fill="auto"/>
                  <w:noWrap w:val="0"/>
                  <w:vAlign w:val="center"/>
                </w:tcPr>
                <w:p w14:paraId="7073975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0.00393</w:t>
                  </w:r>
                </w:p>
              </w:tc>
              <w:tc>
                <w:tcPr>
                  <w:tcW w:w="646" w:type="pct"/>
                  <w:shd w:val="clear" w:color="auto" w:fill="auto"/>
                  <w:noWrap w:val="0"/>
                  <w:vAlign w:val="center"/>
                </w:tcPr>
                <w:p w14:paraId="067D2DD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0.05129</w:t>
                  </w:r>
                </w:p>
              </w:tc>
            </w:tr>
            <w:tr w14:paraId="10214E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pct"/>
                  <w:vMerge w:val="continue"/>
                  <w:noWrap w:val="0"/>
                  <w:vAlign w:val="center"/>
                </w:tcPr>
                <w:p w14:paraId="2B5B0EE2">
                  <w:pPr>
                    <w:keepNext w:val="0"/>
                    <w:keepLines w:val="0"/>
                    <w:pageBreakBefore w:val="0"/>
                    <w:kinsoku/>
                    <w:wordWrap/>
                    <w:overflowPunct/>
                    <w:topLinePunct w:val="0"/>
                    <w:bidi w:val="0"/>
                    <w:snapToGrid w:val="0"/>
                    <w:jc w:val="center"/>
                    <w:rPr>
                      <w:rFonts w:hint="eastAsia"/>
                      <w:color w:val="auto"/>
                      <w:szCs w:val="21"/>
                    </w:rPr>
                  </w:pPr>
                </w:p>
              </w:tc>
              <w:tc>
                <w:tcPr>
                  <w:tcW w:w="3239" w:type="pct"/>
                  <w:gridSpan w:val="5"/>
                  <w:noWrap w:val="0"/>
                  <w:vAlign w:val="center"/>
                </w:tcPr>
                <w:p w14:paraId="1B5F5F59">
                  <w:pPr>
                    <w:keepNext w:val="0"/>
                    <w:keepLines w:val="0"/>
                    <w:pageBreakBefore w:val="0"/>
                    <w:kinsoku/>
                    <w:wordWrap/>
                    <w:overflowPunct/>
                    <w:topLinePunct w:val="0"/>
                    <w:bidi w:val="0"/>
                    <w:snapToGrid w:val="0"/>
                    <w:jc w:val="center"/>
                    <w:rPr>
                      <w:rFonts w:hint="eastAsia" w:eastAsia="宋体"/>
                      <w:color w:val="auto"/>
                      <w:szCs w:val="21"/>
                      <w:lang w:val="en-US" w:eastAsia="zh-CN"/>
                    </w:rPr>
                  </w:pPr>
                  <w:r>
                    <w:rPr>
                      <w:rFonts w:hint="eastAsia"/>
                      <w:color w:val="auto"/>
                      <w:szCs w:val="21"/>
                      <w:lang w:val="en-US" w:eastAsia="zh-CN"/>
                    </w:rPr>
                    <w:t>氟化物</w:t>
                  </w:r>
                </w:p>
              </w:tc>
              <w:tc>
                <w:tcPr>
                  <w:tcW w:w="662" w:type="pct"/>
                  <w:shd w:val="clear" w:color="auto" w:fill="auto"/>
                  <w:noWrap w:val="0"/>
                  <w:vAlign w:val="center"/>
                </w:tcPr>
                <w:p w14:paraId="2ABAFFA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0.016</w:t>
                  </w:r>
                </w:p>
              </w:tc>
              <w:tc>
                <w:tcPr>
                  <w:tcW w:w="646" w:type="pct"/>
                  <w:shd w:val="clear" w:color="auto" w:fill="auto"/>
                  <w:noWrap w:val="0"/>
                  <w:vAlign w:val="center"/>
                </w:tcPr>
                <w:p w14:paraId="60E29B8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0.016</w:t>
                  </w:r>
                </w:p>
              </w:tc>
            </w:tr>
          </w:tbl>
          <w:p w14:paraId="26BCD806">
            <w:pPr>
              <w:keepNext w:val="0"/>
              <w:keepLines w:val="0"/>
              <w:pageBreakBefore w:val="0"/>
              <w:widowControl/>
              <w:kinsoku/>
              <w:wordWrap/>
              <w:overflowPunct/>
              <w:topLinePunct w:val="0"/>
              <w:bidi w:val="0"/>
              <w:snapToGrid w:val="0"/>
              <w:spacing w:before="120" w:beforeLines="50"/>
              <w:ind w:firstLine="420" w:firstLineChars="200"/>
              <w:jc w:val="both"/>
              <w:rPr>
                <w:rFonts w:hint="default" w:ascii="Times New Roman" w:hAnsi="Times New Roman" w:eastAsia="宋体" w:cs="Times New Roman"/>
                <w:color w:val="auto"/>
                <w:kern w:val="0"/>
                <w:sz w:val="21"/>
                <w:szCs w:val="24"/>
                <w:lang w:val="en-US" w:eastAsia="zh-CN" w:bidi="ar-SA"/>
              </w:rPr>
            </w:pPr>
            <w:r>
              <w:rPr>
                <w:rFonts w:hint="eastAsia" w:ascii="Times New Roman" w:hAnsi="Times New Roman" w:eastAsia="宋体" w:cs="Times New Roman"/>
                <w:color w:val="auto"/>
                <w:kern w:val="0"/>
                <w:sz w:val="21"/>
                <w:szCs w:val="24"/>
                <w:lang w:val="en-US" w:eastAsia="zh-CN" w:bidi="ar-SA"/>
              </w:rPr>
              <w:t>本项目废水污染物排放执行标准见表4-</w:t>
            </w:r>
            <w:r>
              <w:rPr>
                <w:rFonts w:hint="eastAsia" w:cs="Times New Roman"/>
                <w:color w:val="auto"/>
                <w:kern w:val="0"/>
                <w:sz w:val="21"/>
                <w:szCs w:val="24"/>
                <w:lang w:val="en-US" w:eastAsia="zh-CN" w:bidi="ar-SA"/>
              </w:rPr>
              <w:t>19</w:t>
            </w:r>
            <w:r>
              <w:rPr>
                <w:rFonts w:hint="eastAsia" w:ascii="Times New Roman" w:hAnsi="Times New Roman" w:eastAsia="宋体" w:cs="Times New Roman"/>
                <w:color w:val="auto"/>
                <w:kern w:val="0"/>
                <w:sz w:val="21"/>
                <w:szCs w:val="24"/>
                <w:lang w:val="en-US" w:eastAsia="zh-CN" w:bidi="ar-SA"/>
              </w:rPr>
              <w:t>。</w:t>
            </w:r>
          </w:p>
          <w:p w14:paraId="13696D64">
            <w:pPr>
              <w:keepNext w:val="0"/>
              <w:keepLines w:val="0"/>
              <w:pageBreakBefore w:val="0"/>
              <w:widowControl/>
              <w:kinsoku/>
              <w:wordWrap/>
              <w:overflowPunct/>
              <w:topLinePunct w:val="0"/>
              <w:bidi w:val="0"/>
              <w:snapToGrid w:val="0"/>
              <w:spacing w:before="120" w:beforeLines="50"/>
              <w:jc w:val="center"/>
              <w:rPr>
                <w:rFonts w:hint="eastAsia"/>
                <w:b/>
                <w:bCs/>
                <w:color w:val="auto"/>
                <w:kern w:val="10"/>
                <w:szCs w:val="21"/>
              </w:rPr>
            </w:pPr>
            <w:r>
              <w:rPr>
                <w:rFonts w:hint="eastAsia"/>
                <w:b/>
                <w:bCs/>
                <w:color w:val="auto"/>
                <w:kern w:val="10"/>
                <w:szCs w:val="21"/>
              </w:rPr>
              <w:t>表4</w:t>
            </w:r>
            <w:r>
              <w:rPr>
                <w:rFonts w:hint="eastAsia"/>
                <w:b/>
                <w:bCs/>
                <w:color w:val="auto"/>
                <w:kern w:val="10"/>
                <w:szCs w:val="21"/>
                <w:lang w:val="en-US" w:eastAsia="zh-CN"/>
              </w:rPr>
              <w:t xml:space="preserve">-19 </w:t>
            </w:r>
            <w:r>
              <w:rPr>
                <w:rFonts w:hint="eastAsia"/>
                <w:b/>
                <w:bCs/>
                <w:color w:val="auto"/>
                <w:kern w:val="10"/>
                <w:szCs w:val="21"/>
              </w:rPr>
              <w:t>废水污染物排放执行标准表</w:t>
            </w:r>
          </w:p>
          <w:tbl>
            <w:tblPr>
              <w:tblStyle w:val="30"/>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10"/>
              <w:gridCol w:w="1084"/>
              <w:gridCol w:w="1825"/>
              <w:gridCol w:w="1842"/>
              <w:gridCol w:w="2836"/>
            </w:tblGrid>
            <w:tr w14:paraId="4B5F3E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535" w:type="pct"/>
                  <w:vMerge w:val="restart"/>
                  <w:noWrap w:val="0"/>
                  <w:vAlign w:val="center"/>
                </w:tcPr>
                <w:p w14:paraId="1518F015">
                  <w:pPr>
                    <w:keepNext w:val="0"/>
                    <w:keepLines w:val="0"/>
                    <w:pageBreakBefore w:val="0"/>
                    <w:widowControl/>
                    <w:kinsoku/>
                    <w:wordWrap/>
                    <w:overflowPunct/>
                    <w:topLinePunct w:val="0"/>
                    <w:bidi w:val="0"/>
                    <w:adjustRightInd w:val="0"/>
                    <w:snapToGrid w:val="0"/>
                    <w:contextualSpacing/>
                    <w:jc w:val="center"/>
                    <w:rPr>
                      <w:b/>
                      <w:color w:val="auto"/>
                      <w:szCs w:val="21"/>
                    </w:rPr>
                  </w:pPr>
                  <w:r>
                    <w:rPr>
                      <w:b/>
                      <w:color w:val="auto"/>
                      <w:szCs w:val="21"/>
                    </w:rPr>
                    <w:t>序号</w:t>
                  </w:r>
                </w:p>
              </w:tc>
              <w:tc>
                <w:tcPr>
                  <w:tcW w:w="637" w:type="pct"/>
                  <w:vMerge w:val="restart"/>
                  <w:noWrap w:val="0"/>
                  <w:vAlign w:val="center"/>
                </w:tcPr>
                <w:p w14:paraId="69F7D54D">
                  <w:pPr>
                    <w:keepNext w:val="0"/>
                    <w:keepLines w:val="0"/>
                    <w:pageBreakBefore w:val="0"/>
                    <w:widowControl/>
                    <w:kinsoku/>
                    <w:wordWrap/>
                    <w:overflowPunct/>
                    <w:topLinePunct w:val="0"/>
                    <w:bidi w:val="0"/>
                    <w:adjustRightInd w:val="0"/>
                    <w:snapToGrid w:val="0"/>
                    <w:contextualSpacing/>
                    <w:jc w:val="center"/>
                    <w:rPr>
                      <w:b/>
                      <w:color w:val="auto"/>
                      <w:szCs w:val="21"/>
                    </w:rPr>
                  </w:pPr>
                  <w:r>
                    <w:rPr>
                      <w:b/>
                      <w:color w:val="auto"/>
                      <w:szCs w:val="21"/>
                    </w:rPr>
                    <w:t>排放口编号</w:t>
                  </w:r>
                </w:p>
              </w:tc>
              <w:tc>
                <w:tcPr>
                  <w:tcW w:w="1073" w:type="pct"/>
                  <w:vMerge w:val="restart"/>
                  <w:noWrap w:val="0"/>
                  <w:vAlign w:val="center"/>
                </w:tcPr>
                <w:p w14:paraId="626517C9">
                  <w:pPr>
                    <w:keepNext w:val="0"/>
                    <w:keepLines w:val="0"/>
                    <w:pageBreakBefore w:val="0"/>
                    <w:widowControl/>
                    <w:kinsoku/>
                    <w:wordWrap/>
                    <w:overflowPunct/>
                    <w:topLinePunct w:val="0"/>
                    <w:bidi w:val="0"/>
                    <w:adjustRightInd w:val="0"/>
                    <w:snapToGrid w:val="0"/>
                    <w:contextualSpacing/>
                    <w:jc w:val="center"/>
                    <w:rPr>
                      <w:b/>
                      <w:color w:val="auto"/>
                      <w:szCs w:val="21"/>
                    </w:rPr>
                  </w:pPr>
                  <w:r>
                    <w:rPr>
                      <w:b/>
                      <w:color w:val="auto"/>
                      <w:szCs w:val="21"/>
                    </w:rPr>
                    <w:t>污染物种类</w:t>
                  </w:r>
                </w:p>
              </w:tc>
              <w:tc>
                <w:tcPr>
                  <w:tcW w:w="2752" w:type="pct"/>
                  <w:gridSpan w:val="2"/>
                  <w:noWrap w:val="0"/>
                  <w:vAlign w:val="center"/>
                </w:tcPr>
                <w:p w14:paraId="4D494720">
                  <w:pPr>
                    <w:keepNext w:val="0"/>
                    <w:keepLines w:val="0"/>
                    <w:pageBreakBefore w:val="0"/>
                    <w:widowControl/>
                    <w:kinsoku/>
                    <w:wordWrap/>
                    <w:overflowPunct/>
                    <w:topLinePunct w:val="0"/>
                    <w:bidi w:val="0"/>
                    <w:adjustRightInd w:val="0"/>
                    <w:snapToGrid w:val="0"/>
                    <w:contextualSpacing/>
                    <w:jc w:val="center"/>
                    <w:rPr>
                      <w:b/>
                      <w:color w:val="auto"/>
                      <w:szCs w:val="21"/>
                    </w:rPr>
                  </w:pPr>
                  <w:r>
                    <w:rPr>
                      <w:b/>
                      <w:color w:val="auto"/>
                      <w:szCs w:val="21"/>
                    </w:rPr>
                    <w:t>国家或地方污染物排放标准及其他按规定商定的排放协议</w:t>
                  </w:r>
                </w:p>
              </w:tc>
            </w:tr>
            <w:tr w14:paraId="17C7DC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5" w:type="pct"/>
                  <w:vMerge w:val="continue"/>
                  <w:noWrap w:val="0"/>
                  <w:vAlign w:val="center"/>
                </w:tcPr>
                <w:p w14:paraId="47504197">
                  <w:pPr>
                    <w:keepNext w:val="0"/>
                    <w:keepLines w:val="0"/>
                    <w:pageBreakBefore w:val="0"/>
                    <w:widowControl/>
                    <w:kinsoku/>
                    <w:wordWrap/>
                    <w:overflowPunct/>
                    <w:topLinePunct w:val="0"/>
                    <w:bidi w:val="0"/>
                    <w:adjustRightInd w:val="0"/>
                    <w:snapToGrid w:val="0"/>
                    <w:contextualSpacing/>
                    <w:jc w:val="center"/>
                    <w:rPr>
                      <w:b/>
                      <w:color w:val="auto"/>
                      <w:szCs w:val="21"/>
                    </w:rPr>
                  </w:pPr>
                </w:p>
              </w:tc>
              <w:tc>
                <w:tcPr>
                  <w:tcW w:w="637" w:type="pct"/>
                  <w:vMerge w:val="continue"/>
                  <w:noWrap w:val="0"/>
                  <w:vAlign w:val="center"/>
                </w:tcPr>
                <w:p w14:paraId="2CC21F8C">
                  <w:pPr>
                    <w:keepNext w:val="0"/>
                    <w:keepLines w:val="0"/>
                    <w:pageBreakBefore w:val="0"/>
                    <w:widowControl/>
                    <w:kinsoku/>
                    <w:wordWrap/>
                    <w:overflowPunct/>
                    <w:topLinePunct w:val="0"/>
                    <w:bidi w:val="0"/>
                    <w:adjustRightInd w:val="0"/>
                    <w:snapToGrid w:val="0"/>
                    <w:contextualSpacing/>
                    <w:jc w:val="center"/>
                    <w:rPr>
                      <w:b/>
                      <w:color w:val="auto"/>
                      <w:szCs w:val="21"/>
                    </w:rPr>
                  </w:pPr>
                </w:p>
              </w:tc>
              <w:tc>
                <w:tcPr>
                  <w:tcW w:w="1073" w:type="pct"/>
                  <w:vMerge w:val="continue"/>
                  <w:noWrap w:val="0"/>
                  <w:vAlign w:val="center"/>
                </w:tcPr>
                <w:p w14:paraId="2D5C5B5A">
                  <w:pPr>
                    <w:keepNext w:val="0"/>
                    <w:keepLines w:val="0"/>
                    <w:pageBreakBefore w:val="0"/>
                    <w:widowControl/>
                    <w:kinsoku/>
                    <w:wordWrap/>
                    <w:overflowPunct/>
                    <w:topLinePunct w:val="0"/>
                    <w:bidi w:val="0"/>
                    <w:adjustRightInd w:val="0"/>
                    <w:snapToGrid w:val="0"/>
                    <w:contextualSpacing/>
                    <w:jc w:val="center"/>
                    <w:rPr>
                      <w:b/>
                      <w:color w:val="auto"/>
                      <w:szCs w:val="21"/>
                    </w:rPr>
                  </w:pPr>
                </w:p>
              </w:tc>
              <w:tc>
                <w:tcPr>
                  <w:tcW w:w="1083" w:type="pct"/>
                  <w:noWrap w:val="0"/>
                  <w:vAlign w:val="center"/>
                </w:tcPr>
                <w:p w14:paraId="4AC854F9">
                  <w:pPr>
                    <w:keepNext w:val="0"/>
                    <w:keepLines w:val="0"/>
                    <w:pageBreakBefore w:val="0"/>
                    <w:widowControl/>
                    <w:kinsoku/>
                    <w:wordWrap/>
                    <w:overflowPunct/>
                    <w:topLinePunct w:val="0"/>
                    <w:bidi w:val="0"/>
                    <w:adjustRightInd w:val="0"/>
                    <w:snapToGrid w:val="0"/>
                    <w:contextualSpacing/>
                    <w:jc w:val="center"/>
                    <w:rPr>
                      <w:b/>
                      <w:color w:val="auto"/>
                      <w:szCs w:val="21"/>
                    </w:rPr>
                  </w:pPr>
                  <w:r>
                    <w:rPr>
                      <w:b/>
                      <w:color w:val="auto"/>
                      <w:szCs w:val="21"/>
                    </w:rPr>
                    <w:t>名称</w:t>
                  </w:r>
                </w:p>
              </w:tc>
              <w:tc>
                <w:tcPr>
                  <w:tcW w:w="1668" w:type="pct"/>
                  <w:noWrap w:val="0"/>
                  <w:vAlign w:val="center"/>
                </w:tcPr>
                <w:p w14:paraId="1F5C938C">
                  <w:pPr>
                    <w:keepNext w:val="0"/>
                    <w:keepLines w:val="0"/>
                    <w:pageBreakBefore w:val="0"/>
                    <w:widowControl/>
                    <w:kinsoku/>
                    <w:wordWrap/>
                    <w:overflowPunct/>
                    <w:topLinePunct w:val="0"/>
                    <w:bidi w:val="0"/>
                    <w:adjustRightInd w:val="0"/>
                    <w:snapToGrid w:val="0"/>
                    <w:contextualSpacing/>
                    <w:jc w:val="center"/>
                    <w:rPr>
                      <w:b/>
                      <w:color w:val="auto"/>
                      <w:szCs w:val="21"/>
                    </w:rPr>
                  </w:pPr>
                  <w:r>
                    <w:rPr>
                      <w:b/>
                      <w:color w:val="auto"/>
                      <w:szCs w:val="21"/>
                    </w:rPr>
                    <w:t>浓度限值(mg/L)</w:t>
                  </w:r>
                </w:p>
              </w:tc>
            </w:tr>
            <w:tr w14:paraId="193542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5" w:type="pct"/>
                  <w:noWrap w:val="0"/>
                  <w:vAlign w:val="center"/>
                </w:tcPr>
                <w:p w14:paraId="77A08796">
                  <w:pPr>
                    <w:keepNext w:val="0"/>
                    <w:keepLines w:val="0"/>
                    <w:pageBreakBefore w:val="0"/>
                    <w:widowControl/>
                    <w:kinsoku/>
                    <w:wordWrap/>
                    <w:overflowPunct/>
                    <w:topLinePunct w:val="0"/>
                    <w:bidi w:val="0"/>
                    <w:adjustRightInd w:val="0"/>
                    <w:snapToGrid w:val="0"/>
                    <w:contextualSpacing/>
                    <w:jc w:val="center"/>
                    <w:rPr>
                      <w:color w:val="auto"/>
                      <w:kern w:val="2"/>
                      <w:sz w:val="21"/>
                      <w:szCs w:val="21"/>
                      <w:lang w:val="en-US" w:eastAsia="zh-CN" w:bidi="ar-SA"/>
                    </w:rPr>
                  </w:pPr>
                  <w:r>
                    <w:rPr>
                      <w:rFonts w:hint="eastAsia"/>
                      <w:color w:val="auto"/>
                      <w:szCs w:val="21"/>
                    </w:rPr>
                    <w:t>1</w:t>
                  </w:r>
                </w:p>
              </w:tc>
              <w:tc>
                <w:tcPr>
                  <w:tcW w:w="637" w:type="pct"/>
                  <w:vMerge w:val="restart"/>
                  <w:noWrap w:val="0"/>
                  <w:vAlign w:val="center"/>
                </w:tcPr>
                <w:p w14:paraId="6A556241">
                  <w:pPr>
                    <w:keepNext w:val="0"/>
                    <w:keepLines w:val="0"/>
                    <w:pageBreakBefore w:val="0"/>
                    <w:widowControl/>
                    <w:kinsoku/>
                    <w:wordWrap/>
                    <w:overflowPunct/>
                    <w:topLinePunct w:val="0"/>
                    <w:bidi w:val="0"/>
                    <w:adjustRightInd w:val="0"/>
                    <w:snapToGrid w:val="0"/>
                    <w:contextualSpacing/>
                    <w:jc w:val="center"/>
                    <w:rPr>
                      <w:color w:val="auto"/>
                      <w:szCs w:val="21"/>
                    </w:rPr>
                  </w:pPr>
                  <w:r>
                    <w:rPr>
                      <w:rFonts w:hint="eastAsia"/>
                      <w:color w:val="auto"/>
                      <w:szCs w:val="21"/>
                    </w:rPr>
                    <w:t>DW001</w:t>
                  </w:r>
                </w:p>
              </w:tc>
              <w:tc>
                <w:tcPr>
                  <w:tcW w:w="1073" w:type="pct"/>
                  <w:noWrap w:val="0"/>
                  <w:vAlign w:val="center"/>
                </w:tcPr>
                <w:p w14:paraId="45D6773C">
                  <w:pPr>
                    <w:keepNext w:val="0"/>
                    <w:keepLines w:val="0"/>
                    <w:pageBreakBefore w:val="0"/>
                    <w:widowControl/>
                    <w:kinsoku/>
                    <w:wordWrap/>
                    <w:overflowPunct/>
                    <w:topLinePunct w:val="0"/>
                    <w:bidi w:val="0"/>
                    <w:adjustRightInd w:val="0"/>
                    <w:snapToGrid w:val="0"/>
                    <w:contextualSpacing/>
                    <w:jc w:val="center"/>
                    <w:rPr>
                      <w:b/>
                      <w:color w:val="auto"/>
                      <w:szCs w:val="21"/>
                    </w:rPr>
                  </w:pPr>
                  <w:r>
                    <w:rPr>
                      <w:rFonts w:hint="eastAsia"/>
                      <w:color w:val="auto"/>
                      <w:szCs w:val="21"/>
                      <w:lang w:val="en-US" w:eastAsia="zh-CN"/>
                    </w:rPr>
                    <w:t>pH</w:t>
                  </w:r>
                </w:p>
              </w:tc>
              <w:tc>
                <w:tcPr>
                  <w:tcW w:w="1083" w:type="pct"/>
                  <w:vMerge w:val="restart"/>
                  <w:noWrap w:val="0"/>
                  <w:vAlign w:val="center"/>
                </w:tcPr>
                <w:p w14:paraId="256C34C8">
                  <w:pPr>
                    <w:keepNext w:val="0"/>
                    <w:keepLines w:val="0"/>
                    <w:pageBreakBefore w:val="0"/>
                    <w:widowControl/>
                    <w:kinsoku/>
                    <w:wordWrap/>
                    <w:overflowPunct/>
                    <w:topLinePunct w:val="0"/>
                    <w:bidi w:val="0"/>
                    <w:adjustRightInd w:val="0"/>
                    <w:snapToGrid w:val="0"/>
                    <w:contextualSpacing/>
                    <w:jc w:val="center"/>
                    <w:rPr>
                      <w:rFonts w:hint="eastAsia" w:eastAsia="宋体"/>
                      <w:color w:val="auto"/>
                      <w:szCs w:val="21"/>
                      <w:lang w:eastAsia="zh-CN"/>
                    </w:rPr>
                  </w:pPr>
                  <w:r>
                    <w:rPr>
                      <w:rFonts w:hint="eastAsia" w:ascii="Times New Roman" w:hAnsi="Times New Roman" w:cs="Times New Roman"/>
                      <w:color w:val="auto"/>
                      <w:kern w:val="0"/>
                      <w:sz w:val="21"/>
                      <w:lang w:val="en-US" w:eastAsia="zh-CN"/>
                    </w:rPr>
                    <w:t>城东污水处理厂二期</w:t>
                  </w:r>
                  <w:r>
                    <w:rPr>
                      <w:color w:val="auto"/>
                      <w:szCs w:val="21"/>
                    </w:rPr>
                    <w:t>接管标准</w:t>
                  </w:r>
                </w:p>
              </w:tc>
              <w:tc>
                <w:tcPr>
                  <w:tcW w:w="1668" w:type="pct"/>
                  <w:noWrap w:val="0"/>
                  <w:vAlign w:val="center"/>
                </w:tcPr>
                <w:p w14:paraId="1C2743BB">
                  <w:pPr>
                    <w:keepNext w:val="0"/>
                    <w:keepLines w:val="0"/>
                    <w:pageBreakBefore w:val="0"/>
                    <w:widowControl/>
                    <w:kinsoku/>
                    <w:wordWrap/>
                    <w:overflowPunct/>
                    <w:topLinePunct w:val="0"/>
                    <w:bidi w:val="0"/>
                    <w:adjustRightInd w:val="0"/>
                    <w:snapToGrid w:val="0"/>
                    <w:contextualSpacing/>
                    <w:jc w:val="center"/>
                    <w:rPr>
                      <w:b/>
                      <w:color w:val="auto"/>
                      <w:szCs w:val="21"/>
                    </w:rPr>
                  </w:pPr>
                  <w:r>
                    <w:rPr>
                      <w:rFonts w:hint="eastAsia"/>
                      <w:b w:val="0"/>
                      <w:bCs/>
                      <w:color w:val="auto"/>
                      <w:lang w:val="en-US" w:eastAsia="zh-CN"/>
                    </w:rPr>
                    <w:t>6~9</w:t>
                  </w:r>
                </w:p>
              </w:tc>
            </w:tr>
            <w:tr w14:paraId="01A437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5" w:type="pct"/>
                  <w:noWrap w:val="0"/>
                  <w:vAlign w:val="center"/>
                </w:tcPr>
                <w:p w14:paraId="34B24E27">
                  <w:pPr>
                    <w:keepNext w:val="0"/>
                    <w:keepLines w:val="0"/>
                    <w:pageBreakBefore w:val="0"/>
                    <w:widowControl/>
                    <w:kinsoku/>
                    <w:wordWrap/>
                    <w:overflowPunct/>
                    <w:topLinePunct w:val="0"/>
                    <w:bidi w:val="0"/>
                    <w:adjustRightInd w:val="0"/>
                    <w:snapToGrid w:val="0"/>
                    <w:contextualSpacing/>
                    <w:jc w:val="center"/>
                    <w:rPr>
                      <w:rFonts w:hint="eastAsia" w:eastAsia="宋体"/>
                      <w:color w:val="auto"/>
                      <w:kern w:val="2"/>
                      <w:sz w:val="21"/>
                      <w:szCs w:val="21"/>
                      <w:lang w:val="en-US" w:eastAsia="zh-CN" w:bidi="ar-SA"/>
                    </w:rPr>
                  </w:pPr>
                  <w:r>
                    <w:rPr>
                      <w:rFonts w:hint="eastAsia"/>
                      <w:color w:val="auto"/>
                      <w:szCs w:val="21"/>
                      <w:lang w:val="en-US" w:eastAsia="zh-CN"/>
                    </w:rPr>
                    <w:t>2</w:t>
                  </w:r>
                </w:p>
              </w:tc>
              <w:tc>
                <w:tcPr>
                  <w:tcW w:w="637" w:type="pct"/>
                  <w:vMerge w:val="continue"/>
                  <w:noWrap w:val="0"/>
                  <w:vAlign w:val="center"/>
                </w:tcPr>
                <w:p w14:paraId="001C0F67">
                  <w:pPr>
                    <w:keepNext w:val="0"/>
                    <w:keepLines w:val="0"/>
                    <w:pageBreakBefore w:val="0"/>
                    <w:widowControl/>
                    <w:kinsoku/>
                    <w:wordWrap/>
                    <w:overflowPunct/>
                    <w:topLinePunct w:val="0"/>
                    <w:bidi w:val="0"/>
                    <w:adjustRightInd w:val="0"/>
                    <w:snapToGrid w:val="0"/>
                    <w:contextualSpacing/>
                    <w:jc w:val="center"/>
                    <w:rPr>
                      <w:color w:val="auto"/>
                      <w:szCs w:val="21"/>
                    </w:rPr>
                  </w:pPr>
                </w:p>
              </w:tc>
              <w:tc>
                <w:tcPr>
                  <w:tcW w:w="1073" w:type="pct"/>
                  <w:noWrap w:val="0"/>
                  <w:vAlign w:val="center"/>
                </w:tcPr>
                <w:p w14:paraId="590914B3">
                  <w:pPr>
                    <w:keepNext w:val="0"/>
                    <w:keepLines w:val="0"/>
                    <w:pageBreakBefore w:val="0"/>
                    <w:widowControl/>
                    <w:kinsoku/>
                    <w:wordWrap/>
                    <w:overflowPunct/>
                    <w:topLinePunct w:val="0"/>
                    <w:bidi w:val="0"/>
                    <w:adjustRightInd w:val="0"/>
                    <w:snapToGrid w:val="0"/>
                    <w:contextualSpacing/>
                    <w:jc w:val="center"/>
                    <w:rPr>
                      <w:rFonts w:hint="default"/>
                      <w:color w:val="auto"/>
                      <w:kern w:val="2"/>
                      <w:sz w:val="21"/>
                      <w:szCs w:val="21"/>
                      <w:lang w:val="en-US" w:eastAsia="zh-CN" w:bidi="ar-SA"/>
                    </w:rPr>
                  </w:pPr>
                  <w:r>
                    <w:rPr>
                      <w:color w:val="auto"/>
                      <w:szCs w:val="21"/>
                    </w:rPr>
                    <w:t>COD</w:t>
                  </w:r>
                </w:p>
              </w:tc>
              <w:tc>
                <w:tcPr>
                  <w:tcW w:w="1083" w:type="pct"/>
                  <w:vMerge w:val="continue"/>
                  <w:noWrap w:val="0"/>
                  <w:vAlign w:val="center"/>
                </w:tcPr>
                <w:p w14:paraId="169E3991">
                  <w:pPr>
                    <w:keepNext w:val="0"/>
                    <w:keepLines w:val="0"/>
                    <w:pageBreakBefore w:val="0"/>
                    <w:widowControl/>
                    <w:kinsoku/>
                    <w:wordWrap/>
                    <w:overflowPunct/>
                    <w:topLinePunct w:val="0"/>
                    <w:bidi w:val="0"/>
                    <w:adjustRightInd w:val="0"/>
                    <w:snapToGrid w:val="0"/>
                    <w:contextualSpacing/>
                    <w:jc w:val="center"/>
                    <w:rPr>
                      <w:rFonts w:hint="eastAsia" w:eastAsia="宋体"/>
                      <w:color w:val="auto"/>
                      <w:szCs w:val="21"/>
                      <w:lang w:eastAsia="zh-CN"/>
                    </w:rPr>
                  </w:pPr>
                </w:p>
              </w:tc>
              <w:tc>
                <w:tcPr>
                  <w:tcW w:w="1668" w:type="pct"/>
                  <w:noWrap w:val="0"/>
                  <w:vAlign w:val="center"/>
                </w:tcPr>
                <w:p w14:paraId="0C8991E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500</w:t>
                  </w:r>
                </w:p>
              </w:tc>
            </w:tr>
            <w:tr w14:paraId="57D915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5" w:type="pct"/>
                  <w:noWrap w:val="0"/>
                  <w:vAlign w:val="center"/>
                </w:tcPr>
                <w:p w14:paraId="5435AE4B">
                  <w:pPr>
                    <w:keepNext w:val="0"/>
                    <w:keepLines w:val="0"/>
                    <w:pageBreakBefore w:val="0"/>
                    <w:widowControl/>
                    <w:kinsoku/>
                    <w:wordWrap/>
                    <w:overflowPunct/>
                    <w:topLinePunct w:val="0"/>
                    <w:bidi w:val="0"/>
                    <w:adjustRightInd w:val="0"/>
                    <w:snapToGrid w:val="0"/>
                    <w:contextualSpacing/>
                    <w:jc w:val="center"/>
                    <w:rPr>
                      <w:rFonts w:hint="eastAsia" w:eastAsia="宋体"/>
                      <w:color w:val="auto"/>
                      <w:kern w:val="2"/>
                      <w:sz w:val="21"/>
                      <w:szCs w:val="21"/>
                      <w:lang w:val="en-US" w:eastAsia="zh-CN" w:bidi="ar-SA"/>
                    </w:rPr>
                  </w:pPr>
                  <w:r>
                    <w:rPr>
                      <w:rFonts w:hint="eastAsia"/>
                      <w:color w:val="auto"/>
                      <w:szCs w:val="21"/>
                      <w:lang w:val="en-US" w:eastAsia="zh-CN"/>
                    </w:rPr>
                    <w:t>3</w:t>
                  </w:r>
                </w:p>
              </w:tc>
              <w:tc>
                <w:tcPr>
                  <w:tcW w:w="637" w:type="pct"/>
                  <w:vMerge w:val="continue"/>
                  <w:noWrap w:val="0"/>
                  <w:vAlign w:val="center"/>
                </w:tcPr>
                <w:p w14:paraId="1E5FC435">
                  <w:pPr>
                    <w:keepNext w:val="0"/>
                    <w:keepLines w:val="0"/>
                    <w:pageBreakBefore w:val="0"/>
                    <w:widowControl/>
                    <w:kinsoku/>
                    <w:wordWrap/>
                    <w:overflowPunct/>
                    <w:topLinePunct w:val="0"/>
                    <w:bidi w:val="0"/>
                    <w:adjustRightInd w:val="0"/>
                    <w:snapToGrid w:val="0"/>
                    <w:contextualSpacing/>
                    <w:jc w:val="center"/>
                    <w:rPr>
                      <w:rFonts w:hint="eastAsia"/>
                      <w:color w:val="auto"/>
                      <w:szCs w:val="21"/>
                    </w:rPr>
                  </w:pPr>
                </w:p>
              </w:tc>
              <w:tc>
                <w:tcPr>
                  <w:tcW w:w="1073" w:type="pct"/>
                  <w:noWrap w:val="0"/>
                  <w:vAlign w:val="center"/>
                </w:tcPr>
                <w:p w14:paraId="10113EDC">
                  <w:pPr>
                    <w:keepNext w:val="0"/>
                    <w:keepLines w:val="0"/>
                    <w:pageBreakBefore w:val="0"/>
                    <w:widowControl/>
                    <w:kinsoku/>
                    <w:wordWrap/>
                    <w:overflowPunct/>
                    <w:topLinePunct w:val="0"/>
                    <w:bidi w:val="0"/>
                    <w:adjustRightInd w:val="0"/>
                    <w:snapToGrid w:val="0"/>
                    <w:contextualSpacing/>
                    <w:jc w:val="center"/>
                    <w:rPr>
                      <w:color w:val="auto"/>
                      <w:szCs w:val="21"/>
                    </w:rPr>
                  </w:pPr>
                  <w:r>
                    <w:rPr>
                      <w:rFonts w:hint="eastAsia"/>
                      <w:color w:val="auto"/>
                      <w:szCs w:val="21"/>
                      <w:lang w:val="en-US" w:eastAsia="zh-CN"/>
                    </w:rPr>
                    <w:t>BOD</w:t>
                  </w:r>
                  <w:r>
                    <w:rPr>
                      <w:rFonts w:hint="eastAsia"/>
                      <w:color w:val="auto"/>
                      <w:szCs w:val="21"/>
                      <w:vertAlign w:val="subscript"/>
                      <w:lang w:val="en-US" w:eastAsia="zh-CN"/>
                    </w:rPr>
                    <w:t>5</w:t>
                  </w:r>
                </w:p>
              </w:tc>
              <w:tc>
                <w:tcPr>
                  <w:tcW w:w="1083" w:type="pct"/>
                  <w:vMerge w:val="continue"/>
                  <w:noWrap w:val="0"/>
                  <w:vAlign w:val="center"/>
                </w:tcPr>
                <w:p w14:paraId="40FBA75E">
                  <w:pPr>
                    <w:keepNext w:val="0"/>
                    <w:keepLines w:val="0"/>
                    <w:pageBreakBefore w:val="0"/>
                    <w:widowControl/>
                    <w:kinsoku/>
                    <w:wordWrap/>
                    <w:overflowPunct/>
                    <w:topLinePunct w:val="0"/>
                    <w:bidi w:val="0"/>
                    <w:adjustRightInd w:val="0"/>
                    <w:snapToGrid w:val="0"/>
                    <w:contextualSpacing/>
                    <w:jc w:val="center"/>
                    <w:rPr>
                      <w:rFonts w:hint="default" w:ascii="Times New Roman" w:hAnsi="Times New Roman" w:cs="Times New Roman"/>
                      <w:color w:val="auto"/>
                      <w:kern w:val="0"/>
                      <w:sz w:val="21"/>
                      <w:lang w:val="en-US" w:eastAsia="zh-CN"/>
                    </w:rPr>
                  </w:pPr>
                </w:p>
              </w:tc>
              <w:tc>
                <w:tcPr>
                  <w:tcW w:w="1668" w:type="pct"/>
                  <w:noWrap w:val="0"/>
                  <w:vAlign w:val="center"/>
                </w:tcPr>
                <w:p w14:paraId="704778B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200</w:t>
                  </w:r>
                </w:p>
              </w:tc>
            </w:tr>
            <w:tr w14:paraId="654492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5" w:type="pct"/>
                  <w:noWrap w:val="0"/>
                  <w:vAlign w:val="center"/>
                </w:tcPr>
                <w:p w14:paraId="6BCB5C0B">
                  <w:pPr>
                    <w:keepNext w:val="0"/>
                    <w:keepLines w:val="0"/>
                    <w:pageBreakBefore w:val="0"/>
                    <w:widowControl/>
                    <w:kinsoku/>
                    <w:wordWrap/>
                    <w:overflowPunct/>
                    <w:topLinePunct w:val="0"/>
                    <w:bidi w:val="0"/>
                    <w:adjustRightInd w:val="0"/>
                    <w:snapToGrid w:val="0"/>
                    <w:contextualSpacing/>
                    <w:jc w:val="center"/>
                    <w:rPr>
                      <w:rFonts w:hint="eastAsia" w:eastAsia="宋体"/>
                      <w:color w:val="auto"/>
                      <w:kern w:val="2"/>
                      <w:sz w:val="21"/>
                      <w:szCs w:val="21"/>
                      <w:lang w:val="en-US" w:eastAsia="zh-CN" w:bidi="ar-SA"/>
                    </w:rPr>
                  </w:pPr>
                  <w:r>
                    <w:rPr>
                      <w:rFonts w:hint="eastAsia"/>
                      <w:color w:val="auto"/>
                      <w:szCs w:val="21"/>
                      <w:lang w:val="en-US" w:eastAsia="zh-CN"/>
                    </w:rPr>
                    <w:t>4</w:t>
                  </w:r>
                </w:p>
              </w:tc>
              <w:tc>
                <w:tcPr>
                  <w:tcW w:w="637" w:type="pct"/>
                  <w:vMerge w:val="continue"/>
                  <w:noWrap w:val="0"/>
                  <w:vAlign w:val="center"/>
                </w:tcPr>
                <w:p w14:paraId="59680086">
                  <w:pPr>
                    <w:keepNext w:val="0"/>
                    <w:keepLines w:val="0"/>
                    <w:pageBreakBefore w:val="0"/>
                    <w:widowControl/>
                    <w:kinsoku/>
                    <w:wordWrap/>
                    <w:overflowPunct/>
                    <w:topLinePunct w:val="0"/>
                    <w:bidi w:val="0"/>
                    <w:adjustRightInd w:val="0"/>
                    <w:snapToGrid w:val="0"/>
                    <w:contextualSpacing/>
                    <w:jc w:val="center"/>
                    <w:rPr>
                      <w:color w:val="auto"/>
                      <w:szCs w:val="21"/>
                    </w:rPr>
                  </w:pPr>
                </w:p>
              </w:tc>
              <w:tc>
                <w:tcPr>
                  <w:tcW w:w="1073" w:type="pct"/>
                  <w:noWrap w:val="0"/>
                  <w:vAlign w:val="center"/>
                </w:tcPr>
                <w:p w14:paraId="1B98D671">
                  <w:pPr>
                    <w:keepNext w:val="0"/>
                    <w:keepLines w:val="0"/>
                    <w:pageBreakBefore w:val="0"/>
                    <w:widowControl/>
                    <w:kinsoku/>
                    <w:wordWrap/>
                    <w:overflowPunct/>
                    <w:topLinePunct w:val="0"/>
                    <w:bidi w:val="0"/>
                    <w:adjustRightInd w:val="0"/>
                    <w:snapToGrid w:val="0"/>
                    <w:contextualSpacing/>
                    <w:jc w:val="center"/>
                    <w:rPr>
                      <w:color w:val="auto"/>
                      <w:kern w:val="2"/>
                      <w:sz w:val="21"/>
                      <w:szCs w:val="21"/>
                      <w:lang w:val="en-US" w:eastAsia="zh-CN" w:bidi="ar-SA"/>
                    </w:rPr>
                  </w:pPr>
                  <w:r>
                    <w:rPr>
                      <w:rFonts w:hint="eastAsia"/>
                      <w:color w:val="auto"/>
                      <w:szCs w:val="21"/>
                    </w:rPr>
                    <w:t>SS</w:t>
                  </w:r>
                </w:p>
              </w:tc>
              <w:tc>
                <w:tcPr>
                  <w:tcW w:w="1083" w:type="pct"/>
                  <w:vMerge w:val="continue"/>
                  <w:noWrap w:val="0"/>
                  <w:vAlign w:val="center"/>
                </w:tcPr>
                <w:p w14:paraId="4E358CF2">
                  <w:pPr>
                    <w:keepNext w:val="0"/>
                    <w:keepLines w:val="0"/>
                    <w:pageBreakBefore w:val="0"/>
                    <w:widowControl/>
                    <w:kinsoku/>
                    <w:wordWrap/>
                    <w:overflowPunct/>
                    <w:topLinePunct w:val="0"/>
                    <w:bidi w:val="0"/>
                    <w:adjustRightInd w:val="0"/>
                    <w:snapToGrid w:val="0"/>
                    <w:contextualSpacing/>
                    <w:jc w:val="center"/>
                    <w:rPr>
                      <w:color w:val="auto"/>
                      <w:szCs w:val="21"/>
                    </w:rPr>
                  </w:pPr>
                </w:p>
              </w:tc>
              <w:tc>
                <w:tcPr>
                  <w:tcW w:w="1668" w:type="pct"/>
                  <w:noWrap w:val="0"/>
                  <w:vAlign w:val="center"/>
                </w:tcPr>
                <w:p w14:paraId="021CF78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250</w:t>
                  </w:r>
                </w:p>
              </w:tc>
            </w:tr>
            <w:tr w14:paraId="03D29B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5" w:type="pct"/>
                  <w:noWrap w:val="0"/>
                  <w:vAlign w:val="center"/>
                </w:tcPr>
                <w:p w14:paraId="1A3D6AC9">
                  <w:pPr>
                    <w:keepNext w:val="0"/>
                    <w:keepLines w:val="0"/>
                    <w:pageBreakBefore w:val="0"/>
                    <w:widowControl/>
                    <w:kinsoku/>
                    <w:wordWrap/>
                    <w:overflowPunct/>
                    <w:topLinePunct w:val="0"/>
                    <w:bidi w:val="0"/>
                    <w:adjustRightInd w:val="0"/>
                    <w:snapToGrid w:val="0"/>
                    <w:contextualSpacing/>
                    <w:jc w:val="center"/>
                    <w:rPr>
                      <w:rFonts w:hint="eastAsia" w:eastAsia="宋体"/>
                      <w:color w:val="auto"/>
                      <w:kern w:val="2"/>
                      <w:sz w:val="21"/>
                      <w:szCs w:val="21"/>
                      <w:lang w:val="en-US" w:eastAsia="zh-CN" w:bidi="ar-SA"/>
                    </w:rPr>
                  </w:pPr>
                  <w:r>
                    <w:rPr>
                      <w:rFonts w:hint="eastAsia"/>
                      <w:color w:val="auto"/>
                      <w:szCs w:val="21"/>
                      <w:lang w:val="en-US" w:eastAsia="zh-CN"/>
                    </w:rPr>
                    <w:t>5</w:t>
                  </w:r>
                </w:p>
              </w:tc>
              <w:tc>
                <w:tcPr>
                  <w:tcW w:w="637" w:type="pct"/>
                  <w:vMerge w:val="continue"/>
                  <w:noWrap w:val="0"/>
                  <w:vAlign w:val="center"/>
                </w:tcPr>
                <w:p w14:paraId="2DC944EF">
                  <w:pPr>
                    <w:keepNext w:val="0"/>
                    <w:keepLines w:val="0"/>
                    <w:pageBreakBefore w:val="0"/>
                    <w:widowControl/>
                    <w:kinsoku/>
                    <w:wordWrap/>
                    <w:overflowPunct/>
                    <w:topLinePunct w:val="0"/>
                    <w:bidi w:val="0"/>
                    <w:adjustRightInd w:val="0"/>
                    <w:snapToGrid w:val="0"/>
                    <w:contextualSpacing/>
                    <w:jc w:val="center"/>
                    <w:rPr>
                      <w:color w:val="auto"/>
                      <w:szCs w:val="21"/>
                    </w:rPr>
                  </w:pPr>
                </w:p>
              </w:tc>
              <w:tc>
                <w:tcPr>
                  <w:tcW w:w="1073" w:type="pct"/>
                  <w:noWrap w:val="0"/>
                  <w:vAlign w:val="center"/>
                </w:tcPr>
                <w:p w14:paraId="0E750355">
                  <w:pPr>
                    <w:keepNext w:val="0"/>
                    <w:keepLines w:val="0"/>
                    <w:pageBreakBefore w:val="0"/>
                    <w:widowControl/>
                    <w:kinsoku/>
                    <w:wordWrap/>
                    <w:overflowPunct/>
                    <w:topLinePunct w:val="0"/>
                    <w:bidi w:val="0"/>
                    <w:adjustRightInd w:val="0"/>
                    <w:snapToGrid w:val="0"/>
                    <w:contextualSpacing/>
                    <w:jc w:val="center"/>
                    <w:rPr>
                      <w:color w:val="auto"/>
                      <w:kern w:val="2"/>
                      <w:sz w:val="21"/>
                      <w:szCs w:val="21"/>
                      <w:lang w:val="en-US" w:eastAsia="zh-CN" w:bidi="ar-SA"/>
                    </w:rPr>
                  </w:pPr>
                  <w:r>
                    <w:rPr>
                      <w:color w:val="auto"/>
                      <w:szCs w:val="21"/>
                    </w:rPr>
                    <w:t>氨氮</w:t>
                  </w:r>
                </w:p>
              </w:tc>
              <w:tc>
                <w:tcPr>
                  <w:tcW w:w="1083" w:type="pct"/>
                  <w:vMerge w:val="continue"/>
                  <w:noWrap w:val="0"/>
                  <w:vAlign w:val="center"/>
                </w:tcPr>
                <w:p w14:paraId="5DB75016">
                  <w:pPr>
                    <w:keepNext w:val="0"/>
                    <w:keepLines w:val="0"/>
                    <w:pageBreakBefore w:val="0"/>
                    <w:widowControl/>
                    <w:kinsoku/>
                    <w:wordWrap/>
                    <w:overflowPunct/>
                    <w:topLinePunct w:val="0"/>
                    <w:bidi w:val="0"/>
                    <w:adjustRightInd w:val="0"/>
                    <w:snapToGrid w:val="0"/>
                    <w:contextualSpacing/>
                    <w:jc w:val="center"/>
                    <w:rPr>
                      <w:color w:val="auto"/>
                      <w:szCs w:val="21"/>
                    </w:rPr>
                  </w:pPr>
                </w:p>
              </w:tc>
              <w:tc>
                <w:tcPr>
                  <w:tcW w:w="1668" w:type="pct"/>
                  <w:noWrap w:val="0"/>
                  <w:vAlign w:val="center"/>
                </w:tcPr>
                <w:p w14:paraId="0F49F32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b w:val="0"/>
                      <w:bCs/>
                      <w:color w:val="auto"/>
                      <w:kern w:val="0"/>
                      <w:sz w:val="21"/>
                      <w:szCs w:val="21"/>
                      <w:vertAlign w:val="baseline"/>
                      <w:lang w:val="en-US" w:eastAsia="zh-CN" w:bidi="ar-SA"/>
                    </w:rPr>
                  </w:pPr>
                  <w:r>
                    <w:rPr>
                      <w:rFonts w:hint="eastAsia"/>
                      <w:b w:val="0"/>
                      <w:bCs/>
                      <w:color w:val="auto"/>
                      <w:kern w:val="0"/>
                      <w:szCs w:val="21"/>
                      <w:vertAlign w:val="baseline"/>
                      <w:lang w:val="en-US" w:eastAsia="zh-CN"/>
                    </w:rPr>
                    <w:t>30</w:t>
                  </w:r>
                </w:p>
              </w:tc>
            </w:tr>
            <w:tr w14:paraId="49C8E2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5" w:type="pct"/>
                  <w:noWrap w:val="0"/>
                  <w:vAlign w:val="center"/>
                </w:tcPr>
                <w:p w14:paraId="73CB86C1">
                  <w:pPr>
                    <w:keepNext w:val="0"/>
                    <w:keepLines w:val="0"/>
                    <w:pageBreakBefore w:val="0"/>
                    <w:widowControl/>
                    <w:kinsoku/>
                    <w:wordWrap/>
                    <w:overflowPunct/>
                    <w:topLinePunct w:val="0"/>
                    <w:bidi w:val="0"/>
                    <w:adjustRightInd w:val="0"/>
                    <w:snapToGrid w:val="0"/>
                    <w:contextualSpacing/>
                    <w:jc w:val="center"/>
                    <w:rPr>
                      <w:rFonts w:hint="eastAsia" w:eastAsia="宋体"/>
                      <w:color w:val="auto"/>
                      <w:kern w:val="2"/>
                      <w:sz w:val="21"/>
                      <w:szCs w:val="21"/>
                      <w:lang w:val="en-US" w:eastAsia="zh-CN" w:bidi="ar-SA"/>
                    </w:rPr>
                  </w:pPr>
                  <w:r>
                    <w:rPr>
                      <w:rFonts w:hint="eastAsia"/>
                      <w:color w:val="auto"/>
                      <w:szCs w:val="21"/>
                      <w:lang w:val="en-US" w:eastAsia="zh-CN"/>
                    </w:rPr>
                    <w:t>6</w:t>
                  </w:r>
                </w:p>
              </w:tc>
              <w:tc>
                <w:tcPr>
                  <w:tcW w:w="637" w:type="pct"/>
                  <w:vMerge w:val="continue"/>
                  <w:noWrap w:val="0"/>
                  <w:vAlign w:val="center"/>
                </w:tcPr>
                <w:p w14:paraId="75EA8FE3">
                  <w:pPr>
                    <w:keepNext w:val="0"/>
                    <w:keepLines w:val="0"/>
                    <w:pageBreakBefore w:val="0"/>
                    <w:widowControl/>
                    <w:kinsoku/>
                    <w:wordWrap/>
                    <w:overflowPunct/>
                    <w:topLinePunct w:val="0"/>
                    <w:bidi w:val="0"/>
                    <w:adjustRightInd w:val="0"/>
                    <w:snapToGrid w:val="0"/>
                    <w:contextualSpacing/>
                    <w:jc w:val="center"/>
                    <w:rPr>
                      <w:color w:val="auto"/>
                      <w:szCs w:val="21"/>
                    </w:rPr>
                  </w:pPr>
                </w:p>
              </w:tc>
              <w:tc>
                <w:tcPr>
                  <w:tcW w:w="1073" w:type="pct"/>
                  <w:noWrap w:val="0"/>
                  <w:vAlign w:val="center"/>
                </w:tcPr>
                <w:p w14:paraId="44CEF022">
                  <w:pPr>
                    <w:keepNext w:val="0"/>
                    <w:keepLines w:val="0"/>
                    <w:pageBreakBefore w:val="0"/>
                    <w:widowControl/>
                    <w:kinsoku/>
                    <w:wordWrap/>
                    <w:overflowPunct/>
                    <w:topLinePunct w:val="0"/>
                    <w:bidi w:val="0"/>
                    <w:adjustRightInd w:val="0"/>
                    <w:snapToGrid w:val="0"/>
                    <w:contextualSpacing/>
                    <w:jc w:val="center"/>
                    <w:rPr>
                      <w:color w:val="auto"/>
                      <w:kern w:val="2"/>
                      <w:sz w:val="21"/>
                      <w:szCs w:val="21"/>
                      <w:lang w:val="en-US" w:eastAsia="zh-CN" w:bidi="ar-SA"/>
                    </w:rPr>
                  </w:pPr>
                  <w:r>
                    <w:rPr>
                      <w:color w:val="auto"/>
                      <w:szCs w:val="21"/>
                    </w:rPr>
                    <w:t>总氮</w:t>
                  </w:r>
                </w:p>
              </w:tc>
              <w:tc>
                <w:tcPr>
                  <w:tcW w:w="1083" w:type="pct"/>
                  <w:vMerge w:val="continue"/>
                  <w:noWrap w:val="0"/>
                  <w:vAlign w:val="center"/>
                </w:tcPr>
                <w:p w14:paraId="6C9C8564">
                  <w:pPr>
                    <w:keepNext w:val="0"/>
                    <w:keepLines w:val="0"/>
                    <w:pageBreakBefore w:val="0"/>
                    <w:widowControl/>
                    <w:kinsoku/>
                    <w:wordWrap/>
                    <w:overflowPunct/>
                    <w:topLinePunct w:val="0"/>
                    <w:bidi w:val="0"/>
                    <w:adjustRightInd w:val="0"/>
                    <w:snapToGrid w:val="0"/>
                    <w:contextualSpacing/>
                    <w:jc w:val="center"/>
                    <w:rPr>
                      <w:color w:val="auto"/>
                      <w:szCs w:val="21"/>
                    </w:rPr>
                  </w:pPr>
                </w:p>
              </w:tc>
              <w:tc>
                <w:tcPr>
                  <w:tcW w:w="1668" w:type="pct"/>
                  <w:noWrap w:val="0"/>
                  <w:vAlign w:val="center"/>
                </w:tcPr>
                <w:p w14:paraId="4128FBD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b w:val="0"/>
                      <w:bCs/>
                      <w:color w:val="auto"/>
                      <w:kern w:val="0"/>
                      <w:sz w:val="21"/>
                      <w:szCs w:val="21"/>
                      <w:vertAlign w:val="baseline"/>
                      <w:lang w:val="en-US" w:eastAsia="zh-CN" w:bidi="ar-SA"/>
                    </w:rPr>
                  </w:pPr>
                  <w:r>
                    <w:rPr>
                      <w:rFonts w:hint="eastAsia" w:eastAsia="宋体"/>
                      <w:b w:val="0"/>
                      <w:bCs/>
                      <w:color w:val="auto"/>
                      <w:kern w:val="0"/>
                      <w:sz w:val="21"/>
                      <w:szCs w:val="21"/>
                      <w:vertAlign w:val="baseline"/>
                      <w:lang w:val="en-US" w:eastAsia="zh-CN" w:bidi="ar-SA"/>
                    </w:rPr>
                    <w:t>40</w:t>
                  </w:r>
                </w:p>
              </w:tc>
            </w:tr>
            <w:tr w14:paraId="688FD1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5" w:type="pct"/>
                  <w:noWrap w:val="0"/>
                  <w:vAlign w:val="center"/>
                </w:tcPr>
                <w:p w14:paraId="5D66D819">
                  <w:pPr>
                    <w:keepNext w:val="0"/>
                    <w:keepLines w:val="0"/>
                    <w:pageBreakBefore w:val="0"/>
                    <w:widowControl/>
                    <w:kinsoku/>
                    <w:wordWrap/>
                    <w:overflowPunct/>
                    <w:topLinePunct w:val="0"/>
                    <w:bidi w:val="0"/>
                    <w:adjustRightInd w:val="0"/>
                    <w:snapToGrid w:val="0"/>
                    <w:contextualSpacing/>
                    <w:jc w:val="center"/>
                    <w:rPr>
                      <w:rFonts w:hint="eastAsia" w:eastAsia="宋体"/>
                      <w:color w:val="auto"/>
                      <w:kern w:val="2"/>
                      <w:sz w:val="21"/>
                      <w:szCs w:val="21"/>
                      <w:lang w:val="en-US" w:eastAsia="zh-CN" w:bidi="ar-SA"/>
                    </w:rPr>
                  </w:pPr>
                  <w:r>
                    <w:rPr>
                      <w:rFonts w:hint="eastAsia"/>
                      <w:color w:val="auto"/>
                      <w:szCs w:val="21"/>
                      <w:lang w:val="en-US" w:eastAsia="zh-CN"/>
                    </w:rPr>
                    <w:t>7</w:t>
                  </w:r>
                </w:p>
              </w:tc>
              <w:tc>
                <w:tcPr>
                  <w:tcW w:w="637" w:type="pct"/>
                  <w:vMerge w:val="continue"/>
                  <w:noWrap w:val="0"/>
                  <w:vAlign w:val="center"/>
                </w:tcPr>
                <w:p w14:paraId="19C0C662">
                  <w:pPr>
                    <w:keepNext w:val="0"/>
                    <w:keepLines w:val="0"/>
                    <w:pageBreakBefore w:val="0"/>
                    <w:widowControl/>
                    <w:kinsoku/>
                    <w:wordWrap/>
                    <w:overflowPunct/>
                    <w:topLinePunct w:val="0"/>
                    <w:bidi w:val="0"/>
                    <w:adjustRightInd w:val="0"/>
                    <w:snapToGrid w:val="0"/>
                    <w:contextualSpacing/>
                    <w:jc w:val="center"/>
                    <w:rPr>
                      <w:color w:val="auto"/>
                      <w:szCs w:val="21"/>
                    </w:rPr>
                  </w:pPr>
                </w:p>
              </w:tc>
              <w:tc>
                <w:tcPr>
                  <w:tcW w:w="1073" w:type="pct"/>
                  <w:noWrap w:val="0"/>
                  <w:vAlign w:val="center"/>
                </w:tcPr>
                <w:p w14:paraId="675B3CEB">
                  <w:pPr>
                    <w:keepNext w:val="0"/>
                    <w:keepLines w:val="0"/>
                    <w:pageBreakBefore w:val="0"/>
                    <w:widowControl/>
                    <w:kinsoku/>
                    <w:wordWrap/>
                    <w:overflowPunct/>
                    <w:topLinePunct w:val="0"/>
                    <w:bidi w:val="0"/>
                    <w:adjustRightInd w:val="0"/>
                    <w:snapToGrid w:val="0"/>
                    <w:contextualSpacing/>
                    <w:jc w:val="center"/>
                    <w:rPr>
                      <w:color w:val="auto"/>
                      <w:kern w:val="2"/>
                      <w:sz w:val="21"/>
                      <w:szCs w:val="21"/>
                      <w:lang w:val="en-US" w:eastAsia="zh-CN" w:bidi="ar-SA"/>
                    </w:rPr>
                  </w:pPr>
                  <w:r>
                    <w:rPr>
                      <w:rFonts w:hint="eastAsia"/>
                      <w:color w:val="auto"/>
                      <w:szCs w:val="21"/>
                    </w:rPr>
                    <w:t>总磷</w:t>
                  </w:r>
                </w:p>
              </w:tc>
              <w:tc>
                <w:tcPr>
                  <w:tcW w:w="1083" w:type="pct"/>
                  <w:vMerge w:val="continue"/>
                  <w:noWrap w:val="0"/>
                  <w:vAlign w:val="center"/>
                </w:tcPr>
                <w:p w14:paraId="06B9852F">
                  <w:pPr>
                    <w:keepNext w:val="0"/>
                    <w:keepLines w:val="0"/>
                    <w:pageBreakBefore w:val="0"/>
                    <w:widowControl/>
                    <w:kinsoku/>
                    <w:wordWrap/>
                    <w:overflowPunct/>
                    <w:topLinePunct w:val="0"/>
                    <w:bidi w:val="0"/>
                    <w:adjustRightInd w:val="0"/>
                    <w:snapToGrid w:val="0"/>
                    <w:contextualSpacing/>
                    <w:jc w:val="center"/>
                    <w:rPr>
                      <w:color w:val="auto"/>
                      <w:szCs w:val="21"/>
                    </w:rPr>
                  </w:pPr>
                </w:p>
              </w:tc>
              <w:tc>
                <w:tcPr>
                  <w:tcW w:w="1668" w:type="pct"/>
                  <w:noWrap w:val="0"/>
                  <w:vAlign w:val="center"/>
                </w:tcPr>
                <w:p w14:paraId="62559AF2">
                  <w:pPr>
                    <w:keepNext w:val="0"/>
                    <w:keepLines w:val="0"/>
                    <w:pageBreakBefore w:val="0"/>
                    <w:widowControl/>
                    <w:kinsoku/>
                    <w:wordWrap/>
                    <w:overflowPunct/>
                    <w:topLinePunct w:val="0"/>
                    <w:bidi w:val="0"/>
                    <w:adjustRightInd w:val="0"/>
                    <w:snapToGrid w:val="0"/>
                    <w:contextualSpacing/>
                    <w:jc w:val="center"/>
                    <w:rPr>
                      <w:rFonts w:hint="default" w:eastAsia="宋体"/>
                      <w:color w:val="auto"/>
                      <w:kern w:val="2"/>
                      <w:sz w:val="21"/>
                      <w:szCs w:val="21"/>
                      <w:lang w:val="en-US" w:eastAsia="zh-CN" w:bidi="ar-SA"/>
                    </w:rPr>
                  </w:pPr>
                  <w:r>
                    <w:rPr>
                      <w:rFonts w:hint="eastAsia" w:eastAsia="宋体"/>
                      <w:color w:val="auto"/>
                      <w:kern w:val="2"/>
                      <w:sz w:val="21"/>
                      <w:szCs w:val="21"/>
                      <w:lang w:val="en-US" w:eastAsia="zh-CN" w:bidi="ar-SA"/>
                    </w:rPr>
                    <w:t>5</w:t>
                  </w:r>
                </w:p>
              </w:tc>
            </w:tr>
            <w:tr w14:paraId="536ADB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5" w:type="pct"/>
                  <w:noWrap w:val="0"/>
                  <w:vAlign w:val="center"/>
                </w:tcPr>
                <w:p w14:paraId="1C01F4B3">
                  <w:pPr>
                    <w:keepNext w:val="0"/>
                    <w:keepLines w:val="0"/>
                    <w:pageBreakBefore w:val="0"/>
                    <w:widowControl/>
                    <w:kinsoku/>
                    <w:wordWrap/>
                    <w:overflowPunct/>
                    <w:topLinePunct w:val="0"/>
                    <w:bidi w:val="0"/>
                    <w:adjustRightInd w:val="0"/>
                    <w:snapToGrid w:val="0"/>
                    <w:contextualSpacing/>
                    <w:jc w:val="center"/>
                    <w:rPr>
                      <w:rFonts w:hint="default"/>
                      <w:color w:val="auto"/>
                      <w:szCs w:val="21"/>
                      <w:lang w:val="en-US" w:eastAsia="zh-CN"/>
                    </w:rPr>
                  </w:pPr>
                  <w:r>
                    <w:rPr>
                      <w:rFonts w:hint="eastAsia"/>
                      <w:color w:val="auto"/>
                      <w:szCs w:val="21"/>
                      <w:lang w:val="en-US" w:eastAsia="zh-CN"/>
                    </w:rPr>
                    <w:t>8</w:t>
                  </w:r>
                </w:p>
              </w:tc>
              <w:tc>
                <w:tcPr>
                  <w:tcW w:w="637" w:type="pct"/>
                  <w:vMerge w:val="continue"/>
                  <w:noWrap w:val="0"/>
                  <w:vAlign w:val="center"/>
                </w:tcPr>
                <w:p w14:paraId="7CCCA5BE">
                  <w:pPr>
                    <w:keepNext w:val="0"/>
                    <w:keepLines w:val="0"/>
                    <w:pageBreakBefore w:val="0"/>
                    <w:widowControl/>
                    <w:kinsoku/>
                    <w:wordWrap/>
                    <w:overflowPunct/>
                    <w:topLinePunct w:val="0"/>
                    <w:bidi w:val="0"/>
                    <w:adjustRightInd w:val="0"/>
                    <w:snapToGrid w:val="0"/>
                    <w:contextualSpacing/>
                    <w:jc w:val="center"/>
                    <w:rPr>
                      <w:color w:val="auto"/>
                      <w:szCs w:val="21"/>
                    </w:rPr>
                  </w:pPr>
                </w:p>
              </w:tc>
              <w:tc>
                <w:tcPr>
                  <w:tcW w:w="1073" w:type="pct"/>
                  <w:noWrap w:val="0"/>
                  <w:vAlign w:val="center"/>
                </w:tcPr>
                <w:p w14:paraId="2B9F91A8">
                  <w:pPr>
                    <w:keepNext w:val="0"/>
                    <w:keepLines w:val="0"/>
                    <w:pageBreakBefore w:val="0"/>
                    <w:widowControl/>
                    <w:kinsoku/>
                    <w:wordWrap/>
                    <w:overflowPunct/>
                    <w:topLinePunct w:val="0"/>
                    <w:bidi w:val="0"/>
                    <w:adjustRightInd w:val="0"/>
                    <w:snapToGrid w:val="0"/>
                    <w:contextualSpacing/>
                    <w:jc w:val="center"/>
                    <w:rPr>
                      <w:rFonts w:hint="eastAsia" w:eastAsia="宋体"/>
                      <w:color w:val="auto"/>
                      <w:szCs w:val="21"/>
                      <w:lang w:val="en-US" w:eastAsia="zh-CN"/>
                    </w:rPr>
                  </w:pPr>
                  <w:r>
                    <w:rPr>
                      <w:rFonts w:hint="eastAsia"/>
                      <w:color w:val="auto"/>
                      <w:szCs w:val="21"/>
                      <w:lang w:val="en-US" w:eastAsia="zh-CN"/>
                    </w:rPr>
                    <w:t>氟化物</w:t>
                  </w:r>
                </w:p>
              </w:tc>
              <w:tc>
                <w:tcPr>
                  <w:tcW w:w="1083" w:type="pct"/>
                  <w:vMerge w:val="continue"/>
                  <w:noWrap w:val="0"/>
                  <w:vAlign w:val="center"/>
                </w:tcPr>
                <w:p w14:paraId="10AC5BBD">
                  <w:pPr>
                    <w:keepNext w:val="0"/>
                    <w:keepLines w:val="0"/>
                    <w:pageBreakBefore w:val="0"/>
                    <w:widowControl/>
                    <w:kinsoku/>
                    <w:wordWrap/>
                    <w:overflowPunct/>
                    <w:topLinePunct w:val="0"/>
                    <w:bidi w:val="0"/>
                    <w:adjustRightInd w:val="0"/>
                    <w:snapToGrid w:val="0"/>
                    <w:contextualSpacing/>
                    <w:jc w:val="center"/>
                    <w:rPr>
                      <w:color w:val="auto"/>
                      <w:szCs w:val="21"/>
                    </w:rPr>
                  </w:pPr>
                </w:p>
              </w:tc>
              <w:tc>
                <w:tcPr>
                  <w:tcW w:w="1668" w:type="pct"/>
                  <w:noWrap w:val="0"/>
                  <w:vAlign w:val="center"/>
                </w:tcPr>
                <w:p w14:paraId="7BA2589F">
                  <w:pPr>
                    <w:keepNext w:val="0"/>
                    <w:keepLines w:val="0"/>
                    <w:pageBreakBefore w:val="0"/>
                    <w:widowControl/>
                    <w:kinsoku/>
                    <w:wordWrap/>
                    <w:overflowPunct/>
                    <w:topLinePunct w:val="0"/>
                    <w:bidi w:val="0"/>
                    <w:adjustRightInd w:val="0"/>
                    <w:snapToGrid w:val="0"/>
                    <w:contextualSpacing/>
                    <w:jc w:val="center"/>
                    <w:rPr>
                      <w:rFonts w:hint="default" w:eastAsia="宋体"/>
                      <w:color w:val="auto"/>
                      <w:kern w:val="2"/>
                      <w:sz w:val="21"/>
                      <w:szCs w:val="21"/>
                      <w:lang w:val="en-US" w:eastAsia="zh-CN" w:bidi="ar-SA"/>
                    </w:rPr>
                  </w:pPr>
                  <w:r>
                    <w:rPr>
                      <w:rFonts w:hint="eastAsia" w:eastAsia="宋体"/>
                      <w:color w:val="auto"/>
                      <w:kern w:val="2"/>
                      <w:sz w:val="21"/>
                      <w:szCs w:val="21"/>
                      <w:lang w:val="en-US" w:eastAsia="zh-CN" w:bidi="ar-SA"/>
                    </w:rPr>
                    <w:t>1.5</w:t>
                  </w:r>
                </w:p>
              </w:tc>
            </w:tr>
          </w:tbl>
          <w:p w14:paraId="6B83B2DD">
            <w:pPr>
              <w:keepNext w:val="0"/>
              <w:keepLines w:val="0"/>
              <w:pageBreakBefore w:val="0"/>
              <w:widowControl w:val="0"/>
              <w:numPr>
                <w:ilvl w:val="0"/>
                <w:numId w:val="0"/>
              </w:numPr>
              <w:kinsoku/>
              <w:wordWrap/>
              <w:overflowPunct/>
              <w:topLinePunct w:val="0"/>
              <w:autoSpaceDE/>
              <w:autoSpaceDN/>
              <w:bidi w:val="0"/>
              <w:adjustRightInd w:val="0"/>
              <w:snapToGrid w:val="0"/>
              <w:spacing w:before="148" w:beforeLines="50" w:line="360" w:lineRule="auto"/>
              <w:jc w:val="both"/>
              <w:textAlignment w:val="auto"/>
              <w:rPr>
                <w:rFonts w:hint="eastAsia"/>
                <w:b/>
                <w:bCs w:val="0"/>
                <w:color w:val="auto"/>
                <w:kern w:val="0"/>
                <w:szCs w:val="21"/>
                <w:lang w:val="en-US" w:eastAsia="zh-CN"/>
              </w:rPr>
            </w:pPr>
            <w:r>
              <w:rPr>
                <w:rFonts w:hint="eastAsia"/>
                <w:b/>
                <w:bCs w:val="0"/>
                <w:color w:val="auto"/>
                <w:kern w:val="0"/>
                <w:szCs w:val="21"/>
                <w:lang w:val="en-US" w:eastAsia="zh-CN"/>
              </w:rPr>
              <w:t>2.3污染物治理措施可行性分析</w:t>
            </w:r>
          </w:p>
          <w:p w14:paraId="401E6653">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jc w:val="both"/>
              <w:textAlignment w:val="auto"/>
              <w:rPr>
                <w:rFonts w:hint="default"/>
                <w:b w:val="0"/>
                <w:bCs/>
                <w:color w:val="auto"/>
                <w:kern w:val="0"/>
                <w:szCs w:val="21"/>
                <w:lang w:val="en-US" w:eastAsia="zh-CN"/>
              </w:rPr>
            </w:pPr>
            <w:r>
              <w:rPr>
                <w:rFonts w:hint="eastAsia" w:ascii="Times New Roman" w:hAnsi="Times New Roman" w:eastAsia="宋体" w:cs="Times New Roman"/>
                <w:b w:val="0"/>
                <w:bCs/>
                <w:color w:val="auto"/>
                <w:kern w:val="0"/>
                <w:sz w:val="21"/>
                <w:szCs w:val="21"/>
                <w:lang w:val="en-US" w:eastAsia="zh-CN" w:bidi="ar-SA"/>
              </w:rPr>
              <w:t>（1）</w:t>
            </w:r>
            <w:r>
              <w:rPr>
                <w:rFonts w:hint="eastAsia"/>
                <w:b w:val="0"/>
                <w:bCs/>
                <w:color w:val="auto"/>
                <w:kern w:val="0"/>
                <w:szCs w:val="21"/>
                <w:lang w:val="en-US" w:eastAsia="zh-CN"/>
              </w:rPr>
              <w:t>化粪池处理生活污水可行性分析</w:t>
            </w:r>
          </w:p>
          <w:p w14:paraId="54AE7C4A">
            <w:pPr>
              <w:keepNext w:val="0"/>
              <w:keepLines w:val="0"/>
              <w:pageBreakBefore w:val="0"/>
              <w:kinsoku/>
              <w:wordWrap/>
              <w:overflowPunct/>
              <w:topLinePunct w:val="0"/>
              <w:bidi w:val="0"/>
              <w:adjustRightInd w:val="0"/>
              <w:snapToGrid w:val="0"/>
              <w:spacing w:line="360" w:lineRule="auto"/>
              <w:ind w:firstLine="420" w:firstLineChars="200"/>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根据《村镇生活污染防治最佳可行技术指南》（试行），村镇生活污水污染防治最佳可行单元技术为三格式化粪池、沼气发酵池、人工湿地、土地快速渗滤、稳定塘、厌氧滤池、生物接触氧化法、脱氮除磷活性污泥法、膜生物反应器</w:t>
            </w:r>
            <w:r>
              <w:rPr>
                <w:rFonts w:hint="eastAsia"/>
                <w:color w:val="auto"/>
                <w:sz w:val="21"/>
                <w:szCs w:val="21"/>
                <w:highlight w:val="none"/>
              </w:rPr>
              <w:t>。</w:t>
            </w:r>
            <w:r>
              <w:rPr>
                <w:rFonts w:hint="eastAsia" w:ascii="Times New Roman" w:hAnsi="Times New Roman" w:eastAsia="宋体" w:cs="Times New Roman"/>
                <w:bCs/>
                <w:color w:val="auto"/>
                <w:szCs w:val="21"/>
                <w:lang w:val="en-US" w:eastAsia="zh-CN"/>
              </w:rPr>
              <w:t>本项目生活污水采用化粪池处理，是常规成熟稳定的工艺，处理后达到城东污水处理厂二期接管标准，技术上可行。</w:t>
            </w:r>
            <w:r>
              <w:rPr>
                <w:rFonts w:hint="default" w:ascii="Times New Roman" w:hAnsi="Times New Roman" w:eastAsia="宋体" w:cs="Times New Roman"/>
                <w:color w:val="auto"/>
                <w:kern w:val="0"/>
                <w:sz w:val="21"/>
                <w:lang w:val="en-US" w:eastAsia="zh-CN"/>
              </w:rPr>
              <w:t>项目生活污水经化粪池处</w:t>
            </w:r>
            <w:r>
              <w:rPr>
                <w:rFonts w:hint="default" w:ascii="Times New Roman" w:hAnsi="Times New Roman" w:eastAsia="宋体" w:cs="Times New Roman"/>
                <w:bCs/>
                <w:color w:val="auto"/>
                <w:szCs w:val="21"/>
                <w:lang w:val="en-US" w:eastAsia="zh-CN"/>
              </w:rPr>
              <w:t>理后，可对悬浮物有较大的削减作用，对COD等也有一定的去除效果。</w:t>
            </w:r>
          </w:p>
          <w:p w14:paraId="5021E549">
            <w:pPr>
              <w:keepNext w:val="0"/>
              <w:keepLines w:val="0"/>
              <w:pageBreakBefore w:val="0"/>
              <w:kinsoku/>
              <w:wordWrap/>
              <w:overflowPunct/>
              <w:topLinePunct w:val="0"/>
              <w:bidi w:val="0"/>
              <w:adjustRightInd w:val="0"/>
              <w:snapToGrid w:val="0"/>
              <w:spacing w:line="360" w:lineRule="auto"/>
              <w:ind w:firstLine="420" w:firstLineChars="200"/>
              <w:rPr>
                <w:rFonts w:hint="default" w:ascii="Times New Roman" w:hAnsi="Times New Roman" w:eastAsia="宋体" w:cs="Times New Roman"/>
                <w:bCs/>
                <w:color w:val="auto"/>
                <w:szCs w:val="21"/>
                <w:lang w:val="en-US" w:eastAsia="zh-CN"/>
              </w:rPr>
            </w:pPr>
            <w:r>
              <w:rPr>
                <w:color w:val="auto"/>
                <w:szCs w:val="21"/>
              </w:rPr>
              <w:t>生活污水</w:t>
            </w:r>
            <w:r>
              <w:rPr>
                <w:rFonts w:hint="eastAsia"/>
                <w:color w:val="auto"/>
                <w:szCs w:val="21"/>
              </w:rPr>
              <w:t>经化粪池处理后，废水中各水污染物浓度为：COD：</w:t>
            </w:r>
            <w:r>
              <w:rPr>
                <w:rFonts w:hint="eastAsia"/>
                <w:color w:val="auto"/>
                <w:szCs w:val="21"/>
                <w:lang w:val="en-US" w:eastAsia="zh-CN"/>
              </w:rPr>
              <w:t>390</w:t>
            </w:r>
            <w:r>
              <w:rPr>
                <w:rFonts w:hint="eastAsia"/>
                <w:color w:val="auto"/>
                <w:szCs w:val="21"/>
              </w:rPr>
              <w:t>mg/L</w:t>
            </w:r>
            <w:r>
              <w:rPr>
                <w:rFonts w:hint="eastAsia"/>
                <w:color w:val="auto"/>
                <w:szCs w:val="21"/>
                <w:lang w:val="en-US" w:eastAsia="zh-CN"/>
              </w:rPr>
              <w:t>、</w:t>
            </w:r>
            <w:r>
              <w:rPr>
                <w:rFonts w:hint="eastAsia" w:ascii="Times New Roman" w:eastAsia="宋体"/>
                <w:b w:val="0"/>
                <w:bCs w:val="0"/>
                <w:color w:val="auto"/>
                <w:kern w:val="0"/>
                <w:szCs w:val="21"/>
                <w:lang w:val="en-US" w:eastAsia="zh-CN" w:bidi="ar"/>
              </w:rPr>
              <w:t>BOD</w:t>
            </w:r>
            <w:r>
              <w:rPr>
                <w:rFonts w:hint="eastAsia" w:ascii="Times New Roman" w:eastAsia="宋体"/>
                <w:b w:val="0"/>
                <w:bCs w:val="0"/>
                <w:color w:val="auto"/>
                <w:kern w:val="0"/>
                <w:szCs w:val="21"/>
                <w:vertAlign w:val="subscript"/>
                <w:lang w:val="en-US" w:eastAsia="zh-CN" w:bidi="ar"/>
              </w:rPr>
              <w:t>5</w:t>
            </w:r>
            <w:r>
              <w:rPr>
                <w:rFonts w:hint="eastAsia"/>
                <w:color w:val="auto"/>
                <w:szCs w:val="21"/>
                <w:lang w:val="en-US" w:eastAsia="zh-CN"/>
              </w:rPr>
              <w:t>：100mL、</w:t>
            </w:r>
            <w:r>
              <w:rPr>
                <w:rFonts w:hint="eastAsia"/>
                <w:color w:val="auto"/>
                <w:szCs w:val="21"/>
              </w:rPr>
              <w:t>SS：</w:t>
            </w:r>
            <w:r>
              <w:rPr>
                <w:rFonts w:hint="eastAsia"/>
                <w:color w:val="auto"/>
                <w:szCs w:val="21"/>
                <w:lang w:val="en-US" w:eastAsia="zh-CN"/>
              </w:rPr>
              <w:t>3</w:t>
            </w:r>
            <w:r>
              <w:rPr>
                <w:rFonts w:hint="eastAsia"/>
                <w:color w:val="auto"/>
                <w:szCs w:val="21"/>
              </w:rPr>
              <w:t>0mg/L、</w:t>
            </w:r>
            <w:r>
              <w:rPr>
                <w:rFonts w:hint="eastAsia"/>
                <w:color w:val="auto"/>
                <w:szCs w:val="21"/>
                <w:lang w:val="en-US" w:eastAsia="zh-CN"/>
              </w:rPr>
              <w:t>氨氮</w:t>
            </w:r>
            <w:r>
              <w:rPr>
                <w:rFonts w:hint="eastAsia"/>
                <w:color w:val="auto"/>
                <w:szCs w:val="21"/>
              </w:rPr>
              <w:t>：</w:t>
            </w:r>
            <w:r>
              <w:rPr>
                <w:rFonts w:hint="eastAsia"/>
                <w:color w:val="auto"/>
                <w:szCs w:val="21"/>
                <w:lang w:val="en-US" w:eastAsia="zh-CN"/>
              </w:rPr>
              <w:t>25</w:t>
            </w:r>
            <w:r>
              <w:rPr>
                <w:rFonts w:hint="eastAsia"/>
                <w:color w:val="auto"/>
                <w:szCs w:val="21"/>
              </w:rPr>
              <w:t>mg/L、总氮：</w:t>
            </w:r>
            <w:r>
              <w:rPr>
                <w:rFonts w:hint="eastAsia"/>
                <w:color w:val="auto"/>
                <w:szCs w:val="21"/>
                <w:lang w:val="en-US" w:eastAsia="zh-CN"/>
              </w:rPr>
              <w:t>30</w:t>
            </w:r>
            <w:r>
              <w:rPr>
                <w:rFonts w:hint="eastAsia"/>
                <w:color w:val="auto"/>
                <w:szCs w:val="21"/>
              </w:rPr>
              <w:t>mg/L、总磷：</w:t>
            </w:r>
            <w:r>
              <w:rPr>
                <w:rFonts w:hint="eastAsia"/>
                <w:color w:val="auto"/>
                <w:szCs w:val="21"/>
                <w:lang w:val="en-US" w:eastAsia="zh-CN"/>
              </w:rPr>
              <w:t>3</w:t>
            </w:r>
            <w:r>
              <w:rPr>
                <w:rFonts w:hint="eastAsia"/>
                <w:color w:val="auto"/>
                <w:szCs w:val="21"/>
              </w:rPr>
              <w:t>mg/L，本项目生活污水经化粪池处理后接管至</w:t>
            </w:r>
            <w:r>
              <w:rPr>
                <w:rFonts w:hint="eastAsia"/>
                <w:color w:val="auto"/>
                <w:szCs w:val="21"/>
                <w:lang w:val="en-US" w:eastAsia="zh-CN"/>
              </w:rPr>
              <w:t>城东污水处理厂二期进一步</w:t>
            </w:r>
            <w:r>
              <w:rPr>
                <w:rFonts w:hint="eastAsia"/>
                <w:color w:val="auto"/>
                <w:szCs w:val="21"/>
              </w:rPr>
              <w:t>处理，对周边地表水环境影响较小。</w:t>
            </w:r>
          </w:p>
          <w:p w14:paraId="04E1E20E">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jc w:val="both"/>
              <w:textAlignment w:val="auto"/>
              <w:rPr>
                <w:rFonts w:hint="eastAsia"/>
                <w:b w:val="0"/>
                <w:bCs/>
                <w:color w:val="auto"/>
                <w:kern w:val="0"/>
                <w:szCs w:val="21"/>
                <w:lang w:val="en-US" w:eastAsia="zh-CN"/>
              </w:rPr>
            </w:pPr>
            <w:r>
              <w:rPr>
                <w:rFonts w:hint="eastAsia"/>
                <w:b w:val="0"/>
                <w:bCs/>
                <w:color w:val="auto"/>
                <w:kern w:val="0"/>
                <w:szCs w:val="21"/>
                <w:lang w:val="en-US" w:eastAsia="zh-CN"/>
              </w:rPr>
              <w:t>（2）</w:t>
            </w:r>
            <w:r>
              <w:rPr>
                <w:rFonts w:hint="eastAsia"/>
                <w:color w:val="auto"/>
                <w:szCs w:val="21"/>
              </w:rPr>
              <w:t>污水处理站处理工艺可行性分析</w:t>
            </w:r>
          </w:p>
          <w:p w14:paraId="03942DA3">
            <w:pPr>
              <w:keepNext w:val="0"/>
              <w:keepLines w:val="0"/>
              <w:pageBreakBefore w:val="0"/>
              <w:widowControl w:val="0"/>
              <w:kinsoku/>
              <w:wordWrap/>
              <w:overflowPunct/>
              <w:topLinePunct w:val="0"/>
              <w:autoSpaceDE/>
              <w:autoSpaceDN/>
              <w:bidi w:val="0"/>
              <w:adjustRightInd/>
              <w:snapToGrid w:val="0"/>
              <w:spacing w:line="360" w:lineRule="auto"/>
              <w:ind w:right="0" w:firstLine="420" w:firstLineChars="200"/>
              <w:textAlignment w:val="auto"/>
              <w:rPr>
                <w:rFonts w:hint="eastAsia"/>
                <w:color w:val="auto"/>
              </w:rPr>
            </w:pPr>
            <w:r>
              <w:rPr>
                <w:rFonts w:hint="eastAsia"/>
                <w:color w:val="auto"/>
                <w:lang w:val="en-US" w:eastAsia="zh-CN"/>
              </w:rPr>
              <w:t>本项目设置一套清洗</w:t>
            </w:r>
            <w:r>
              <w:rPr>
                <w:rFonts w:hint="eastAsia" w:cs="Times New Roman"/>
                <w:b w:val="0"/>
                <w:bCs w:val="0"/>
                <w:color w:val="auto"/>
                <w:spacing w:val="0"/>
                <w:position w:val="0"/>
                <w:sz w:val="21"/>
                <w:szCs w:val="21"/>
                <w:lang w:val="en-US" w:eastAsia="zh-CN"/>
              </w:rPr>
              <w:t>废水处理装置，用于处理</w:t>
            </w:r>
            <w:r>
              <w:rPr>
                <w:rFonts w:hint="eastAsia" w:ascii="Times New Roman" w:hAnsi="Times New Roman" w:cs="Times New Roman"/>
                <w:b w:val="0"/>
                <w:bCs w:val="0"/>
                <w:color w:val="auto"/>
                <w:spacing w:val="0"/>
                <w:position w:val="0"/>
                <w:sz w:val="21"/>
                <w:szCs w:val="21"/>
                <w:lang w:val="en-US" w:eastAsia="zh-CN"/>
              </w:rPr>
              <w:t>玻璃酒瓶头清洗</w:t>
            </w:r>
            <w:r>
              <w:rPr>
                <w:rFonts w:hint="default" w:ascii="Times New Roman" w:hAnsi="Times New Roman" w:cs="Times New Roman"/>
                <w:b w:val="0"/>
                <w:bCs w:val="0"/>
                <w:color w:val="auto"/>
                <w:sz w:val="21"/>
                <w:szCs w:val="21"/>
                <w:lang w:val="en-US" w:eastAsia="zh-CN"/>
              </w:rPr>
              <w:t>废水</w:t>
            </w:r>
            <w:r>
              <w:rPr>
                <w:rFonts w:hint="eastAsia" w:cs="Times New Roman"/>
                <w:b w:val="0"/>
                <w:bCs w:val="0"/>
                <w:color w:val="auto"/>
                <w:sz w:val="21"/>
                <w:szCs w:val="21"/>
                <w:lang w:val="en-US" w:eastAsia="zh-CN"/>
              </w:rPr>
              <w:t>。</w:t>
            </w:r>
            <w:r>
              <w:rPr>
                <w:rFonts w:hint="default" w:ascii="Times New Roman" w:hAnsi="Times New Roman" w:cs="Times New Roman"/>
                <w:color w:val="auto"/>
                <w:sz w:val="21"/>
                <w:szCs w:val="21"/>
              </w:rPr>
              <w:t>由于</w:t>
            </w:r>
            <w:r>
              <w:rPr>
                <w:rFonts w:hint="eastAsia" w:ascii="Times New Roman" w:hAnsi="Times New Roman" w:cs="Times New Roman"/>
                <w:b w:val="0"/>
                <w:bCs w:val="0"/>
                <w:color w:val="auto"/>
                <w:spacing w:val="0"/>
                <w:position w:val="0"/>
                <w:sz w:val="21"/>
                <w:szCs w:val="21"/>
                <w:lang w:val="en-US" w:eastAsia="zh-CN"/>
              </w:rPr>
              <w:t>清洗</w:t>
            </w:r>
            <w:r>
              <w:rPr>
                <w:rFonts w:hint="default" w:ascii="Times New Roman" w:hAnsi="Times New Roman" w:cs="Times New Roman"/>
                <w:b w:val="0"/>
                <w:bCs w:val="0"/>
                <w:color w:val="auto"/>
                <w:sz w:val="21"/>
                <w:szCs w:val="21"/>
                <w:lang w:val="en-US" w:eastAsia="zh-CN"/>
              </w:rPr>
              <w:t>废水</w:t>
            </w:r>
            <w:r>
              <w:rPr>
                <w:rFonts w:hint="default" w:ascii="Times New Roman" w:hAnsi="Times New Roman" w:cs="Times New Roman"/>
                <w:color w:val="auto"/>
                <w:sz w:val="21"/>
                <w:szCs w:val="21"/>
              </w:rPr>
              <w:t>成分简单，本项目拟采用</w:t>
            </w:r>
            <w:r>
              <w:rPr>
                <w:rFonts w:hint="eastAsia" w:ascii="Times New Roman" w:hAnsi="Times New Roman" w:cs="Times New Roman"/>
                <w:color w:val="auto"/>
                <w:sz w:val="21"/>
                <w:szCs w:val="21"/>
                <w:lang w:eastAsia="zh-CN"/>
              </w:rPr>
              <w:t>“</w:t>
            </w:r>
            <w:r>
              <w:rPr>
                <w:rFonts w:hint="eastAsia" w:cs="Times New Roman"/>
                <w:color w:val="auto"/>
                <w:sz w:val="21"/>
                <w:szCs w:val="21"/>
                <w:lang w:val="en-US" w:eastAsia="zh-CN"/>
              </w:rPr>
              <w:t>调节+中和</w:t>
            </w:r>
            <w:r>
              <w:rPr>
                <w:rFonts w:hint="default" w:ascii="Times New Roman" w:hAnsi="Times New Roman" w:eastAsia="宋体" w:cs="Times New Roman"/>
                <w:bCs/>
                <w:color w:val="auto"/>
                <w:kern w:val="0"/>
                <w:szCs w:val="21"/>
              </w:rPr>
              <w:t>+</w:t>
            </w:r>
            <w:r>
              <w:rPr>
                <w:rFonts w:hint="eastAsia" w:cs="Times New Roman"/>
                <w:bCs/>
                <w:color w:val="auto"/>
                <w:kern w:val="0"/>
                <w:szCs w:val="21"/>
                <w:lang w:val="en-US" w:eastAsia="zh-CN"/>
              </w:rPr>
              <w:t>混</w:t>
            </w:r>
            <w:r>
              <w:rPr>
                <w:rFonts w:hint="eastAsia" w:ascii="Times New Roman" w:hAnsi="Times New Roman" w:cs="Times New Roman"/>
                <w:bCs/>
                <w:color w:val="auto"/>
                <w:kern w:val="0"/>
                <w:szCs w:val="21"/>
                <w:lang w:val="en-US" w:eastAsia="zh-CN"/>
              </w:rPr>
              <w:t>凝沉淀</w:t>
            </w:r>
            <w:r>
              <w:rPr>
                <w:rFonts w:hint="eastAsia" w:cs="Times New Roman"/>
                <w:bCs/>
                <w:color w:val="auto"/>
                <w:kern w:val="0"/>
                <w:szCs w:val="21"/>
                <w:lang w:val="en-US" w:eastAsia="zh-CN"/>
              </w:rPr>
              <w:t>+高效过滤</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方式处理</w:t>
            </w:r>
            <w:r>
              <w:rPr>
                <w:rFonts w:hint="eastAsia" w:ascii="Times New Roman" w:hAnsi="Times New Roman" w:cs="Times New Roman"/>
                <w:b w:val="0"/>
                <w:bCs w:val="0"/>
                <w:color w:val="auto"/>
                <w:spacing w:val="0"/>
                <w:position w:val="0"/>
                <w:sz w:val="21"/>
                <w:szCs w:val="21"/>
                <w:lang w:val="en-US" w:eastAsia="zh-CN"/>
              </w:rPr>
              <w:t>清洗</w:t>
            </w:r>
            <w:r>
              <w:rPr>
                <w:rFonts w:hint="default" w:ascii="Times New Roman" w:hAnsi="Times New Roman" w:cs="Times New Roman"/>
                <w:b w:val="0"/>
                <w:bCs w:val="0"/>
                <w:color w:val="auto"/>
                <w:sz w:val="21"/>
                <w:szCs w:val="21"/>
                <w:lang w:val="en-US" w:eastAsia="zh-CN"/>
              </w:rPr>
              <w:t>废水</w:t>
            </w:r>
            <w:r>
              <w:rPr>
                <w:rFonts w:hint="default" w:ascii="Times New Roman" w:hAnsi="Times New Roman" w:cs="Times New Roman"/>
                <w:color w:val="auto"/>
                <w:sz w:val="21"/>
                <w:szCs w:val="21"/>
              </w:rPr>
              <w:t>。</w:t>
            </w:r>
          </w:p>
          <w:p w14:paraId="78B1434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jc w:val="both"/>
              <w:textAlignment w:val="auto"/>
              <w:rPr>
                <w:rFonts w:hint="default" w:cs="Times New Roman"/>
                <w:b w:val="0"/>
                <w:bCs w:val="0"/>
                <w:color w:val="auto"/>
                <w:kern w:val="0"/>
                <w:sz w:val="21"/>
                <w:szCs w:val="21"/>
                <w:lang w:val="en-US" w:eastAsia="zh-CN"/>
              </w:rPr>
            </w:pPr>
            <w:r>
              <w:rPr>
                <w:rFonts w:hint="eastAsia" w:cs="Times New Roman"/>
                <w:b w:val="0"/>
                <w:bCs w:val="0"/>
                <w:color w:val="auto"/>
                <w:spacing w:val="0"/>
                <w:position w:val="0"/>
                <w:sz w:val="21"/>
                <w:szCs w:val="21"/>
                <w:lang w:val="en-US" w:eastAsia="zh-CN"/>
              </w:rPr>
              <w:t>废水处理装置</w:t>
            </w:r>
            <w:r>
              <w:rPr>
                <w:rFonts w:hint="eastAsia" w:cs="Times New Roman"/>
                <w:b w:val="0"/>
                <w:bCs w:val="0"/>
                <w:color w:val="auto"/>
                <w:kern w:val="0"/>
                <w:sz w:val="21"/>
                <w:szCs w:val="21"/>
                <w:lang w:val="en-US" w:eastAsia="zh-CN"/>
              </w:rPr>
              <w:t>工艺流程见图4-1。</w:t>
            </w:r>
          </w:p>
          <w:p w14:paraId="1869326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center"/>
              <w:textAlignment w:val="auto"/>
              <w:rPr>
                <w:color w:val="auto"/>
              </w:rPr>
            </w:pPr>
            <w:r>
              <w:rPr>
                <w:color w:val="auto"/>
              </w:rPr>
              <w:drawing>
                <wp:inline distT="0" distB="0" distL="114300" distR="114300">
                  <wp:extent cx="4240530" cy="3402330"/>
                  <wp:effectExtent l="0" t="0" r="7620" b="7620"/>
                  <wp:docPr id="1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1"/>
                          <pic:cNvPicPr>
                            <a:picLocks noChangeAspect="1"/>
                          </pic:cNvPicPr>
                        </pic:nvPicPr>
                        <pic:blipFill>
                          <a:blip r:embed="rId20"/>
                          <a:stretch>
                            <a:fillRect/>
                          </a:stretch>
                        </pic:blipFill>
                        <pic:spPr>
                          <a:xfrm>
                            <a:off x="0" y="0"/>
                            <a:ext cx="4240530" cy="3402330"/>
                          </a:xfrm>
                          <a:prstGeom prst="rect">
                            <a:avLst/>
                          </a:prstGeom>
                          <a:noFill/>
                          <a:ln>
                            <a:noFill/>
                          </a:ln>
                        </pic:spPr>
                      </pic:pic>
                    </a:graphicData>
                  </a:graphic>
                </wp:inline>
              </w:drawing>
            </w:r>
          </w:p>
          <w:p w14:paraId="5C047172">
            <w:pPr>
              <w:pStyle w:val="25"/>
              <w:keepNext w:val="0"/>
              <w:keepLines w:val="0"/>
              <w:pageBreakBefore w:val="0"/>
              <w:kinsoku/>
              <w:wordWrap/>
              <w:overflowPunct/>
              <w:topLinePunct w:val="0"/>
              <w:bidi w:val="0"/>
              <w:snapToGrid w:val="0"/>
              <w:ind w:left="0" w:leftChars="0" w:firstLine="0" w:firstLineChars="0"/>
              <w:jc w:val="center"/>
              <w:rPr>
                <w:rFonts w:hint="default" w:ascii="Times New Roman" w:hAnsi="Times New Roman" w:cs="Times New Roman"/>
                <w:b/>
                <w:bCs/>
                <w:color w:val="auto"/>
                <w:sz w:val="21"/>
                <w:szCs w:val="21"/>
              </w:rPr>
            </w:pPr>
            <w:r>
              <w:rPr>
                <w:rFonts w:hint="eastAsia" w:ascii="Times New Roman" w:hAnsi="Times New Roman" w:eastAsia="宋体" w:cs="Times New Roman"/>
                <w:b/>
                <w:bCs/>
                <w:color w:val="auto"/>
                <w:kern w:val="0"/>
                <w:sz w:val="21"/>
                <w:szCs w:val="21"/>
                <w:lang w:val="en-US" w:eastAsia="zh-CN" w:bidi="ar-SA"/>
              </w:rPr>
              <w:t>图4-</w:t>
            </w:r>
            <w:r>
              <w:rPr>
                <w:rFonts w:hint="eastAsia" w:ascii="Times New Roman" w:hAnsi="Times New Roman" w:cs="Times New Roman"/>
                <w:b/>
                <w:bCs/>
                <w:color w:val="auto"/>
                <w:kern w:val="0"/>
                <w:sz w:val="21"/>
                <w:szCs w:val="21"/>
                <w:lang w:val="en-US" w:eastAsia="zh-CN" w:bidi="ar-SA"/>
              </w:rPr>
              <w:t>1</w:t>
            </w:r>
            <w:r>
              <w:rPr>
                <w:rFonts w:hint="eastAsia" w:ascii="Times New Roman" w:hAnsi="Times New Roman" w:eastAsia="宋体" w:cs="Times New Roman"/>
                <w:b/>
                <w:bCs/>
                <w:color w:val="auto"/>
                <w:kern w:val="0"/>
                <w:sz w:val="21"/>
                <w:szCs w:val="21"/>
                <w:lang w:val="en-US" w:eastAsia="zh-CN" w:bidi="ar-SA"/>
              </w:rPr>
              <w:t xml:space="preserve"> </w:t>
            </w:r>
            <w:r>
              <w:rPr>
                <w:rFonts w:hint="default" w:ascii="Times New Roman" w:hAnsi="Times New Roman" w:eastAsia="宋体" w:cs="Times New Roman"/>
                <w:b/>
                <w:bCs/>
                <w:color w:val="auto"/>
                <w:kern w:val="0"/>
                <w:sz w:val="21"/>
                <w:szCs w:val="21"/>
                <w:lang w:val="en-US" w:eastAsia="zh-CN" w:bidi="ar-SA"/>
              </w:rPr>
              <w:t>本</w:t>
            </w:r>
            <w:r>
              <w:rPr>
                <w:rFonts w:hint="default" w:ascii="Times New Roman" w:hAnsi="Times New Roman" w:cs="Times New Roman"/>
                <w:b/>
                <w:bCs/>
                <w:color w:val="auto"/>
                <w:sz w:val="21"/>
                <w:szCs w:val="21"/>
              </w:rPr>
              <w:t>项目</w:t>
            </w:r>
            <w:r>
              <w:rPr>
                <w:rFonts w:hint="eastAsia"/>
                <w:b/>
                <w:bCs/>
                <w:color w:val="auto"/>
                <w:lang w:val="en-US" w:eastAsia="zh-CN"/>
              </w:rPr>
              <w:t>清洗</w:t>
            </w:r>
            <w:r>
              <w:rPr>
                <w:rFonts w:hint="eastAsia" w:cs="Times New Roman"/>
                <w:b/>
                <w:bCs/>
                <w:color w:val="auto"/>
                <w:spacing w:val="0"/>
                <w:position w:val="0"/>
                <w:sz w:val="21"/>
                <w:szCs w:val="21"/>
                <w:lang w:val="en-US" w:eastAsia="zh-CN"/>
              </w:rPr>
              <w:t>废水处理装置</w:t>
            </w:r>
            <w:r>
              <w:rPr>
                <w:rFonts w:hint="default" w:ascii="Times New Roman" w:hAnsi="Times New Roman" w:cs="Times New Roman"/>
                <w:b/>
                <w:bCs/>
                <w:color w:val="auto"/>
                <w:sz w:val="21"/>
                <w:szCs w:val="21"/>
              </w:rPr>
              <w:t>工艺流程图</w:t>
            </w:r>
          </w:p>
          <w:p w14:paraId="29B3F1A7">
            <w:pPr>
              <w:keepNext w:val="0"/>
              <w:keepLines w:val="0"/>
              <w:pageBreakBefore w:val="0"/>
              <w:widowControl w:val="0"/>
              <w:kinsoku/>
              <w:wordWrap/>
              <w:overflowPunct/>
              <w:topLinePunct w:val="0"/>
              <w:autoSpaceDE/>
              <w:autoSpaceDN/>
              <w:bidi w:val="0"/>
              <w:adjustRightInd/>
              <w:snapToGrid w:val="0"/>
              <w:spacing w:before="148" w:beforeLines="50" w:line="360" w:lineRule="auto"/>
              <w:ind w:firstLine="420" w:firstLineChars="200"/>
              <w:textAlignment w:val="auto"/>
              <w:rPr>
                <w:rFonts w:hint="eastAsia"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①调节：</w:t>
            </w:r>
            <w:r>
              <w:rPr>
                <w:rFonts w:hint="default" w:ascii="Times New Roman" w:hAnsi="Times New Roman" w:cs="Times New Roman"/>
                <w:color w:val="auto"/>
                <w:sz w:val="21"/>
                <w:szCs w:val="21"/>
              </w:rPr>
              <w:t>为均匀水质，存盈补缺，设置一座调节池将不同时间排放废水混合均匀，使后续的处理设备不受废水高峰流量的变化而变化</w:t>
            </w:r>
            <w:r>
              <w:rPr>
                <w:rFonts w:hint="eastAsia" w:ascii="Times New Roman" w:hAnsi="Times New Roman" w:cs="Times New Roman"/>
                <w:color w:val="auto"/>
                <w:sz w:val="21"/>
                <w:szCs w:val="21"/>
                <w:lang w:eastAsia="zh-CN"/>
              </w:rPr>
              <w:t>。</w:t>
            </w:r>
          </w:p>
          <w:p w14:paraId="12414ED0">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②中和：投加石灰，与水中氟离子反应生成难溶的氟化钙（CaF</w:t>
            </w:r>
            <w:r>
              <w:rPr>
                <w:rFonts w:hint="eastAsia" w:cs="Times New Roman"/>
                <w:b w:val="0"/>
                <w:bCs w:val="0"/>
                <w:color w:val="auto"/>
                <w:sz w:val="21"/>
                <w:szCs w:val="21"/>
                <w:vertAlign w:val="subscript"/>
                <w:lang w:val="en-US" w:eastAsia="zh-CN"/>
              </w:rPr>
              <w:t>2</w:t>
            </w:r>
            <w:r>
              <w:rPr>
                <w:rFonts w:hint="eastAsia" w:cs="Times New Roman"/>
                <w:b w:val="0"/>
                <w:bCs w:val="0"/>
                <w:color w:val="auto"/>
                <w:sz w:val="21"/>
                <w:szCs w:val="21"/>
                <w:lang w:val="en-US" w:eastAsia="zh-CN"/>
              </w:rPr>
              <w:t>）沉淀，从而实现将水中氟离子去除的目的。</w:t>
            </w:r>
          </w:p>
          <w:p w14:paraId="0CB7EBE6">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cs="Times New Roman"/>
                <w:b w:val="0"/>
                <w:bCs w:val="0"/>
                <w:color w:val="auto"/>
                <w:sz w:val="21"/>
                <w:szCs w:val="21"/>
                <w:lang w:val="en-US" w:eastAsia="zh-CN"/>
              </w:rPr>
            </w:pPr>
            <w:r>
              <w:rPr>
                <w:rFonts w:hint="eastAsia" w:cs="Times New Roman"/>
                <w:b w:val="0"/>
                <w:bCs w:val="0"/>
                <w:color w:val="auto"/>
                <w:sz w:val="21"/>
                <w:szCs w:val="21"/>
                <w:lang w:val="en-US" w:eastAsia="zh-CN"/>
              </w:rPr>
              <w:t>③混凝沉淀：</w:t>
            </w:r>
            <w:r>
              <w:rPr>
                <w:rFonts w:hint="eastAsia"/>
                <w:b w:val="0"/>
                <w:bCs w:val="0"/>
                <w:color w:val="auto"/>
                <w:szCs w:val="21"/>
                <w:highlight w:val="none"/>
              </w:rPr>
              <w:t>中和后的废水进入混凝池，添加</w:t>
            </w:r>
            <w:r>
              <w:rPr>
                <w:rFonts w:hint="eastAsia"/>
                <w:b w:val="0"/>
                <w:bCs w:val="0"/>
                <w:color w:val="auto"/>
                <w:szCs w:val="21"/>
                <w:highlight w:val="none"/>
                <w:lang w:val="en-US" w:eastAsia="zh-CN"/>
              </w:rPr>
              <w:t>PAC、</w:t>
            </w:r>
            <w:r>
              <w:rPr>
                <w:rFonts w:hint="eastAsia"/>
                <w:b w:val="0"/>
                <w:bCs w:val="0"/>
                <w:color w:val="auto"/>
                <w:szCs w:val="21"/>
                <w:highlight w:val="none"/>
              </w:rPr>
              <w:t>PAM混凝剂，使废水中细小絮体变成较大的絮体胶团并沉淀，有效去除水中的微小悬浮物、胶体以形成良好的絮凝团后进行高效固液分离。</w:t>
            </w:r>
          </w:p>
          <w:p w14:paraId="42374FD9">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default" w:ascii="Times New Roman" w:hAnsi="Times New Roman" w:cs="Times New Roman"/>
                <w:color w:val="auto"/>
                <w:sz w:val="21"/>
                <w:szCs w:val="21"/>
              </w:rPr>
            </w:pPr>
            <w:r>
              <w:rPr>
                <w:rFonts w:hint="eastAsia" w:cs="Times New Roman"/>
                <w:b w:val="0"/>
                <w:bCs w:val="0"/>
                <w:color w:val="auto"/>
                <w:sz w:val="21"/>
                <w:szCs w:val="21"/>
                <w:lang w:val="en-US" w:eastAsia="zh-CN"/>
              </w:rPr>
              <w:t>④高效过滤：</w:t>
            </w:r>
            <w:r>
              <w:rPr>
                <w:rFonts w:hint="default" w:ascii="Times New Roman" w:hAnsi="Times New Roman" w:cs="Times New Roman"/>
                <w:color w:val="auto"/>
                <w:sz w:val="21"/>
                <w:szCs w:val="21"/>
              </w:rPr>
              <w:t>为了防止水中残留污染物，</w:t>
            </w:r>
            <w:r>
              <w:rPr>
                <w:rFonts w:hint="eastAsia" w:ascii="Times New Roman" w:hAnsi="Times New Roman" w:cs="Times New Roman"/>
                <w:color w:val="auto"/>
                <w:sz w:val="21"/>
                <w:szCs w:val="21"/>
                <w:lang w:val="en-US" w:eastAsia="zh-CN"/>
              </w:rPr>
              <w:t>高效</w:t>
            </w:r>
            <w:r>
              <w:rPr>
                <w:rFonts w:hint="default" w:ascii="Times New Roman" w:hAnsi="Times New Roman" w:cs="Times New Roman"/>
                <w:color w:val="auto"/>
                <w:sz w:val="21"/>
                <w:szCs w:val="21"/>
              </w:rPr>
              <w:t>过滤系统采用</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石英砂+活性炭</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组合过滤</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石英砂过滤器可以将水中细小的颗粒杂质截留下来，从而使得水得到澄清和净化。石英砂过滤器出水进入活性炭过滤器中，活性炭过滤器可以吸附小分子有机物等污染物质。</w:t>
            </w:r>
          </w:p>
          <w:p w14:paraId="58BFB6B9">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color w:val="auto"/>
                <w:kern w:val="0"/>
                <w:sz w:val="21"/>
                <w:szCs w:val="21"/>
                <w:lang w:eastAsia="zh-CN"/>
              </w:rPr>
            </w:pPr>
            <w:r>
              <w:rPr>
                <w:rFonts w:hint="eastAsia"/>
                <w:color w:val="auto"/>
                <w:kern w:val="0"/>
                <w:sz w:val="21"/>
                <w:szCs w:val="21"/>
              </w:rPr>
              <w:t>根据建设单位提供的有关废水预处理设计资料，本项目废水处理系统设计各阶段去除效率见</w:t>
            </w:r>
            <w:r>
              <w:rPr>
                <w:rFonts w:hint="eastAsia"/>
                <w:color w:val="auto"/>
                <w:kern w:val="0"/>
                <w:sz w:val="21"/>
                <w:szCs w:val="21"/>
                <w:lang w:val="en-US" w:eastAsia="zh-CN"/>
              </w:rPr>
              <w:t>下</w:t>
            </w:r>
            <w:r>
              <w:rPr>
                <w:rFonts w:hint="eastAsia"/>
                <w:color w:val="auto"/>
                <w:kern w:val="0"/>
                <w:sz w:val="21"/>
                <w:szCs w:val="21"/>
              </w:rPr>
              <w:t>表</w:t>
            </w:r>
            <w:r>
              <w:rPr>
                <w:rFonts w:hint="eastAsia"/>
                <w:color w:val="auto"/>
                <w:kern w:val="0"/>
                <w:sz w:val="21"/>
                <w:szCs w:val="21"/>
                <w:lang w:eastAsia="zh-CN"/>
              </w:rPr>
              <w:t>。</w:t>
            </w:r>
          </w:p>
          <w:p w14:paraId="5757CF64">
            <w:pPr>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color w:val="auto"/>
                <w:kern w:val="0"/>
                <w:sz w:val="21"/>
                <w:szCs w:val="21"/>
                <w:lang w:val="en-US" w:eastAsia="zh-CN"/>
              </w:rPr>
            </w:pPr>
            <w:r>
              <w:rPr>
                <w:rFonts w:hint="eastAsia"/>
                <w:b/>
                <w:bCs/>
                <w:color w:val="auto"/>
                <w:kern w:val="0"/>
                <w:sz w:val="21"/>
                <w:szCs w:val="21"/>
                <w:lang w:val="en-US" w:eastAsia="zh-CN"/>
              </w:rPr>
              <w:t>表4-20 废水处理工艺各单元处理效果分析（单位mg/L）</w:t>
            </w:r>
          </w:p>
          <w:tbl>
            <w:tblPr>
              <w:tblStyle w:val="31"/>
              <w:tblW w:w="851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43"/>
              <w:gridCol w:w="1240"/>
              <w:gridCol w:w="919"/>
              <w:gridCol w:w="919"/>
              <w:gridCol w:w="919"/>
              <w:gridCol w:w="919"/>
              <w:gridCol w:w="919"/>
              <w:gridCol w:w="919"/>
              <w:gridCol w:w="922"/>
            </w:tblGrid>
            <w:tr w14:paraId="1D6E76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83" w:type="dxa"/>
                  <w:gridSpan w:val="2"/>
                  <w:tcBorders>
                    <w:tl2br w:val="nil"/>
                    <w:tr2bl w:val="nil"/>
                  </w:tcBorders>
                  <w:noWrap w:val="0"/>
                  <w:vAlign w:val="center"/>
                </w:tcPr>
                <w:p w14:paraId="30E4AC76">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b/>
                      <w:bCs/>
                      <w:color w:val="auto"/>
                      <w:kern w:val="2"/>
                      <w:sz w:val="21"/>
                      <w:szCs w:val="21"/>
                      <w:lang w:val="en-US" w:eastAsia="zh-CN" w:bidi="ar-SA"/>
                    </w:rPr>
                  </w:pPr>
                  <w:r>
                    <w:rPr>
                      <w:rFonts w:ascii="Times New Roman" w:hAnsi="Times New Roman"/>
                      <w:b/>
                      <w:bCs/>
                      <w:color w:val="auto"/>
                      <w:sz w:val="21"/>
                      <w:szCs w:val="21"/>
                    </w:rPr>
                    <w:t>项目类别</w:t>
                  </w:r>
                </w:p>
              </w:tc>
              <w:tc>
                <w:tcPr>
                  <w:tcW w:w="919" w:type="dxa"/>
                  <w:tcBorders>
                    <w:tl2br w:val="nil"/>
                    <w:tr2bl w:val="nil"/>
                  </w:tcBorders>
                  <w:noWrap w:val="0"/>
                  <w:vAlign w:val="center"/>
                </w:tcPr>
                <w:p w14:paraId="0348D317">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b/>
                      <w:bCs/>
                      <w:color w:val="auto"/>
                      <w:kern w:val="2"/>
                      <w:sz w:val="21"/>
                      <w:szCs w:val="21"/>
                      <w:lang w:val="en-US" w:eastAsia="zh-CN" w:bidi="ar-SA"/>
                    </w:rPr>
                  </w:pPr>
                  <w:r>
                    <w:rPr>
                      <w:rFonts w:ascii="Times New Roman" w:hAnsi="Times New Roman"/>
                      <w:b/>
                      <w:bCs/>
                      <w:color w:val="auto"/>
                      <w:sz w:val="21"/>
                      <w:szCs w:val="21"/>
                    </w:rPr>
                    <w:t>COD</w:t>
                  </w:r>
                </w:p>
              </w:tc>
              <w:tc>
                <w:tcPr>
                  <w:tcW w:w="919" w:type="dxa"/>
                  <w:tcBorders>
                    <w:tl2br w:val="nil"/>
                    <w:tr2bl w:val="nil"/>
                  </w:tcBorders>
                  <w:noWrap w:val="0"/>
                  <w:vAlign w:val="center"/>
                </w:tcPr>
                <w:p w14:paraId="58E1C544">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b/>
                      <w:bCs/>
                      <w:color w:val="auto"/>
                      <w:kern w:val="2"/>
                      <w:sz w:val="21"/>
                      <w:szCs w:val="21"/>
                      <w:lang w:val="en-US" w:eastAsia="zh-CN" w:bidi="ar-SA"/>
                    </w:rPr>
                  </w:pPr>
                  <w:r>
                    <w:rPr>
                      <w:rFonts w:hint="eastAsia" w:ascii="Times New Roman" w:hAnsi="Times New Roman"/>
                      <w:b/>
                      <w:bCs/>
                      <w:color w:val="auto"/>
                      <w:sz w:val="21"/>
                      <w:szCs w:val="21"/>
                      <w:lang w:val="en-US" w:eastAsia="zh-CN"/>
                    </w:rPr>
                    <w:t>BOD</w:t>
                  </w:r>
                  <w:r>
                    <w:rPr>
                      <w:rFonts w:hint="eastAsia" w:ascii="Times New Roman" w:hAnsi="Times New Roman"/>
                      <w:b/>
                      <w:bCs/>
                      <w:color w:val="auto"/>
                      <w:sz w:val="21"/>
                      <w:szCs w:val="21"/>
                      <w:vertAlign w:val="subscript"/>
                      <w:lang w:val="en-US" w:eastAsia="zh-CN"/>
                    </w:rPr>
                    <w:t>5</w:t>
                  </w:r>
                </w:p>
              </w:tc>
              <w:tc>
                <w:tcPr>
                  <w:tcW w:w="919" w:type="dxa"/>
                  <w:tcBorders>
                    <w:tl2br w:val="nil"/>
                    <w:tr2bl w:val="nil"/>
                  </w:tcBorders>
                  <w:noWrap w:val="0"/>
                  <w:vAlign w:val="center"/>
                </w:tcPr>
                <w:p w14:paraId="63669D28">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b/>
                      <w:bCs/>
                      <w:color w:val="auto"/>
                      <w:kern w:val="2"/>
                      <w:sz w:val="21"/>
                      <w:szCs w:val="21"/>
                      <w:lang w:val="en-US" w:eastAsia="zh-CN" w:bidi="ar-SA"/>
                    </w:rPr>
                  </w:pPr>
                  <w:r>
                    <w:rPr>
                      <w:rFonts w:hint="eastAsia" w:ascii="Times New Roman" w:hAnsi="Times New Roman"/>
                      <w:b/>
                      <w:bCs/>
                      <w:color w:val="auto"/>
                      <w:sz w:val="21"/>
                      <w:szCs w:val="21"/>
                      <w:lang w:val="en-US" w:eastAsia="zh-CN"/>
                    </w:rPr>
                    <w:t>SS</w:t>
                  </w:r>
                </w:p>
              </w:tc>
              <w:tc>
                <w:tcPr>
                  <w:tcW w:w="919" w:type="dxa"/>
                  <w:tcBorders>
                    <w:tl2br w:val="nil"/>
                    <w:tr2bl w:val="nil"/>
                  </w:tcBorders>
                  <w:noWrap w:val="0"/>
                  <w:vAlign w:val="center"/>
                </w:tcPr>
                <w:p w14:paraId="1FCF319F">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b/>
                      <w:bCs/>
                      <w:color w:val="auto"/>
                      <w:kern w:val="2"/>
                      <w:sz w:val="21"/>
                      <w:szCs w:val="21"/>
                      <w:lang w:val="en-US" w:eastAsia="zh-CN" w:bidi="ar-SA"/>
                    </w:rPr>
                  </w:pPr>
                  <w:r>
                    <w:rPr>
                      <w:rFonts w:hint="eastAsia" w:ascii="Times New Roman" w:hAnsi="Times New Roman"/>
                      <w:b/>
                      <w:bCs/>
                      <w:color w:val="auto"/>
                      <w:sz w:val="21"/>
                      <w:szCs w:val="21"/>
                      <w:lang w:val="en-US" w:eastAsia="zh-CN"/>
                    </w:rPr>
                    <w:t>氨氮</w:t>
                  </w:r>
                </w:p>
              </w:tc>
              <w:tc>
                <w:tcPr>
                  <w:tcW w:w="919" w:type="dxa"/>
                  <w:tcBorders>
                    <w:tl2br w:val="nil"/>
                    <w:tr2bl w:val="nil"/>
                  </w:tcBorders>
                  <w:noWrap w:val="0"/>
                  <w:vAlign w:val="center"/>
                </w:tcPr>
                <w:p w14:paraId="7EDE55F7">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b/>
                      <w:bCs/>
                      <w:color w:val="auto"/>
                      <w:kern w:val="2"/>
                      <w:sz w:val="21"/>
                      <w:szCs w:val="21"/>
                      <w:lang w:val="en-US" w:eastAsia="zh-CN" w:bidi="ar-SA"/>
                    </w:rPr>
                  </w:pPr>
                  <w:r>
                    <w:rPr>
                      <w:rFonts w:hint="eastAsia" w:ascii="Times New Roman" w:hAnsi="Times New Roman"/>
                      <w:b/>
                      <w:bCs/>
                      <w:color w:val="auto"/>
                      <w:sz w:val="21"/>
                      <w:szCs w:val="21"/>
                      <w:lang w:val="en-US" w:eastAsia="zh-CN"/>
                    </w:rPr>
                    <w:t>TN</w:t>
                  </w:r>
                </w:p>
              </w:tc>
              <w:tc>
                <w:tcPr>
                  <w:tcW w:w="919" w:type="dxa"/>
                  <w:tcBorders>
                    <w:tl2br w:val="nil"/>
                    <w:tr2bl w:val="nil"/>
                  </w:tcBorders>
                  <w:noWrap w:val="0"/>
                  <w:vAlign w:val="center"/>
                </w:tcPr>
                <w:p w14:paraId="1070211F">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b/>
                      <w:bCs/>
                      <w:color w:val="auto"/>
                      <w:kern w:val="2"/>
                      <w:sz w:val="21"/>
                      <w:szCs w:val="21"/>
                      <w:lang w:val="en-US" w:eastAsia="zh-CN" w:bidi="ar-SA"/>
                    </w:rPr>
                  </w:pPr>
                  <w:r>
                    <w:rPr>
                      <w:rFonts w:hint="eastAsia" w:ascii="Times New Roman" w:hAnsi="Times New Roman"/>
                      <w:b/>
                      <w:bCs/>
                      <w:color w:val="auto"/>
                      <w:sz w:val="21"/>
                      <w:szCs w:val="21"/>
                      <w:lang w:val="en-US" w:eastAsia="zh-CN"/>
                    </w:rPr>
                    <w:t>TP</w:t>
                  </w:r>
                </w:p>
              </w:tc>
              <w:tc>
                <w:tcPr>
                  <w:tcW w:w="922" w:type="dxa"/>
                  <w:tcBorders>
                    <w:tl2br w:val="nil"/>
                    <w:tr2bl w:val="nil"/>
                  </w:tcBorders>
                  <w:noWrap w:val="0"/>
                  <w:vAlign w:val="center"/>
                </w:tcPr>
                <w:p w14:paraId="16BB3818">
                  <w:pPr>
                    <w:keepNext w:val="0"/>
                    <w:keepLines w:val="0"/>
                    <w:pageBreakBefore w:val="0"/>
                    <w:kinsoku/>
                    <w:wordWrap/>
                    <w:overflowPunct/>
                    <w:topLinePunct w:val="0"/>
                    <w:autoSpaceDE/>
                    <w:autoSpaceDN/>
                    <w:bidi w:val="0"/>
                    <w:adjustRightInd/>
                    <w:snapToGrid/>
                    <w:ind w:left="0" w:leftChars="0"/>
                    <w:jc w:val="center"/>
                    <w:rPr>
                      <w:rFonts w:hint="eastAsia" w:ascii="Times New Roman" w:hAnsi="Times New Roman" w:eastAsia="宋体"/>
                      <w:b/>
                      <w:bCs/>
                      <w:color w:val="auto"/>
                      <w:kern w:val="2"/>
                      <w:sz w:val="21"/>
                      <w:szCs w:val="21"/>
                      <w:lang w:val="en-US" w:eastAsia="zh-CN" w:bidi="ar-SA"/>
                    </w:rPr>
                  </w:pPr>
                  <w:r>
                    <w:rPr>
                      <w:rFonts w:hint="eastAsia" w:ascii="Times New Roman" w:hAnsi="Times New Roman"/>
                      <w:b/>
                      <w:bCs/>
                      <w:color w:val="auto"/>
                      <w:sz w:val="21"/>
                      <w:szCs w:val="21"/>
                      <w:lang w:val="en-US" w:eastAsia="zh-CN"/>
                    </w:rPr>
                    <w:t>氟化物</w:t>
                  </w:r>
                </w:p>
              </w:tc>
            </w:tr>
            <w:tr w14:paraId="7A7EB5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3" w:type="dxa"/>
                  <w:vMerge w:val="restart"/>
                  <w:tcBorders>
                    <w:tl2br w:val="nil"/>
                    <w:tr2bl w:val="nil"/>
                  </w:tcBorders>
                  <w:noWrap w:val="0"/>
                  <w:vAlign w:val="center"/>
                </w:tcPr>
                <w:p w14:paraId="31096D5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调节</w:t>
                  </w:r>
                </w:p>
              </w:tc>
              <w:tc>
                <w:tcPr>
                  <w:tcW w:w="1240" w:type="dxa"/>
                  <w:tcBorders>
                    <w:tl2br w:val="nil"/>
                    <w:tr2bl w:val="nil"/>
                  </w:tcBorders>
                  <w:noWrap w:val="0"/>
                  <w:vAlign w:val="center"/>
                </w:tcPr>
                <w:p w14:paraId="713A699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进水水质</w:t>
                  </w:r>
                </w:p>
              </w:tc>
              <w:tc>
                <w:tcPr>
                  <w:tcW w:w="919" w:type="dxa"/>
                  <w:tcBorders>
                    <w:tl2br w:val="nil"/>
                    <w:tr2bl w:val="nil"/>
                  </w:tcBorders>
                  <w:noWrap w:val="0"/>
                  <w:vAlign w:val="center"/>
                </w:tcPr>
                <w:p w14:paraId="5FD9DE5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250</w:t>
                  </w:r>
                </w:p>
              </w:tc>
              <w:tc>
                <w:tcPr>
                  <w:tcW w:w="919" w:type="dxa"/>
                  <w:tcBorders>
                    <w:tl2br w:val="nil"/>
                    <w:tr2bl w:val="nil"/>
                  </w:tcBorders>
                  <w:noWrap w:val="0"/>
                  <w:vAlign w:val="center"/>
                </w:tcPr>
                <w:p w14:paraId="0531A25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120</w:t>
                  </w:r>
                </w:p>
              </w:tc>
              <w:tc>
                <w:tcPr>
                  <w:tcW w:w="919" w:type="dxa"/>
                  <w:tcBorders>
                    <w:tl2br w:val="nil"/>
                    <w:tr2bl w:val="nil"/>
                  </w:tcBorders>
                  <w:noWrap w:val="0"/>
                  <w:vAlign w:val="center"/>
                </w:tcPr>
                <w:p w14:paraId="504F159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250</w:t>
                  </w:r>
                </w:p>
              </w:tc>
              <w:tc>
                <w:tcPr>
                  <w:tcW w:w="919" w:type="dxa"/>
                  <w:tcBorders>
                    <w:tl2br w:val="nil"/>
                    <w:tr2bl w:val="nil"/>
                  </w:tcBorders>
                  <w:noWrap w:val="0"/>
                  <w:vAlign w:val="center"/>
                </w:tcPr>
                <w:p w14:paraId="2622214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20</w:t>
                  </w:r>
                </w:p>
              </w:tc>
              <w:tc>
                <w:tcPr>
                  <w:tcW w:w="919" w:type="dxa"/>
                  <w:tcBorders>
                    <w:tl2br w:val="nil"/>
                    <w:tr2bl w:val="nil"/>
                  </w:tcBorders>
                  <w:noWrap w:val="0"/>
                  <w:vAlign w:val="center"/>
                </w:tcPr>
                <w:p w14:paraId="39D1C19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25</w:t>
                  </w:r>
                </w:p>
              </w:tc>
              <w:tc>
                <w:tcPr>
                  <w:tcW w:w="919" w:type="dxa"/>
                  <w:tcBorders>
                    <w:tl2br w:val="nil"/>
                    <w:tr2bl w:val="nil"/>
                  </w:tcBorders>
                  <w:noWrap w:val="0"/>
                  <w:vAlign w:val="center"/>
                </w:tcPr>
                <w:p w14:paraId="0126C66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2</w:t>
                  </w:r>
                </w:p>
              </w:tc>
              <w:tc>
                <w:tcPr>
                  <w:tcW w:w="922" w:type="dxa"/>
                  <w:tcBorders>
                    <w:tl2br w:val="nil"/>
                    <w:tr2bl w:val="nil"/>
                  </w:tcBorders>
                  <w:noWrap w:val="0"/>
                  <w:vAlign w:val="center"/>
                </w:tcPr>
                <w:p w14:paraId="6D8B3E5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222.22</w:t>
                  </w:r>
                </w:p>
              </w:tc>
            </w:tr>
            <w:tr w14:paraId="142D2B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3" w:type="dxa"/>
                  <w:vMerge w:val="continue"/>
                  <w:tcBorders>
                    <w:tl2br w:val="nil"/>
                    <w:tr2bl w:val="nil"/>
                  </w:tcBorders>
                  <w:noWrap w:val="0"/>
                  <w:vAlign w:val="center"/>
                </w:tcPr>
                <w:p w14:paraId="3578CF6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kern w:val="0"/>
                      <w:sz w:val="21"/>
                      <w:szCs w:val="21"/>
                      <w:vertAlign w:val="baseline"/>
                      <w:lang w:val="en-US" w:eastAsia="zh-CN"/>
                    </w:rPr>
                  </w:pPr>
                </w:p>
              </w:tc>
              <w:tc>
                <w:tcPr>
                  <w:tcW w:w="1240" w:type="dxa"/>
                  <w:tcBorders>
                    <w:tl2br w:val="nil"/>
                    <w:tr2bl w:val="nil"/>
                  </w:tcBorders>
                  <w:noWrap w:val="0"/>
                  <w:vAlign w:val="center"/>
                </w:tcPr>
                <w:p w14:paraId="3147BAD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出水水质</w:t>
                  </w:r>
                </w:p>
              </w:tc>
              <w:tc>
                <w:tcPr>
                  <w:tcW w:w="919" w:type="dxa"/>
                  <w:tcBorders>
                    <w:tl2br w:val="nil"/>
                    <w:tr2bl w:val="nil"/>
                  </w:tcBorders>
                  <w:shd w:val="clear" w:color="auto" w:fill="auto"/>
                  <w:noWrap w:val="0"/>
                  <w:vAlign w:val="center"/>
                </w:tcPr>
                <w:p w14:paraId="69AE6D9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250</w:t>
                  </w:r>
                </w:p>
              </w:tc>
              <w:tc>
                <w:tcPr>
                  <w:tcW w:w="919" w:type="dxa"/>
                  <w:tcBorders>
                    <w:tl2br w:val="nil"/>
                    <w:tr2bl w:val="nil"/>
                  </w:tcBorders>
                  <w:shd w:val="clear" w:color="auto" w:fill="auto"/>
                  <w:noWrap w:val="0"/>
                  <w:vAlign w:val="center"/>
                </w:tcPr>
                <w:p w14:paraId="5E3DDB1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120</w:t>
                  </w:r>
                </w:p>
              </w:tc>
              <w:tc>
                <w:tcPr>
                  <w:tcW w:w="919" w:type="dxa"/>
                  <w:tcBorders>
                    <w:tl2br w:val="nil"/>
                    <w:tr2bl w:val="nil"/>
                  </w:tcBorders>
                  <w:shd w:val="clear" w:color="auto" w:fill="auto"/>
                  <w:noWrap w:val="0"/>
                  <w:vAlign w:val="center"/>
                </w:tcPr>
                <w:p w14:paraId="60EC792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250</w:t>
                  </w:r>
                </w:p>
              </w:tc>
              <w:tc>
                <w:tcPr>
                  <w:tcW w:w="919" w:type="dxa"/>
                  <w:tcBorders>
                    <w:tl2br w:val="nil"/>
                    <w:tr2bl w:val="nil"/>
                  </w:tcBorders>
                  <w:shd w:val="clear" w:color="auto" w:fill="auto"/>
                  <w:noWrap w:val="0"/>
                  <w:vAlign w:val="center"/>
                </w:tcPr>
                <w:p w14:paraId="7633500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20</w:t>
                  </w:r>
                </w:p>
              </w:tc>
              <w:tc>
                <w:tcPr>
                  <w:tcW w:w="919" w:type="dxa"/>
                  <w:tcBorders>
                    <w:tl2br w:val="nil"/>
                    <w:tr2bl w:val="nil"/>
                  </w:tcBorders>
                  <w:shd w:val="clear" w:color="auto" w:fill="auto"/>
                  <w:noWrap w:val="0"/>
                  <w:vAlign w:val="center"/>
                </w:tcPr>
                <w:p w14:paraId="3916B3A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25</w:t>
                  </w:r>
                </w:p>
              </w:tc>
              <w:tc>
                <w:tcPr>
                  <w:tcW w:w="919" w:type="dxa"/>
                  <w:tcBorders>
                    <w:tl2br w:val="nil"/>
                    <w:tr2bl w:val="nil"/>
                  </w:tcBorders>
                  <w:shd w:val="clear" w:color="auto" w:fill="auto"/>
                  <w:noWrap w:val="0"/>
                  <w:vAlign w:val="center"/>
                </w:tcPr>
                <w:p w14:paraId="2293E01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w:t>
                  </w:r>
                </w:p>
              </w:tc>
              <w:tc>
                <w:tcPr>
                  <w:tcW w:w="922" w:type="dxa"/>
                  <w:tcBorders>
                    <w:tl2br w:val="nil"/>
                    <w:tr2bl w:val="nil"/>
                  </w:tcBorders>
                  <w:shd w:val="clear" w:color="auto" w:fill="auto"/>
                  <w:noWrap w:val="0"/>
                  <w:vAlign w:val="center"/>
                </w:tcPr>
                <w:p w14:paraId="52B7FBA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222.22</w:t>
                  </w:r>
                </w:p>
              </w:tc>
            </w:tr>
            <w:tr w14:paraId="313E1A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3" w:type="dxa"/>
                  <w:vMerge w:val="continue"/>
                  <w:tcBorders>
                    <w:tl2br w:val="nil"/>
                    <w:tr2bl w:val="nil"/>
                  </w:tcBorders>
                  <w:noWrap w:val="0"/>
                  <w:vAlign w:val="center"/>
                </w:tcPr>
                <w:p w14:paraId="31A4A8D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kern w:val="0"/>
                      <w:sz w:val="21"/>
                      <w:szCs w:val="21"/>
                      <w:vertAlign w:val="baseline"/>
                      <w:lang w:val="en-US" w:eastAsia="zh-CN"/>
                    </w:rPr>
                  </w:pPr>
                </w:p>
              </w:tc>
              <w:tc>
                <w:tcPr>
                  <w:tcW w:w="1240" w:type="dxa"/>
                  <w:tcBorders>
                    <w:tl2br w:val="nil"/>
                    <w:tr2bl w:val="nil"/>
                  </w:tcBorders>
                  <w:noWrap w:val="0"/>
                  <w:vAlign w:val="center"/>
                </w:tcPr>
                <w:p w14:paraId="69019CE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处理效率%</w:t>
                  </w:r>
                </w:p>
              </w:tc>
              <w:tc>
                <w:tcPr>
                  <w:tcW w:w="919" w:type="dxa"/>
                  <w:tcBorders>
                    <w:tl2br w:val="nil"/>
                    <w:tr2bl w:val="nil"/>
                  </w:tcBorders>
                  <w:noWrap w:val="0"/>
                  <w:vAlign w:val="center"/>
                </w:tcPr>
                <w:p w14:paraId="225C423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0</w:t>
                  </w:r>
                </w:p>
              </w:tc>
              <w:tc>
                <w:tcPr>
                  <w:tcW w:w="919" w:type="dxa"/>
                  <w:tcBorders>
                    <w:tl2br w:val="nil"/>
                    <w:tr2bl w:val="nil"/>
                  </w:tcBorders>
                  <w:noWrap w:val="0"/>
                  <w:vAlign w:val="center"/>
                </w:tcPr>
                <w:p w14:paraId="020DACD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0</w:t>
                  </w:r>
                </w:p>
              </w:tc>
              <w:tc>
                <w:tcPr>
                  <w:tcW w:w="919" w:type="dxa"/>
                  <w:tcBorders>
                    <w:tl2br w:val="nil"/>
                    <w:tr2bl w:val="nil"/>
                  </w:tcBorders>
                  <w:noWrap w:val="0"/>
                  <w:vAlign w:val="center"/>
                </w:tcPr>
                <w:p w14:paraId="502FE43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0</w:t>
                  </w:r>
                </w:p>
              </w:tc>
              <w:tc>
                <w:tcPr>
                  <w:tcW w:w="919" w:type="dxa"/>
                  <w:tcBorders>
                    <w:tl2br w:val="nil"/>
                    <w:tr2bl w:val="nil"/>
                  </w:tcBorders>
                  <w:noWrap w:val="0"/>
                  <w:vAlign w:val="center"/>
                </w:tcPr>
                <w:p w14:paraId="00249D7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0</w:t>
                  </w:r>
                </w:p>
              </w:tc>
              <w:tc>
                <w:tcPr>
                  <w:tcW w:w="919" w:type="dxa"/>
                  <w:tcBorders>
                    <w:tl2br w:val="nil"/>
                    <w:tr2bl w:val="nil"/>
                  </w:tcBorders>
                  <w:noWrap w:val="0"/>
                  <w:vAlign w:val="center"/>
                </w:tcPr>
                <w:p w14:paraId="0D1B832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0</w:t>
                  </w:r>
                </w:p>
              </w:tc>
              <w:tc>
                <w:tcPr>
                  <w:tcW w:w="919" w:type="dxa"/>
                  <w:tcBorders>
                    <w:tl2br w:val="nil"/>
                    <w:tr2bl w:val="nil"/>
                  </w:tcBorders>
                  <w:noWrap w:val="0"/>
                  <w:vAlign w:val="center"/>
                </w:tcPr>
                <w:p w14:paraId="0C0330F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0</w:t>
                  </w:r>
                </w:p>
              </w:tc>
              <w:tc>
                <w:tcPr>
                  <w:tcW w:w="922" w:type="dxa"/>
                  <w:tcBorders>
                    <w:tl2br w:val="nil"/>
                    <w:tr2bl w:val="nil"/>
                  </w:tcBorders>
                  <w:noWrap w:val="0"/>
                  <w:vAlign w:val="center"/>
                </w:tcPr>
                <w:p w14:paraId="6CA255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0</w:t>
                  </w:r>
                </w:p>
              </w:tc>
            </w:tr>
            <w:tr w14:paraId="6BFD68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3" w:type="dxa"/>
                  <w:vMerge w:val="restart"/>
                  <w:tcBorders>
                    <w:tl2br w:val="nil"/>
                    <w:tr2bl w:val="nil"/>
                  </w:tcBorders>
                  <w:noWrap w:val="0"/>
                  <w:vAlign w:val="center"/>
                </w:tcPr>
                <w:p w14:paraId="1CE6533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中和</w:t>
                  </w:r>
                </w:p>
              </w:tc>
              <w:tc>
                <w:tcPr>
                  <w:tcW w:w="1240" w:type="dxa"/>
                  <w:tcBorders>
                    <w:tl2br w:val="nil"/>
                    <w:tr2bl w:val="nil"/>
                  </w:tcBorders>
                  <w:noWrap w:val="0"/>
                  <w:vAlign w:val="center"/>
                </w:tcPr>
                <w:p w14:paraId="1EFE9DB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kern w:val="0"/>
                      <w:sz w:val="21"/>
                      <w:szCs w:val="21"/>
                      <w:vertAlign w:val="baseline"/>
                      <w:lang w:val="en-US" w:eastAsia="zh-CN" w:bidi="ar-SA"/>
                    </w:rPr>
                  </w:pPr>
                  <w:r>
                    <w:rPr>
                      <w:rFonts w:hint="eastAsia"/>
                      <w:color w:val="auto"/>
                      <w:kern w:val="0"/>
                      <w:sz w:val="21"/>
                      <w:szCs w:val="21"/>
                      <w:vertAlign w:val="baseline"/>
                      <w:lang w:val="en-US" w:eastAsia="zh-CN"/>
                    </w:rPr>
                    <w:t>进水水质</w:t>
                  </w:r>
                </w:p>
              </w:tc>
              <w:tc>
                <w:tcPr>
                  <w:tcW w:w="919" w:type="dxa"/>
                  <w:tcBorders>
                    <w:tl2br w:val="nil"/>
                    <w:tr2bl w:val="nil"/>
                  </w:tcBorders>
                  <w:shd w:val="clear" w:color="auto" w:fill="auto"/>
                  <w:noWrap w:val="0"/>
                  <w:vAlign w:val="center"/>
                </w:tcPr>
                <w:p w14:paraId="3C39A00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250</w:t>
                  </w:r>
                </w:p>
              </w:tc>
              <w:tc>
                <w:tcPr>
                  <w:tcW w:w="919" w:type="dxa"/>
                  <w:tcBorders>
                    <w:tl2br w:val="nil"/>
                    <w:tr2bl w:val="nil"/>
                  </w:tcBorders>
                  <w:shd w:val="clear" w:color="auto" w:fill="auto"/>
                  <w:noWrap w:val="0"/>
                  <w:vAlign w:val="center"/>
                </w:tcPr>
                <w:p w14:paraId="6B745B9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120</w:t>
                  </w:r>
                </w:p>
              </w:tc>
              <w:tc>
                <w:tcPr>
                  <w:tcW w:w="919" w:type="dxa"/>
                  <w:tcBorders>
                    <w:tl2br w:val="nil"/>
                    <w:tr2bl w:val="nil"/>
                  </w:tcBorders>
                  <w:shd w:val="clear" w:color="auto" w:fill="auto"/>
                  <w:noWrap w:val="0"/>
                  <w:vAlign w:val="center"/>
                </w:tcPr>
                <w:p w14:paraId="2DFC3C8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250</w:t>
                  </w:r>
                </w:p>
              </w:tc>
              <w:tc>
                <w:tcPr>
                  <w:tcW w:w="919" w:type="dxa"/>
                  <w:tcBorders>
                    <w:tl2br w:val="nil"/>
                    <w:tr2bl w:val="nil"/>
                  </w:tcBorders>
                  <w:shd w:val="clear" w:color="auto" w:fill="auto"/>
                  <w:noWrap w:val="0"/>
                  <w:vAlign w:val="center"/>
                </w:tcPr>
                <w:p w14:paraId="1A86E5C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20</w:t>
                  </w:r>
                </w:p>
              </w:tc>
              <w:tc>
                <w:tcPr>
                  <w:tcW w:w="919" w:type="dxa"/>
                  <w:tcBorders>
                    <w:tl2br w:val="nil"/>
                    <w:tr2bl w:val="nil"/>
                  </w:tcBorders>
                  <w:shd w:val="clear" w:color="auto" w:fill="auto"/>
                  <w:noWrap w:val="0"/>
                  <w:vAlign w:val="center"/>
                </w:tcPr>
                <w:p w14:paraId="378AA5A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25</w:t>
                  </w:r>
                </w:p>
              </w:tc>
              <w:tc>
                <w:tcPr>
                  <w:tcW w:w="919" w:type="dxa"/>
                  <w:tcBorders>
                    <w:tl2br w:val="nil"/>
                    <w:tr2bl w:val="nil"/>
                  </w:tcBorders>
                  <w:shd w:val="clear" w:color="auto" w:fill="auto"/>
                  <w:noWrap w:val="0"/>
                  <w:vAlign w:val="center"/>
                </w:tcPr>
                <w:p w14:paraId="289D294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w:t>
                  </w:r>
                </w:p>
              </w:tc>
              <w:tc>
                <w:tcPr>
                  <w:tcW w:w="922" w:type="dxa"/>
                  <w:tcBorders>
                    <w:tl2br w:val="nil"/>
                    <w:tr2bl w:val="nil"/>
                  </w:tcBorders>
                  <w:shd w:val="clear" w:color="auto" w:fill="auto"/>
                  <w:noWrap w:val="0"/>
                  <w:vAlign w:val="center"/>
                </w:tcPr>
                <w:p w14:paraId="037A9CF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222.22</w:t>
                  </w:r>
                </w:p>
              </w:tc>
            </w:tr>
            <w:tr w14:paraId="33E9B5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3" w:type="dxa"/>
                  <w:vMerge w:val="continue"/>
                  <w:tcBorders>
                    <w:tl2br w:val="nil"/>
                    <w:tr2bl w:val="nil"/>
                  </w:tcBorders>
                  <w:noWrap w:val="0"/>
                  <w:vAlign w:val="center"/>
                </w:tcPr>
                <w:p w14:paraId="275366F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kern w:val="0"/>
                      <w:sz w:val="21"/>
                      <w:szCs w:val="21"/>
                      <w:vertAlign w:val="baseline"/>
                      <w:lang w:val="en-US" w:eastAsia="zh-CN"/>
                    </w:rPr>
                  </w:pPr>
                </w:p>
              </w:tc>
              <w:tc>
                <w:tcPr>
                  <w:tcW w:w="1240" w:type="dxa"/>
                  <w:tcBorders>
                    <w:tl2br w:val="nil"/>
                    <w:tr2bl w:val="nil"/>
                  </w:tcBorders>
                  <w:noWrap w:val="0"/>
                  <w:vAlign w:val="center"/>
                </w:tcPr>
                <w:p w14:paraId="1B39CD5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kern w:val="0"/>
                      <w:sz w:val="21"/>
                      <w:szCs w:val="21"/>
                      <w:vertAlign w:val="baseline"/>
                      <w:lang w:val="en-US" w:eastAsia="zh-CN" w:bidi="ar-SA"/>
                    </w:rPr>
                  </w:pPr>
                  <w:r>
                    <w:rPr>
                      <w:rFonts w:hint="eastAsia"/>
                      <w:color w:val="auto"/>
                      <w:kern w:val="0"/>
                      <w:sz w:val="21"/>
                      <w:szCs w:val="21"/>
                      <w:vertAlign w:val="baseline"/>
                      <w:lang w:val="en-US" w:eastAsia="zh-CN"/>
                    </w:rPr>
                    <w:t>出水水质</w:t>
                  </w:r>
                </w:p>
              </w:tc>
              <w:tc>
                <w:tcPr>
                  <w:tcW w:w="919" w:type="dxa"/>
                  <w:tcBorders>
                    <w:tl2br w:val="nil"/>
                    <w:tr2bl w:val="nil"/>
                  </w:tcBorders>
                  <w:shd w:val="clear" w:color="auto" w:fill="auto"/>
                  <w:noWrap w:val="0"/>
                  <w:vAlign w:val="center"/>
                </w:tcPr>
                <w:p w14:paraId="311BBBC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250</w:t>
                  </w:r>
                </w:p>
              </w:tc>
              <w:tc>
                <w:tcPr>
                  <w:tcW w:w="919" w:type="dxa"/>
                  <w:tcBorders>
                    <w:tl2br w:val="nil"/>
                    <w:tr2bl w:val="nil"/>
                  </w:tcBorders>
                  <w:shd w:val="clear" w:color="auto" w:fill="auto"/>
                  <w:noWrap w:val="0"/>
                  <w:vAlign w:val="center"/>
                </w:tcPr>
                <w:p w14:paraId="38DB99A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120</w:t>
                  </w:r>
                </w:p>
              </w:tc>
              <w:tc>
                <w:tcPr>
                  <w:tcW w:w="919" w:type="dxa"/>
                  <w:tcBorders>
                    <w:tl2br w:val="nil"/>
                    <w:tr2bl w:val="nil"/>
                  </w:tcBorders>
                  <w:shd w:val="clear" w:color="auto" w:fill="auto"/>
                  <w:noWrap w:val="0"/>
                  <w:vAlign w:val="center"/>
                </w:tcPr>
                <w:p w14:paraId="3C4C8D2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250</w:t>
                  </w:r>
                </w:p>
              </w:tc>
              <w:tc>
                <w:tcPr>
                  <w:tcW w:w="919" w:type="dxa"/>
                  <w:tcBorders>
                    <w:tl2br w:val="nil"/>
                    <w:tr2bl w:val="nil"/>
                  </w:tcBorders>
                  <w:shd w:val="clear" w:color="auto" w:fill="auto"/>
                  <w:noWrap w:val="0"/>
                  <w:vAlign w:val="center"/>
                </w:tcPr>
                <w:p w14:paraId="32FA14D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20</w:t>
                  </w:r>
                </w:p>
              </w:tc>
              <w:tc>
                <w:tcPr>
                  <w:tcW w:w="919" w:type="dxa"/>
                  <w:tcBorders>
                    <w:tl2br w:val="nil"/>
                    <w:tr2bl w:val="nil"/>
                  </w:tcBorders>
                  <w:shd w:val="clear" w:color="auto" w:fill="auto"/>
                  <w:noWrap w:val="0"/>
                  <w:vAlign w:val="center"/>
                </w:tcPr>
                <w:p w14:paraId="5A14636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25</w:t>
                  </w:r>
                </w:p>
              </w:tc>
              <w:tc>
                <w:tcPr>
                  <w:tcW w:w="919" w:type="dxa"/>
                  <w:tcBorders>
                    <w:tl2br w:val="nil"/>
                    <w:tr2bl w:val="nil"/>
                  </w:tcBorders>
                  <w:shd w:val="clear" w:color="auto" w:fill="auto"/>
                  <w:noWrap w:val="0"/>
                  <w:vAlign w:val="center"/>
                </w:tcPr>
                <w:p w14:paraId="19958E0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w:t>
                  </w:r>
                </w:p>
              </w:tc>
              <w:tc>
                <w:tcPr>
                  <w:tcW w:w="922" w:type="dxa"/>
                  <w:tcBorders>
                    <w:tl2br w:val="nil"/>
                    <w:tr2bl w:val="nil"/>
                  </w:tcBorders>
                  <w:shd w:val="clear" w:color="auto" w:fill="auto"/>
                  <w:noWrap w:val="0"/>
                  <w:vAlign w:val="center"/>
                </w:tcPr>
                <w:p w14:paraId="121F829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SA"/>
                    </w:rPr>
                  </w:pPr>
                  <w:r>
                    <w:rPr>
                      <w:rFonts w:hint="eastAsia" w:cs="Times New Roman"/>
                      <w:color w:val="auto"/>
                      <w:kern w:val="0"/>
                      <w:sz w:val="21"/>
                      <w:szCs w:val="21"/>
                      <w:vertAlign w:val="baseline"/>
                      <w:lang w:val="en-US" w:eastAsia="zh-CN" w:bidi="ar-SA"/>
                    </w:rPr>
                    <w:t>8.89</w:t>
                  </w:r>
                </w:p>
              </w:tc>
            </w:tr>
            <w:tr w14:paraId="269918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3" w:type="dxa"/>
                  <w:vMerge w:val="continue"/>
                  <w:tcBorders>
                    <w:tl2br w:val="nil"/>
                    <w:tr2bl w:val="nil"/>
                  </w:tcBorders>
                  <w:noWrap w:val="0"/>
                  <w:vAlign w:val="center"/>
                </w:tcPr>
                <w:p w14:paraId="57D2424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kern w:val="0"/>
                      <w:sz w:val="21"/>
                      <w:szCs w:val="21"/>
                      <w:vertAlign w:val="baseline"/>
                      <w:lang w:val="en-US" w:eastAsia="zh-CN"/>
                    </w:rPr>
                  </w:pPr>
                </w:p>
              </w:tc>
              <w:tc>
                <w:tcPr>
                  <w:tcW w:w="1240" w:type="dxa"/>
                  <w:tcBorders>
                    <w:tl2br w:val="nil"/>
                    <w:tr2bl w:val="nil"/>
                  </w:tcBorders>
                  <w:noWrap w:val="0"/>
                  <w:vAlign w:val="center"/>
                </w:tcPr>
                <w:p w14:paraId="1ED10C1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kern w:val="0"/>
                      <w:sz w:val="21"/>
                      <w:szCs w:val="21"/>
                      <w:vertAlign w:val="baseline"/>
                      <w:lang w:val="en-US" w:eastAsia="zh-CN" w:bidi="ar-SA"/>
                    </w:rPr>
                  </w:pPr>
                  <w:r>
                    <w:rPr>
                      <w:rFonts w:hint="eastAsia"/>
                      <w:color w:val="auto"/>
                      <w:kern w:val="0"/>
                      <w:sz w:val="21"/>
                      <w:szCs w:val="21"/>
                      <w:vertAlign w:val="baseline"/>
                      <w:lang w:val="en-US" w:eastAsia="zh-CN"/>
                    </w:rPr>
                    <w:t>处理效率%</w:t>
                  </w:r>
                </w:p>
              </w:tc>
              <w:tc>
                <w:tcPr>
                  <w:tcW w:w="919" w:type="dxa"/>
                  <w:tcBorders>
                    <w:tl2br w:val="nil"/>
                    <w:tr2bl w:val="nil"/>
                  </w:tcBorders>
                  <w:noWrap w:val="0"/>
                  <w:vAlign w:val="center"/>
                </w:tcPr>
                <w:p w14:paraId="0E37FE5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0</w:t>
                  </w:r>
                </w:p>
              </w:tc>
              <w:tc>
                <w:tcPr>
                  <w:tcW w:w="919" w:type="dxa"/>
                  <w:tcBorders>
                    <w:tl2br w:val="nil"/>
                    <w:tr2bl w:val="nil"/>
                  </w:tcBorders>
                  <w:noWrap w:val="0"/>
                  <w:vAlign w:val="center"/>
                </w:tcPr>
                <w:p w14:paraId="15C649F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0</w:t>
                  </w:r>
                </w:p>
              </w:tc>
              <w:tc>
                <w:tcPr>
                  <w:tcW w:w="919" w:type="dxa"/>
                  <w:tcBorders>
                    <w:tl2br w:val="nil"/>
                    <w:tr2bl w:val="nil"/>
                  </w:tcBorders>
                  <w:noWrap w:val="0"/>
                  <w:vAlign w:val="center"/>
                </w:tcPr>
                <w:p w14:paraId="3AF0B8E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0</w:t>
                  </w:r>
                </w:p>
              </w:tc>
              <w:tc>
                <w:tcPr>
                  <w:tcW w:w="919" w:type="dxa"/>
                  <w:tcBorders>
                    <w:tl2br w:val="nil"/>
                    <w:tr2bl w:val="nil"/>
                  </w:tcBorders>
                  <w:noWrap w:val="0"/>
                  <w:vAlign w:val="center"/>
                </w:tcPr>
                <w:p w14:paraId="173D22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0</w:t>
                  </w:r>
                </w:p>
              </w:tc>
              <w:tc>
                <w:tcPr>
                  <w:tcW w:w="919" w:type="dxa"/>
                  <w:tcBorders>
                    <w:tl2br w:val="nil"/>
                    <w:tr2bl w:val="nil"/>
                  </w:tcBorders>
                  <w:noWrap w:val="0"/>
                  <w:vAlign w:val="center"/>
                </w:tcPr>
                <w:p w14:paraId="34CC7F2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0</w:t>
                  </w:r>
                </w:p>
              </w:tc>
              <w:tc>
                <w:tcPr>
                  <w:tcW w:w="919" w:type="dxa"/>
                  <w:tcBorders>
                    <w:tl2br w:val="nil"/>
                    <w:tr2bl w:val="nil"/>
                  </w:tcBorders>
                  <w:noWrap w:val="0"/>
                  <w:vAlign w:val="center"/>
                </w:tcPr>
                <w:p w14:paraId="0CEB1D7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0</w:t>
                  </w:r>
                </w:p>
              </w:tc>
              <w:tc>
                <w:tcPr>
                  <w:tcW w:w="922" w:type="dxa"/>
                  <w:tcBorders>
                    <w:tl2br w:val="nil"/>
                    <w:tr2bl w:val="nil"/>
                  </w:tcBorders>
                  <w:noWrap w:val="0"/>
                  <w:vAlign w:val="center"/>
                </w:tcPr>
                <w:p w14:paraId="01DC023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96</w:t>
                  </w:r>
                </w:p>
              </w:tc>
            </w:tr>
            <w:tr w14:paraId="15B53B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3" w:type="dxa"/>
                  <w:vMerge w:val="restart"/>
                  <w:tcBorders>
                    <w:tl2br w:val="nil"/>
                    <w:tr2bl w:val="nil"/>
                  </w:tcBorders>
                  <w:noWrap w:val="0"/>
                  <w:vAlign w:val="center"/>
                </w:tcPr>
                <w:p w14:paraId="4B57D1A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混凝沉淀</w:t>
                  </w:r>
                </w:p>
              </w:tc>
              <w:tc>
                <w:tcPr>
                  <w:tcW w:w="1240" w:type="dxa"/>
                  <w:tcBorders>
                    <w:tl2br w:val="nil"/>
                    <w:tr2bl w:val="nil"/>
                  </w:tcBorders>
                  <w:noWrap w:val="0"/>
                  <w:vAlign w:val="center"/>
                </w:tcPr>
                <w:p w14:paraId="2DF9608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kern w:val="0"/>
                      <w:sz w:val="21"/>
                      <w:szCs w:val="21"/>
                      <w:vertAlign w:val="baseline"/>
                      <w:lang w:val="en-US" w:eastAsia="zh-CN" w:bidi="ar-SA"/>
                    </w:rPr>
                  </w:pPr>
                  <w:r>
                    <w:rPr>
                      <w:rFonts w:hint="eastAsia"/>
                      <w:color w:val="auto"/>
                      <w:kern w:val="0"/>
                      <w:sz w:val="21"/>
                      <w:szCs w:val="21"/>
                      <w:vertAlign w:val="baseline"/>
                      <w:lang w:val="en-US" w:eastAsia="zh-CN"/>
                    </w:rPr>
                    <w:t>进水水质</w:t>
                  </w:r>
                </w:p>
              </w:tc>
              <w:tc>
                <w:tcPr>
                  <w:tcW w:w="919" w:type="dxa"/>
                  <w:tcBorders>
                    <w:tl2br w:val="nil"/>
                    <w:tr2bl w:val="nil"/>
                  </w:tcBorders>
                  <w:shd w:val="clear" w:color="auto" w:fill="auto"/>
                  <w:noWrap w:val="0"/>
                  <w:vAlign w:val="center"/>
                </w:tcPr>
                <w:p w14:paraId="3D8EF5A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250</w:t>
                  </w:r>
                </w:p>
              </w:tc>
              <w:tc>
                <w:tcPr>
                  <w:tcW w:w="919" w:type="dxa"/>
                  <w:tcBorders>
                    <w:tl2br w:val="nil"/>
                    <w:tr2bl w:val="nil"/>
                  </w:tcBorders>
                  <w:shd w:val="clear" w:color="auto" w:fill="auto"/>
                  <w:noWrap w:val="0"/>
                  <w:vAlign w:val="center"/>
                </w:tcPr>
                <w:p w14:paraId="207AE7F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120</w:t>
                  </w:r>
                </w:p>
              </w:tc>
              <w:tc>
                <w:tcPr>
                  <w:tcW w:w="919" w:type="dxa"/>
                  <w:tcBorders>
                    <w:tl2br w:val="nil"/>
                    <w:tr2bl w:val="nil"/>
                  </w:tcBorders>
                  <w:shd w:val="clear" w:color="auto" w:fill="auto"/>
                  <w:noWrap w:val="0"/>
                  <w:vAlign w:val="center"/>
                </w:tcPr>
                <w:p w14:paraId="23F268C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250</w:t>
                  </w:r>
                </w:p>
              </w:tc>
              <w:tc>
                <w:tcPr>
                  <w:tcW w:w="919" w:type="dxa"/>
                  <w:tcBorders>
                    <w:tl2br w:val="nil"/>
                    <w:tr2bl w:val="nil"/>
                  </w:tcBorders>
                  <w:shd w:val="clear" w:color="auto" w:fill="auto"/>
                  <w:noWrap w:val="0"/>
                  <w:vAlign w:val="center"/>
                </w:tcPr>
                <w:p w14:paraId="15A71E0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20</w:t>
                  </w:r>
                </w:p>
              </w:tc>
              <w:tc>
                <w:tcPr>
                  <w:tcW w:w="919" w:type="dxa"/>
                  <w:tcBorders>
                    <w:tl2br w:val="nil"/>
                    <w:tr2bl w:val="nil"/>
                  </w:tcBorders>
                  <w:shd w:val="clear" w:color="auto" w:fill="auto"/>
                  <w:noWrap w:val="0"/>
                  <w:vAlign w:val="center"/>
                </w:tcPr>
                <w:p w14:paraId="5DF87FE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25</w:t>
                  </w:r>
                </w:p>
              </w:tc>
              <w:tc>
                <w:tcPr>
                  <w:tcW w:w="919" w:type="dxa"/>
                  <w:tcBorders>
                    <w:tl2br w:val="nil"/>
                    <w:tr2bl w:val="nil"/>
                  </w:tcBorders>
                  <w:shd w:val="clear" w:color="auto" w:fill="auto"/>
                  <w:noWrap w:val="0"/>
                  <w:vAlign w:val="center"/>
                </w:tcPr>
                <w:p w14:paraId="306EC9C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w:t>
                  </w:r>
                </w:p>
              </w:tc>
              <w:tc>
                <w:tcPr>
                  <w:tcW w:w="922" w:type="dxa"/>
                  <w:tcBorders>
                    <w:tl2br w:val="nil"/>
                    <w:tr2bl w:val="nil"/>
                  </w:tcBorders>
                  <w:shd w:val="clear" w:color="auto" w:fill="auto"/>
                  <w:noWrap w:val="0"/>
                  <w:vAlign w:val="center"/>
                </w:tcPr>
                <w:p w14:paraId="511D423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s="Times New Roman"/>
                      <w:color w:val="auto"/>
                      <w:kern w:val="0"/>
                      <w:sz w:val="21"/>
                      <w:szCs w:val="21"/>
                      <w:vertAlign w:val="baseline"/>
                      <w:lang w:val="en-US" w:eastAsia="zh-CN" w:bidi="ar-SA"/>
                    </w:rPr>
                    <w:t>8.89</w:t>
                  </w:r>
                </w:p>
              </w:tc>
            </w:tr>
            <w:tr w14:paraId="3FFBF6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3" w:type="dxa"/>
                  <w:vMerge w:val="continue"/>
                  <w:tcBorders>
                    <w:tl2br w:val="nil"/>
                    <w:tr2bl w:val="nil"/>
                  </w:tcBorders>
                  <w:noWrap w:val="0"/>
                  <w:vAlign w:val="center"/>
                </w:tcPr>
                <w:p w14:paraId="39E7466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kern w:val="0"/>
                      <w:sz w:val="21"/>
                      <w:szCs w:val="21"/>
                      <w:vertAlign w:val="baseline"/>
                      <w:lang w:val="en-US" w:eastAsia="zh-CN"/>
                    </w:rPr>
                  </w:pPr>
                </w:p>
              </w:tc>
              <w:tc>
                <w:tcPr>
                  <w:tcW w:w="1240" w:type="dxa"/>
                  <w:tcBorders>
                    <w:tl2br w:val="nil"/>
                    <w:tr2bl w:val="nil"/>
                  </w:tcBorders>
                  <w:noWrap w:val="0"/>
                  <w:vAlign w:val="center"/>
                </w:tcPr>
                <w:p w14:paraId="64F2A7B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kern w:val="0"/>
                      <w:sz w:val="21"/>
                      <w:szCs w:val="21"/>
                      <w:vertAlign w:val="baseline"/>
                      <w:lang w:val="en-US" w:eastAsia="zh-CN" w:bidi="ar-SA"/>
                    </w:rPr>
                  </w:pPr>
                  <w:r>
                    <w:rPr>
                      <w:rFonts w:hint="eastAsia"/>
                      <w:color w:val="auto"/>
                      <w:kern w:val="0"/>
                      <w:sz w:val="21"/>
                      <w:szCs w:val="21"/>
                      <w:vertAlign w:val="baseline"/>
                      <w:lang w:val="en-US" w:eastAsia="zh-CN"/>
                    </w:rPr>
                    <w:t>出水水质</w:t>
                  </w:r>
                </w:p>
              </w:tc>
              <w:tc>
                <w:tcPr>
                  <w:tcW w:w="919" w:type="dxa"/>
                  <w:tcBorders>
                    <w:tl2br w:val="nil"/>
                    <w:tr2bl w:val="nil"/>
                  </w:tcBorders>
                  <w:shd w:val="clear" w:color="auto" w:fill="auto"/>
                  <w:noWrap w:val="0"/>
                  <w:vAlign w:val="center"/>
                </w:tcPr>
                <w:p w14:paraId="1B8ADA0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250</w:t>
                  </w:r>
                </w:p>
              </w:tc>
              <w:tc>
                <w:tcPr>
                  <w:tcW w:w="919" w:type="dxa"/>
                  <w:tcBorders>
                    <w:tl2br w:val="nil"/>
                    <w:tr2bl w:val="nil"/>
                  </w:tcBorders>
                  <w:shd w:val="clear" w:color="auto" w:fill="auto"/>
                  <w:noWrap w:val="0"/>
                  <w:vAlign w:val="center"/>
                </w:tcPr>
                <w:p w14:paraId="3A2D676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120</w:t>
                  </w:r>
                </w:p>
              </w:tc>
              <w:tc>
                <w:tcPr>
                  <w:tcW w:w="919" w:type="dxa"/>
                  <w:tcBorders>
                    <w:tl2br w:val="nil"/>
                    <w:tr2bl w:val="nil"/>
                  </w:tcBorders>
                  <w:shd w:val="clear" w:color="auto" w:fill="auto"/>
                  <w:noWrap w:val="0"/>
                  <w:vAlign w:val="center"/>
                </w:tcPr>
                <w:p w14:paraId="7DBC16A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SA"/>
                    </w:rPr>
                  </w:pPr>
                  <w:r>
                    <w:rPr>
                      <w:rFonts w:hint="eastAsia" w:ascii="Times New Roman" w:hAnsi="Times New Roman" w:eastAsia="宋体" w:cs="Times New Roman"/>
                      <w:color w:val="auto"/>
                      <w:kern w:val="0"/>
                      <w:sz w:val="21"/>
                      <w:szCs w:val="21"/>
                      <w:vertAlign w:val="baseline"/>
                      <w:lang w:val="en-US" w:eastAsia="zh-CN" w:bidi="ar-SA"/>
                    </w:rPr>
                    <w:t>125</w:t>
                  </w:r>
                </w:p>
              </w:tc>
              <w:tc>
                <w:tcPr>
                  <w:tcW w:w="919" w:type="dxa"/>
                  <w:tcBorders>
                    <w:tl2br w:val="nil"/>
                    <w:tr2bl w:val="nil"/>
                  </w:tcBorders>
                  <w:shd w:val="clear" w:color="auto" w:fill="auto"/>
                  <w:noWrap w:val="0"/>
                  <w:vAlign w:val="center"/>
                </w:tcPr>
                <w:p w14:paraId="0FDB979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20</w:t>
                  </w:r>
                </w:p>
              </w:tc>
              <w:tc>
                <w:tcPr>
                  <w:tcW w:w="919" w:type="dxa"/>
                  <w:tcBorders>
                    <w:tl2br w:val="nil"/>
                    <w:tr2bl w:val="nil"/>
                  </w:tcBorders>
                  <w:shd w:val="clear" w:color="auto" w:fill="auto"/>
                  <w:noWrap w:val="0"/>
                  <w:vAlign w:val="center"/>
                </w:tcPr>
                <w:p w14:paraId="00CFE4A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25</w:t>
                  </w:r>
                </w:p>
              </w:tc>
              <w:tc>
                <w:tcPr>
                  <w:tcW w:w="919" w:type="dxa"/>
                  <w:tcBorders>
                    <w:tl2br w:val="nil"/>
                    <w:tr2bl w:val="nil"/>
                  </w:tcBorders>
                  <w:shd w:val="clear" w:color="auto" w:fill="auto"/>
                  <w:noWrap w:val="0"/>
                  <w:vAlign w:val="center"/>
                </w:tcPr>
                <w:p w14:paraId="40CC60A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w:t>
                  </w:r>
                </w:p>
              </w:tc>
              <w:tc>
                <w:tcPr>
                  <w:tcW w:w="922" w:type="dxa"/>
                  <w:tcBorders>
                    <w:tl2br w:val="nil"/>
                    <w:tr2bl w:val="nil"/>
                  </w:tcBorders>
                  <w:shd w:val="clear" w:color="auto" w:fill="auto"/>
                  <w:noWrap w:val="0"/>
                  <w:vAlign w:val="center"/>
                </w:tcPr>
                <w:p w14:paraId="4A8F747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SA"/>
                    </w:rPr>
                  </w:pPr>
                  <w:r>
                    <w:rPr>
                      <w:rFonts w:hint="eastAsia" w:cs="Times New Roman"/>
                      <w:color w:val="auto"/>
                      <w:kern w:val="0"/>
                      <w:sz w:val="21"/>
                      <w:szCs w:val="21"/>
                      <w:vertAlign w:val="baseline"/>
                      <w:lang w:val="en-US" w:eastAsia="zh-CN" w:bidi="ar-SA"/>
                    </w:rPr>
                    <w:t>8.89</w:t>
                  </w:r>
                </w:p>
              </w:tc>
            </w:tr>
            <w:tr w14:paraId="77BAE0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3" w:type="dxa"/>
                  <w:vMerge w:val="continue"/>
                  <w:tcBorders>
                    <w:tl2br w:val="nil"/>
                    <w:tr2bl w:val="nil"/>
                  </w:tcBorders>
                  <w:noWrap w:val="0"/>
                  <w:vAlign w:val="center"/>
                </w:tcPr>
                <w:p w14:paraId="7F8B54F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kern w:val="0"/>
                      <w:sz w:val="21"/>
                      <w:szCs w:val="21"/>
                      <w:vertAlign w:val="baseline"/>
                      <w:lang w:val="en-US" w:eastAsia="zh-CN"/>
                    </w:rPr>
                  </w:pPr>
                </w:p>
              </w:tc>
              <w:tc>
                <w:tcPr>
                  <w:tcW w:w="1240" w:type="dxa"/>
                  <w:tcBorders>
                    <w:tl2br w:val="nil"/>
                    <w:tr2bl w:val="nil"/>
                  </w:tcBorders>
                  <w:noWrap w:val="0"/>
                  <w:vAlign w:val="center"/>
                </w:tcPr>
                <w:p w14:paraId="778723C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kern w:val="0"/>
                      <w:sz w:val="21"/>
                      <w:szCs w:val="21"/>
                      <w:vertAlign w:val="baseline"/>
                      <w:lang w:val="en-US" w:eastAsia="zh-CN" w:bidi="ar-SA"/>
                    </w:rPr>
                  </w:pPr>
                  <w:r>
                    <w:rPr>
                      <w:rFonts w:hint="eastAsia"/>
                      <w:color w:val="auto"/>
                      <w:kern w:val="0"/>
                      <w:sz w:val="21"/>
                      <w:szCs w:val="21"/>
                      <w:vertAlign w:val="baseline"/>
                      <w:lang w:val="en-US" w:eastAsia="zh-CN"/>
                    </w:rPr>
                    <w:t>处理效率%</w:t>
                  </w:r>
                </w:p>
              </w:tc>
              <w:tc>
                <w:tcPr>
                  <w:tcW w:w="919" w:type="dxa"/>
                  <w:tcBorders>
                    <w:tl2br w:val="nil"/>
                    <w:tr2bl w:val="nil"/>
                  </w:tcBorders>
                  <w:noWrap w:val="0"/>
                  <w:vAlign w:val="center"/>
                </w:tcPr>
                <w:p w14:paraId="2665DD6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0</w:t>
                  </w:r>
                </w:p>
              </w:tc>
              <w:tc>
                <w:tcPr>
                  <w:tcW w:w="919" w:type="dxa"/>
                  <w:tcBorders>
                    <w:tl2br w:val="nil"/>
                    <w:tr2bl w:val="nil"/>
                  </w:tcBorders>
                  <w:noWrap w:val="0"/>
                  <w:vAlign w:val="center"/>
                </w:tcPr>
                <w:p w14:paraId="2065470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0</w:t>
                  </w:r>
                </w:p>
              </w:tc>
              <w:tc>
                <w:tcPr>
                  <w:tcW w:w="919" w:type="dxa"/>
                  <w:tcBorders>
                    <w:tl2br w:val="nil"/>
                    <w:tr2bl w:val="nil"/>
                  </w:tcBorders>
                  <w:noWrap w:val="0"/>
                  <w:vAlign w:val="center"/>
                </w:tcPr>
                <w:p w14:paraId="5133623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50</w:t>
                  </w:r>
                </w:p>
              </w:tc>
              <w:tc>
                <w:tcPr>
                  <w:tcW w:w="919" w:type="dxa"/>
                  <w:tcBorders>
                    <w:tl2br w:val="nil"/>
                    <w:tr2bl w:val="nil"/>
                  </w:tcBorders>
                  <w:noWrap w:val="0"/>
                  <w:vAlign w:val="center"/>
                </w:tcPr>
                <w:p w14:paraId="129B5F4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0</w:t>
                  </w:r>
                </w:p>
              </w:tc>
              <w:tc>
                <w:tcPr>
                  <w:tcW w:w="919" w:type="dxa"/>
                  <w:tcBorders>
                    <w:tl2br w:val="nil"/>
                    <w:tr2bl w:val="nil"/>
                  </w:tcBorders>
                  <w:noWrap w:val="0"/>
                  <w:vAlign w:val="center"/>
                </w:tcPr>
                <w:p w14:paraId="5C54D5D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0</w:t>
                  </w:r>
                </w:p>
              </w:tc>
              <w:tc>
                <w:tcPr>
                  <w:tcW w:w="919" w:type="dxa"/>
                  <w:tcBorders>
                    <w:tl2br w:val="nil"/>
                    <w:tr2bl w:val="nil"/>
                  </w:tcBorders>
                  <w:noWrap w:val="0"/>
                  <w:vAlign w:val="center"/>
                </w:tcPr>
                <w:p w14:paraId="1F432AA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0</w:t>
                  </w:r>
                </w:p>
              </w:tc>
              <w:tc>
                <w:tcPr>
                  <w:tcW w:w="922" w:type="dxa"/>
                  <w:tcBorders>
                    <w:tl2br w:val="nil"/>
                    <w:tr2bl w:val="nil"/>
                  </w:tcBorders>
                  <w:noWrap w:val="0"/>
                  <w:vAlign w:val="center"/>
                </w:tcPr>
                <w:p w14:paraId="21A3D1E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0</w:t>
                  </w:r>
                </w:p>
              </w:tc>
            </w:tr>
            <w:tr w14:paraId="667F40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3" w:type="dxa"/>
                  <w:vMerge w:val="restart"/>
                  <w:tcBorders>
                    <w:tl2br w:val="nil"/>
                    <w:tr2bl w:val="nil"/>
                  </w:tcBorders>
                  <w:noWrap w:val="0"/>
                  <w:vAlign w:val="center"/>
                </w:tcPr>
                <w:p w14:paraId="737250D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高效过滤</w:t>
                  </w:r>
                </w:p>
              </w:tc>
              <w:tc>
                <w:tcPr>
                  <w:tcW w:w="1240" w:type="dxa"/>
                  <w:tcBorders>
                    <w:tl2br w:val="nil"/>
                    <w:tr2bl w:val="nil"/>
                  </w:tcBorders>
                  <w:noWrap w:val="0"/>
                  <w:vAlign w:val="center"/>
                </w:tcPr>
                <w:p w14:paraId="22568B5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kern w:val="0"/>
                      <w:sz w:val="21"/>
                      <w:szCs w:val="21"/>
                      <w:vertAlign w:val="baseline"/>
                      <w:lang w:val="en-US" w:eastAsia="zh-CN" w:bidi="ar-SA"/>
                    </w:rPr>
                  </w:pPr>
                  <w:r>
                    <w:rPr>
                      <w:rFonts w:hint="eastAsia"/>
                      <w:color w:val="auto"/>
                      <w:kern w:val="0"/>
                      <w:sz w:val="21"/>
                      <w:szCs w:val="21"/>
                      <w:vertAlign w:val="baseline"/>
                      <w:lang w:val="en-US" w:eastAsia="zh-CN"/>
                    </w:rPr>
                    <w:t>进水水质</w:t>
                  </w:r>
                </w:p>
              </w:tc>
              <w:tc>
                <w:tcPr>
                  <w:tcW w:w="919" w:type="dxa"/>
                  <w:tcBorders>
                    <w:tl2br w:val="nil"/>
                    <w:tr2bl w:val="nil"/>
                  </w:tcBorders>
                  <w:shd w:val="clear" w:color="auto" w:fill="auto"/>
                  <w:noWrap w:val="0"/>
                  <w:vAlign w:val="center"/>
                </w:tcPr>
                <w:p w14:paraId="2D1D343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250</w:t>
                  </w:r>
                </w:p>
              </w:tc>
              <w:tc>
                <w:tcPr>
                  <w:tcW w:w="919" w:type="dxa"/>
                  <w:tcBorders>
                    <w:tl2br w:val="nil"/>
                    <w:tr2bl w:val="nil"/>
                  </w:tcBorders>
                  <w:shd w:val="clear" w:color="auto" w:fill="auto"/>
                  <w:noWrap w:val="0"/>
                  <w:vAlign w:val="center"/>
                </w:tcPr>
                <w:p w14:paraId="6573B13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120</w:t>
                  </w:r>
                </w:p>
              </w:tc>
              <w:tc>
                <w:tcPr>
                  <w:tcW w:w="919" w:type="dxa"/>
                  <w:tcBorders>
                    <w:tl2br w:val="nil"/>
                    <w:tr2bl w:val="nil"/>
                  </w:tcBorders>
                  <w:shd w:val="clear" w:color="auto" w:fill="auto"/>
                  <w:noWrap w:val="0"/>
                  <w:vAlign w:val="center"/>
                </w:tcPr>
                <w:p w14:paraId="5D0B277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SA"/>
                    </w:rPr>
                  </w:pPr>
                  <w:r>
                    <w:rPr>
                      <w:rFonts w:hint="eastAsia" w:ascii="Times New Roman" w:hAnsi="Times New Roman" w:eastAsia="宋体" w:cs="Times New Roman"/>
                      <w:color w:val="auto"/>
                      <w:kern w:val="0"/>
                      <w:sz w:val="21"/>
                      <w:szCs w:val="21"/>
                      <w:vertAlign w:val="baseline"/>
                      <w:lang w:val="en-US" w:eastAsia="zh-CN" w:bidi="ar-SA"/>
                    </w:rPr>
                    <w:t>125</w:t>
                  </w:r>
                </w:p>
              </w:tc>
              <w:tc>
                <w:tcPr>
                  <w:tcW w:w="919" w:type="dxa"/>
                  <w:tcBorders>
                    <w:tl2br w:val="nil"/>
                    <w:tr2bl w:val="nil"/>
                  </w:tcBorders>
                  <w:shd w:val="clear" w:color="auto" w:fill="auto"/>
                  <w:noWrap w:val="0"/>
                  <w:vAlign w:val="center"/>
                </w:tcPr>
                <w:p w14:paraId="7E46ED3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20</w:t>
                  </w:r>
                </w:p>
              </w:tc>
              <w:tc>
                <w:tcPr>
                  <w:tcW w:w="919" w:type="dxa"/>
                  <w:tcBorders>
                    <w:tl2br w:val="nil"/>
                    <w:tr2bl w:val="nil"/>
                  </w:tcBorders>
                  <w:shd w:val="clear" w:color="auto" w:fill="auto"/>
                  <w:noWrap w:val="0"/>
                  <w:vAlign w:val="center"/>
                </w:tcPr>
                <w:p w14:paraId="00D4B1D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25</w:t>
                  </w:r>
                </w:p>
              </w:tc>
              <w:tc>
                <w:tcPr>
                  <w:tcW w:w="919" w:type="dxa"/>
                  <w:tcBorders>
                    <w:tl2br w:val="nil"/>
                    <w:tr2bl w:val="nil"/>
                  </w:tcBorders>
                  <w:shd w:val="clear" w:color="auto" w:fill="auto"/>
                  <w:noWrap w:val="0"/>
                  <w:vAlign w:val="center"/>
                </w:tcPr>
                <w:p w14:paraId="1BE707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olor w:val="auto"/>
                      <w:kern w:val="0"/>
                      <w:sz w:val="21"/>
                      <w:szCs w:val="21"/>
                      <w:vertAlign w:val="baseline"/>
                      <w:lang w:val="en-US" w:eastAsia="zh-CN"/>
                    </w:rPr>
                    <w:t>2</w:t>
                  </w:r>
                </w:p>
              </w:tc>
              <w:tc>
                <w:tcPr>
                  <w:tcW w:w="922" w:type="dxa"/>
                  <w:tcBorders>
                    <w:tl2br w:val="nil"/>
                    <w:tr2bl w:val="nil"/>
                  </w:tcBorders>
                  <w:shd w:val="clear" w:color="auto" w:fill="auto"/>
                  <w:noWrap w:val="0"/>
                  <w:vAlign w:val="center"/>
                </w:tcPr>
                <w:p w14:paraId="7DA29D2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vertAlign w:val="baseline"/>
                      <w:lang w:val="en-US" w:eastAsia="zh-CN" w:bidi="ar-SA"/>
                    </w:rPr>
                  </w:pPr>
                  <w:r>
                    <w:rPr>
                      <w:rFonts w:hint="eastAsia" w:cs="Times New Roman"/>
                      <w:color w:val="auto"/>
                      <w:kern w:val="0"/>
                      <w:sz w:val="21"/>
                      <w:szCs w:val="21"/>
                      <w:vertAlign w:val="baseline"/>
                      <w:lang w:val="en-US" w:eastAsia="zh-CN" w:bidi="ar-SA"/>
                    </w:rPr>
                    <w:t>8.89</w:t>
                  </w:r>
                </w:p>
              </w:tc>
            </w:tr>
            <w:tr w14:paraId="1331FF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3" w:type="dxa"/>
                  <w:vMerge w:val="continue"/>
                  <w:tcBorders>
                    <w:tl2br w:val="nil"/>
                    <w:tr2bl w:val="nil"/>
                  </w:tcBorders>
                  <w:noWrap w:val="0"/>
                  <w:vAlign w:val="center"/>
                </w:tcPr>
                <w:p w14:paraId="23BEF64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kern w:val="0"/>
                      <w:sz w:val="21"/>
                      <w:szCs w:val="21"/>
                      <w:vertAlign w:val="baseline"/>
                      <w:lang w:val="en-US" w:eastAsia="zh-CN"/>
                    </w:rPr>
                  </w:pPr>
                </w:p>
              </w:tc>
              <w:tc>
                <w:tcPr>
                  <w:tcW w:w="1240" w:type="dxa"/>
                  <w:tcBorders>
                    <w:tl2br w:val="nil"/>
                    <w:tr2bl w:val="nil"/>
                  </w:tcBorders>
                  <w:noWrap w:val="0"/>
                  <w:vAlign w:val="center"/>
                </w:tcPr>
                <w:p w14:paraId="2CE2484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kern w:val="0"/>
                      <w:sz w:val="21"/>
                      <w:szCs w:val="21"/>
                      <w:vertAlign w:val="baseline"/>
                      <w:lang w:val="en-US" w:eastAsia="zh-CN" w:bidi="ar-SA"/>
                    </w:rPr>
                  </w:pPr>
                  <w:r>
                    <w:rPr>
                      <w:rFonts w:hint="eastAsia"/>
                      <w:color w:val="auto"/>
                      <w:kern w:val="0"/>
                      <w:sz w:val="21"/>
                      <w:szCs w:val="21"/>
                      <w:vertAlign w:val="baseline"/>
                      <w:lang w:val="en-US" w:eastAsia="zh-CN"/>
                    </w:rPr>
                    <w:t>出水水质</w:t>
                  </w:r>
                </w:p>
              </w:tc>
              <w:tc>
                <w:tcPr>
                  <w:tcW w:w="919" w:type="dxa"/>
                  <w:tcBorders>
                    <w:tl2br w:val="nil"/>
                    <w:tr2bl w:val="nil"/>
                  </w:tcBorders>
                  <w:noWrap w:val="0"/>
                  <w:vAlign w:val="center"/>
                </w:tcPr>
                <w:p w14:paraId="7921EB3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175</w:t>
                  </w:r>
                </w:p>
              </w:tc>
              <w:tc>
                <w:tcPr>
                  <w:tcW w:w="919" w:type="dxa"/>
                  <w:tcBorders>
                    <w:tl2br w:val="nil"/>
                    <w:tr2bl w:val="nil"/>
                  </w:tcBorders>
                  <w:noWrap w:val="0"/>
                  <w:vAlign w:val="center"/>
                </w:tcPr>
                <w:p w14:paraId="5ABE794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96</w:t>
                  </w:r>
                </w:p>
              </w:tc>
              <w:tc>
                <w:tcPr>
                  <w:tcW w:w="919" w:type="dxa"/>
                  <w:tcBorders>
                    <w:tl2br w:val="nil"/>
                    <w:tr2bl w:val="nil"/>
                  </w:tcBorders>
                  <w:noWrap w:val="0"/>
                  <w:vAlign w:val="center"/>
                </w:tcPr>
                <w:p w14:paraId="7AB7E7A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100</w:t>
                  </w:r>
                </w:p>
              </w:tc>
              <w:tc>
                <w:tcPr>
                  <w:tcW w:w="919" w:type="dxa"/>
                  <w:tcBorders>
                    <w:tl2br w:val="nil"/>
                    <w:tr2bl w:val="nil"/>
                  </w:tcBorders>
                  <w:noWrap w:val="0"/>
                  <w:vAlign w:val="center"/>
                </w:tcPr>
                <w:p w14:paraId="03DC1B0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bidi="ar-SA"/>
                    </w:rPr>
                  </w:pPr>
                  <w:r>
                    <w:rPr>
                      <w:rFonts w:hint="eastAsia"/>
                      <w:color w:val="auto"/>
                      <w:kern w:val="0"/>
                      <w:sz w:val="21"/>
                      <w:szCs w:val="21"/>
                      <w:vertAlign w:val="baseline"/>
                      <w:lang w:val="en-US" w:eastAsia="zh-CN"/>
                    </w:rPr>
                    <w:t>18</w:t>
                  </w:r>
                </w:p>
              </w:tc>
              <w:tc>
                <w:tcPr>
                  <w:tcW w:w="919" w:type="dxa"/>
                  <w:tcBorders>
                    <w:tl2br w:val="nil"/>
                    <w:tr2bl w:val="nil"/>
                  </w:tcBorders>
                  <w:noWrap w:val="0"/>
                  <w:vAlign w:val="center"/>
                </w:tcPr>
                <w:p w14:paraId="15EBBA3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bidi="ar-SA"/>
                    </w:rPr>
                  </w:pPr>
                  <w:r>
                    <w:rPr>
                      <w:rFonts w:hint="eastAsia"/>
                      <w:color w:val="auto"/>
                      <w:kern w:val="0"/>
                      <w:sz w:val="21"/>
                      <w:szCs w:val="21"/>
                      <w:vertAlign w:val="baseline"/>
                      <w:lang w:val="en-US" w:eastAsia="zh-CN"/>
                    </w:rPr>
                    <w:t>22.5</w:t>
                  </w:r>
                </w:p>
              </w:tc>
              <w:tc>
                <w:tcPr>
                  <w:tcW w:w="919" w:type="dxa"/>
                  <w:tcBorders>
                    <w:tl2br w:val="nil"/>
                    <w:tr2bl w:val="nil"/>
                  </w:tcBorders>
                  <w:noWrap w:val="0"/>
                  <w:vAlign w:val="center"/>
                </w:tcPr>
                <w:p w14:paraId="2006B09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bidi="ar-SA"/>
                    </w:rPr>
                  </w:pPr>
                  <w:r>
                    <w:rPr>
                      <w:rFonts w:hint="eastAsia"/>
                      <w:color w:val="auto"/>
                      <w:kern w:val="0"/>
                      <w:sz w:val="21"/>
                      <w:szCs w:val="21"/>
                      <w:vertAlign w:val="baseline"/>
                      <w:lang w:val="en-US" w:eastAsia="zh-CN"/>
                    </w:rPr>
                    <w:t>1.2</w:t>
                  </w:r>
                </w:p>
              </w:tc>
              <w:tc>
                <w:tcPr>
                  <w:tcW w:w="922" w:type="dxa"/>
                  <w:tcBorders>
                    <w:tl2br w:val="nil"/>
                    <w:tr2bl w:val="nil"/>
                  </w:tcBorders>
                  <w:noWrap w:val="0"/>
                  <w:vAlign w:val="center"/>
                </w:tcPr>
                <w:p w14:paraId="172ED9B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bidi="ar-SA"/>
                    </w:rPr>
                  </w:pPr>
                  <w:r>
                    <w:rPr>
                      <w:rFonts w:hint="eastAsia"/>
                      <w:color w:val="auto"/>
                      <w:kern w:val="0"/>
                      <w:sz w:val="21"/>
                      <w:szCs w:val="21"/>
                      <w:vertAlign w:val="baseline"/>
                      <w:lang w:val="en-US" w:eastAsia="zh-CN"/>
                    </w:rPr>
                    <w:t>0.026</w:t>
                  </w:r>
                </w:p>
              </w:tc>
            </w:tr>
            <w:tr w14:paraId="3AAAEA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3" w:type="dxa"/>
                  <w:vMerge w:val="continue"/>
                  <w:tcBorders>
                    <w:tl2br w:val="nil"/>
                    <w:tr2bl w:val="nil"/>
                  </w:tcBorders>
                  <w:noWrap w:val="0"/>
                  <w:vAlign w:val="center"/>
                </w:tcPr>
                <w:p w14:paraId="092E47E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kern w:val="0"/>
                      <w:sz w:val="21"/>
                      <w:szCs w:val="21"/>
                      <w:vertAlign w:val="baseline"/>
                      <w:lang w:val="en-US" w:eastAsia="zh-CN"/>
                    </w:rPr>
                  </w:pPr>
                </w:p>
              </w:tc>
              <w:tc>
                <w:tcPr>
                  <w:tcW w:w="1240" w:type="dxa"/>
                  <w:tcBorders>
                    <w:tl2br w:val="nil"/>
                    <w:tr2bl w:val="nil"/>
                  </w:tcBorders>
                  <w:noWrap w:val="0"/>
                  <w:vAlign w:val="center"/>
                </w:tcPr>
                <w:p w14:paraId="3265BF2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kern w:val="0"/>
                      <w:sz w:val="21"/>
                      <w:szCs w:val="21"/>
                      <w:vertAlign w:val="baseline"/>
                      <w:lang w:val="en-US" w:eastAsia="zh-CN" w:bidi="ar-SA"/>
                    </w:rPr>
                  </w:pPr>
                  <w:r>
                    <w:rPr>
                      <w:rFonts w:hint="eastAsia"/>
                      <w:color w:val="auto"/>
                      <w:kern w:val="0"/>
                      <w:sz w:val="21"/>
                      <w:szCs w:val="21"/>
                      <w:vertAlign w:val="baseline"/>
                      <w:lang w:val="en-US" w:eastAsia="zh-CN"/>
                    </w:rPr>
                    <w:t>处理效率%</w:t>
                  </w:r>
                </w:p>
              </w:tc>
              <w:tc>
                <w:tcPr>
                  <w:tcW w:w="919" w:type="dxa"/>
                  <w:tcBorders>
                    <w:tl2br w:val="nil"/>
                    <w:tr2bl w:val="nil"/>
                  </w:tcBorders>
                  <w:noWrap w:val="0"/>
                  <w:vAlign w:val="center"/>
                </w:tcPr>
                <w:p w14:paraId="6158D10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30</w:t>
                  </w:r>
                </w:p>
              </w:tc>
              <w:tc>
                <w:tcPr>
                  <w:tcW w:w="919" w:type="dxa"/>
                  <w:tcBorders>
                    <w:tl2br w:val="nil"/>
                    <w:tr2bl w:val="nil"/>
                  </w:tcBorders>
                  <w:noWrap w:val="0"/>
                  <w:vAlign w:val="center"/>
                </w:tcPr>
                <w:p w14:paraId="46A67DD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20</w:t>
                  </w:r>
                </w:p>
              </w:tc>
              <w:tc>
                <w:tcPr>
                  <w:tcW w:w="919" w:type="dxa"/>
                  <w:tcBorders>
                    <w:tl2br w:val="nil"/>
                    <w:tr2bl w:val="nil"/>
                  </w:tcBorders>
                  <w:noWrap w:val="0"/>
                  <w:vAlign w:val="center"/>
                </w:tcPr>
                <w:p w14:paraId="099B5B0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20</w:t>
                  </w:r>
                </w:p>
              </w:tc>
              <w:tc>
                <w:tcPr>
                  <w:tcW w:w="919" w:type="dxa"/>
                  <w:tcBorders>
                    <w:tl2br w:val="nil"/>
                    <w:tr2bl w:val="nil"/>
                  </w:tcBorders>
                  <w:noWrap w:val="0"/>
                  <w:vAlign w:val="center"/>
                </w:tcPr>
                <w:p w14:paraId="64E3367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10</w:t>
                  </w:r>
                </w:p>
              </w:tc>
              <w:tc>
                <w:tcPr>
                  <w:tcW w:w="919" w:type="dxa"/>
                  <w:tcBorders>
                    <w:tl2br w:val="nil"/>
                    <w:tr2bl w:val="nil"/>
                  </w:tcBorders>
                  <w:noWrap w:val="0"/>
                  <w:vAlign w:val="center"/>
                </w:tcPr>
                <w:p w14:paraId="0198CAC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10</w:t>
                  </w:r>
                </w:p>
              </w:tc>
              <w:tc>
                <w:tcPr>
                  <w:tcW w:w="919" w:type="dxa"/>
                  <w:tcBorders>
                    <w:tl2br w:val="nil"/>
                    <w:tr2bl w:val="nil"/>
                  </w:tcBorders>
                  <w:noWrap w:val="0"/>
                  <w:vAlign w:val="center"/>
                </w:tcPr>
                <w:p w14:paraId="5CCF9FF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40</w:t>
                  </w:r>
                </w:p>
              </w:tc>
              <w:tc>
                <w:tcPr>
                  <w:tcW w:w="922" w:type="dxa"/>
                  <w:tcBorders>
                    <w:tl2br w:val="nil"/>
                    <w:tr2bl w:val="nil"/>
                  </w:tcBorders>
                  <w:noWrap w:val="0"/>
                  <w:vAlign w:val="center"/>
                </w:tcPr>
                <w:p w14:paraId="75AD7B2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kern w:val="0"/>
                      <w:sz w:val="21"/>
                      <w:szCs w:val="21"/>
                      <w:vertAlign w:val="baseline"/>
                      <w:lang w:val="en-US" w:eastAsia="zh-CN"/>
                    </w:rPr>
                  </w:pPr>
                  <w:r>
                    <w:rPr>
                      <w:rFonts w:hint="eastAsia"/>
                      <w:color w:val="auto"/>
                      <w:kern w:val="0"/>
                      <w:sz w:val="21"/>
                      <w:szCs w:val="21"/>
                      <w:vertAlign w:val="baseline"/>
                      <w:lang w:val="en-US" w:eastAsia="zh-CN"/>
                    </w:rPr>
                    <w:t>13.3</w:t>
                  </w:r>
                </w:p>
              </w:tc>
            </w:tr>
          </w:tbl>
          <w:p w14:paraId="39003D10">
            <w:pPr>
              <w:keepNext w:val="0"/>
              <w:keepLines w:val="0"/>
              <w:pageBreakBefore w:val="0"/>
              <w:widowControl w:val="0"/>
              <w:kinsoku/>
              <w:wordWrap/>
              <w:overflowPunct/>
              <w:topLinePunct w:val="0"/>
              <w:autoSpaceDE/>
              <w:autoSpaceDN/>
              <w:bidi w:val="0"/>
              <w:adjustRightInd/>
              <w:snapToGrid w:val="0"/>
              <w:spacing w:before="148" w:beforeLines="50" w:line="360" w:lineRule="auto"/>
              <w:ind w:firstLine="420" w:firstLineChars="200"/>
              <w:jc w:val="both"/>
              <w:textAlignment w:val="auto"/>
              <w:rPr>
                <w:rFonts w:hint="eastAsia"/>
                <w:b/>
                <w:bCs/>
                <w:color w:val="auto"/>
                <w:kern w:val="0"/>
                <w:sz w:val="21"/>
                <w:szCs w:val="21"/>
                <w:lang w:val="en-US" w:eastAsia="zh-CN"/>
              </w:rPr>
            </w:pPr>
            <w:r>
              <w:rPr>
                <w:rFonts w:hint="eastAsia" w:ascii="Times New Roman" w:hAnsi="Times New Roman" w:eastAsia="宋体" w:cs="Times New Roman"/>
                <w:bCs/>
                <w:color w:val="auto"/>
                <w:kern w:val="2"/>
                <w:sz w:val="21"/>
                <w:szCs w:val="21"/>
                <w:lang w:val="en-US" w:eastAsia="zh-CN" w:bidi="ar-SA"/>
              </w:rPr>
              <w:t>本项目进入污水处理站的废水量为</w:t>
            </w:r>
            <w:r>
              <w:rPr>
                <w:rFonts w:hint="eastAsia" w:cs="Times New Roman"/>
                <w:bCs/>
                <w:color w:val="auto"/>
                <w:kern w:val="2"/>
                <w:sz w:val="21"/>
                <w:szCs w:val="21"/>
                <w:lang w:val="en-US" w:eastAsia="zh-CN" w:bidi="ar-SA"/>
              </w:rPr>
              <w:t>18</w:t>
            </w:r>
            <w:r>
              <w:rPr>
                <w:rFonts w:hint="eastAsia" w:ascii="Times New Roman" w:hAnsi="Times New Roman" w:cs="Times New Roman"/>
                <w:bCs/>
                <w:color w:val="auto"/>
                <w:kern w:val="2"/>
                <w:sz w:val="21"/>
                <w:szCs w:val="21"/>
                <w:lang w:val="en-US" w:eastAsia="zh-CN" w:bidi="ar-SA"/>
              </w:rPr>
              <w:t>00</w:t>
            </w:r>
            <w:r>
              <w:rPr>
                <w:rFonts w:hint="eastAsia" w:ascii="Times New Roman" w:hAnsi="Times New Roman" w:eastAsia="宋体" w:cs="Times New Roman"/>
                <w:bCs/>
                <w:color w:val="auto"/>
                <w:kern w:val="2"/>
                <w:sz w:val="21"/>
                <w:szCs w:val="21"/>
                <w:lang w:val="en-US" w:eastAsia="zh-CN" w:bidi="ar-SA"/>
              </w:rPr>
              <w:t>m</w:t>
            </w:r>
            <w:r>
              <w:rPr>
                <w:rFonts w:hint="eastAsia" w:ascii="Times New Roman" w:hAnsi="Times New Roman" w:eastAsia="宋体" w:cs="Times New Roman"/>
                <w:bCs/>
                <w:color w:val="auto"/>
                <w:kern w:val="2"/>
                <w:sz w:val="21"/>
                <w:szCs w:val="21"/>
                <w:vertAlign w:val="superscript"/>
                <w:lang w:val="en-US" w:eastAsia="zh-CN" w:bidi="ar-SA"/>
              </w:rPr>
              <w:t>3</w:t>
            </w:r>
            <w:r>
              <w:rPr>
                <w:rFonts w:hint="eastAsia" w:ascii="Times New Roman" w:hAnsi="Times New Roman" w:eastAsia="宋体" w:cs="Times New Roman"/>
                <w:bCs/>
                <w:color w:val="auto"/>
                <w:kern w:val="2"/>
                <w:sz w:val="21"/>
                <w:szCs w:val="21"/>
                <w:lang w:val="en-US" w:eastAsia="zh-CN" w:bidi="ar-SA"/>
              </w:rPr>
              <w:t>/a（</w:t>
            </w:r>
            <w:r>
              <w:rPr>
                <w:rFonts w:hint="eastAsia" w:cs="Times New Roman"/>
                <w:bCs/>
                <w:color w:val="auto"/>
                <w:kern w:val="2"/>
                <w:sz w:val="21"/>
                <w:szCs w:val="21"/>
                <w:lang w:val="en-US" w:eastAsia="zh-CN" w:bidi="ar-SA"/>
              </w:rPr>
              <w:t>6</w:t>
            </w:r>
            <w:r>
              <w:rPr>
                <w:rFonts w:hint="eastAsia" w:ascii="Times New Roman" w:hAnsi="Times New Roman" w:eastAsia="宋体" w:cs="Times New Roman"/>
                <w:bCs/>
                <w:color w:val="auto"/>
                <w:kern w:val="2"/>
                <w:sz w:val="21"/>
                <w:szCs w:val="21"/>
                <w:lang w:val="en-US" w:eastAsia="zh-CN" w:bidi="ar-SA"/>
              </w:rPr>
              <w:t>m</w:t>
            </w:r>
            <w:r>
              <w:rPr>
                <w:rFonts w:hint="eastAsia" w:ascii="Times New Roman" w:hAnsi="Times New Roman" w:eastAsia="宋体" w:cs="Times New Roman"/>
                <w:bCs/>
                <w:color w:val="auto"/>
                <w:kern w:val="2"/>
                <w:sz w:val="21"/>
                <w:szCs w:val="21"/>
                <w:vertAlign w:val="superscript"/>
                <w:lang w:val="en-US" w:eastAsia="zh-CN" w:bidi="ar-SA"/>
              </w:rPr>
              <w:t>3</w:t>
            </w:r>
            <w:r>
              <w:rPr>
                <w:rFonts w:hint="eastAsia" w:ascii="Times New Roman" w:hAnsi="Times New Roman" w:eastAsia="宋体" w:cs="Times New Roman"/>
                <w:bCs/>
                <w:color w:val="auto"/>
                <w:kern w:val="2"/>
                <w:sz w:val="21"/>
                <w:szCs w:val="21"/>
                <w:lang w:val="en-US" w:eastAsia="zh-CN" w:bidi="ar-SA"/>
              </w:rPr>
              <w:t>/d），本项目污水处理站设计处理能力为</w:t>
            </w:r>
            <w:r>
              <w:rPr>
                <w:rFonts w:hint="eastAsia" w:cs="Times New Roman"/>
                <w:bCs/>
                <w:color w:val="auto"/>
                <w:kern w:val="2"/>
                <w:sz w:val="21"/>
                <w:szCs w:val="21"/>
                <w:lang w:val="en-US" w:eastAsia="zh-CN" w:bidi="ar-SA"/>
              </w:rPr>
              <w:t>1</w:t>
            </w:r>
            <w:r>
              <w:rPr>
                <w:rFonts w:hint="eastAsia" w:ascii="Times New Roman" w:hAnsi="Times New Roman" w:cs="Times New Roman"/>
                <w:bCs/>
                <w:color w:val="auto"/>
                <w:kern w:val="2"/>
                <w:sz w:val="21"/>
                <w:szCs w:val="21"/>
                <w:lang w:val="en-US" w:eastAsia="zh-CN" w:bidi="ar-SA"/>
              </w:rPr>
              <w:t>0</w:t>
            </w:r>
            <w:r>
              <w:rPr>
                <w:rFonts w:hint="eastAsia" w:ascii="Times New Roman" w:hAnsi="Times New Roman" w:eastAsia="宋体" w:cs="Times New Roman"/>
                <w:bCs/>
                <w:color w:val="auto"/>
                <w:kern w:val="2"/>
                <w:sz w:val="21"/>
                <w:szCs w:val="21"/>
                <w:lang w:val="en-US" w:eastAsia="zh-CN" w:bidi="ar-SA"/>
              </w:rPr>
              <w:t>m</w:t>
            </w:r>
            <w:r>
              <w:rPr>
                <w:rFonts w:hint="eastAsia" w:ascii="Times New Roman" w:hAnsi="Times New Roman" w:eastAsia="宋体" w:cs="Times New Roman"/>
                <w:bCs/>
                <w:color w:val="auto"/>
                <w:kern w:val="2"/>
                <w:sz w:val="21"/>
                <w:szCs w:val="21"/>
                <w:vertAlign w:val="superscript"/>
                <w:lang w:val="en-US" w:eastAsia="zh-CN" w:bidi="ar-SA"/>
              </w:rPr>
              <w:t>3</w:t>
            </w:r>
            <w:r>
              <w:rPr>
                <w:rFonts w:hint="eastAsia" w:ascii="Times New Roman" w:hAnsi="Times New Roman" w:eastAsia="宋体" w:cs="Times New Roman"/>
                <w:bCs/>
                <w:color w:val="auto"/>
                <w:kern w:val="2"/>
                <w:sz w:val="21"/>
                <w:szCs w:val="21"/>
                <w:lang w:val="en-US" w:eastAsia="zh-CN" w:bidi="ar-SA"/>
              </w:rPr>
              <w:t>/d，高于本项目生产废水产生量，因此污水处理站能满足建设项目废水处理能力要求。</w:t>
            </w:r>
          </w:p>
          <w:p w14:paraId="488BA145">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b/>
                <w:bCs w:val="0"/>
                <w:color w:val="auto"/>
                <w:kern w:val="0"/>
                <w:szCs w:val="21"/>
                <w:lang w:val="en-US" w:eastAsia="zh-CN"/>
              </w:rPr>
            </w:pPr>
            <w:r>
              <w:rPr>
                <w:rFonts w:hint="eastAsia"/>
                <w:b/>
                <w:bCs w:val="0"/>
                <w:color w:val="auto"/>
                <w:kern w:val="0"/>
                <w:szCs w:val="21"/>
                <w:lang w:val="en-US" w:eastAsia="zh-CN"/>
              </w:rPr>
              <w:t>2.4接管可行性分析</w:t>
            </w:r>
          </w:p>
          <w:p w14:paraId="5C786C6C">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jc w:val="both"/>
              <w:textAlignment w:val="auto"/>
              <w:rPr>
                <w:rFonts w:hint="eastAsia"/>
                <w:b w:val="0"/>
                <w:bCs/>
                <w:color w:val="auto"/>
                <w:kern w:val="0"/>
                <w:szCs w:val="21"/>
                <w:lang w:val="en-US" w:eastAsia="zh-CN"/>
              </w:rPr>
            </w:pPr>
            <w:r>
              <w:rPr>
                <w:rFonts w:hint="eastAsia" w:ascii="Times New Roman" w:hAnsi="Times New Roman" w:eastAsia="宋体" w:cs="Times New Roman"/>
                <w:b w:val="0"/>
                <w:bCs/>
                <w:color w:val="auto"/>
                <w:kern w:val="0"/>
                <w:sz w:val="21"/>
                <w:szCs w:val="21"/>
                <w:lang w:val="en-US" w:eastAsia="zh-CN" w:bidi="ar-SA"/>
              </w:rPr>
              <w:t>（1）</w:t>
            </w:r>
            <w:r>
              <w:rPr>
                <w:rFonts w:hint="eastAsia"/>
                <w:b w:val="0"/>
                <w:bCs/>
                <w:color w:val="auto"/>
                <w:kern w:val="0"/>
                <w:szCs w:val="21"/>
                <w:lang w:val="en-US" w:eastAsia="zh-CN"/>
              </w:rPr>
              <w:t>城东污水处理厂二期简介</w:t>
            </w:r>
          </w:p>
          <w:p w14:paraId="32CF58B2">
            <w:pPr>
              <w:keepNext w:val="0"/>
              <w:keepLines w:val="0"/>
              <w:pageBreakBefore w:val="0"/>
              <w:kinsoku/>
              <w:wordWrap/>
              <w:overflowPunct/>
              <w:topLinePunct w:val="0"/>
              <w:bidi w:val="0"/>
              <w:snapToGrid w:val="0"/>
              <w:spacing w:line="360" w:lineRule="auto"/>
              <w:ind w:firstLine="420" w:firstLineChars="200"/>
              <w:rPr>
                <w:rFonts w:hint="eastAsia" w:ascii="宋体" w:hAnsi="宋体" w:cs="宋体"/>
                <w:color w:val="auto"/>
                <w:szCs w:val="21"/>
              </w:rPr>
            </w:pPr>
            <w:r>
              <w:rPr>
                <w:rFonts w:hint="eastAsia"/>
                <w:color w:val="auto"/>
              </w:rPr>
              <w:t>泗阳县城东污水处理厂二期工程位于园区A区内，现状已建成3万t/d处理规模，处理工艺为“粗格栅+沉砂池+细格栅+水解酸化+好氧膜分离+消毒”，尾水经处理达到《城镇污水处理厂污染物排放标准》（GB18918-2002）表1中一级A标准后，经二中沟排入淮泗河。泗阳县城东污水处理厂二期工程已于2017年1月通过原泗阳县环境保护局的环评审批（泗环评〔2017〕6号），2017年8月通过原泗阳县环境保护局的竣工环境保护验收（环验〔2017〕026号），二期扩建3万t/d在建，扩建项目处理工艺为艺采用“预处理工艺+主体生化处理工艺（生物脱氮除磷）+深度处理”污水处理工艺路线，生化处理采用改良bardenpho工艺，去除有机物并完成生物脱氮除磷，深度处理采用高效沉淀池+V型滤池+臭氧氧化，尾水回用采用连续膜过滤（超滤）+反渗透进行硬度去除。剩余污泥排入储泥池，机械浓缩后上清液排入厂区污水井，浓缩污泥进入均质池，调理后采用板框压滤，脱水至含水率60%以下，脱水后的干泥外运处置。城东污水处理厂二期工程污水处理工艺流程图如图4-</w:t>
            </w:r>
            <w:r>
              <w:rPr>
                <w:rFonts w:hint="eastAsia"/>
                <w:color w:val="auto"/>
                <w:lang w:val="en-US" w:eastAsia="zh-CN"/>
              </w:rPr>
              <w:t>2</w:t>
            </w:r>
            <w:r>
              <w:rPr>
                <w:rFonts w:hint="eastAsia"/>
                <w:color w:val="auto"/>
              </w:rPr>
              <w:t>。</w:t>
            </w:r>
          </w:p>
          <w:p w14:paraId="0CDA0F5A">
            <w:pPr>
              <w:keepNext w:val="0"/>
              <w:keepLines w:val="0"/>
              <w:pageBreakBefore w:val="0"/>
              <w:kinsoku/>
              <w:wordWrap/>
              <w:overflowPunct/>
              <w:topLinePunct w:val="0"/>
              <w:bidi w:val="0"/>
              <w:adjustRightInd w:val="0"/>
              <w:snapToGrid w:val="0"/>
              <w:spacing w:line="360" w:lineRule="auto"/>
              <w:jc w:val="center"/>
              <w:rPr>
                <w:rFonts w:hint="eastAsia" w:ascii="宋体" w:hAnsi="宋体" w:cs="宋体"/>
                <w:color w:val="auto"/>
                <w:szCs w:val="21"/>
              </w:rPr>
            </w:pPr>
            <w:r>
              <w:rPr>
                <w:rFonts w:hint="eastAsia" w:ascii="宋体" w:hAnsi="宋体" w:cs="宋体"/>
                <w:color w:val="auto"/>
                <w:szCs w:val="21"/>
              </w:rPr>
              <w:drawing>
                <wp:inline distT="0" distB="0" distL="114300" distR="114300">
                  <wp:extent cx="5052695" cy="2165350"/>
                  <wp:effectExtent l="0" t="0" r="14605" b="6350"/>
                  <wp:docPr id="18" name="图片 6" descr="1716368307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descr="1716368307747"/>
                          <pic:cNvPicPr>
                            <a:picLocks noChangeAspect="1"/>
                          </pic:cNvPicPr>
                        </pic:nvPicPr>
                        <pic:blipFill>
                          <a:blip r:embed="rId21"/>
                          <a:stretch>
                            <a:fillRect/>
                          </a:stretch>
                        </pic:blipFill>
                        <pic:spPr>
                          <a:xfrm>
                            <a:off x="0" y="0"/>
                            <a:ext cx="5052695" cy="2165350"/>
                          </a:xfrm>
                          <a:prstGeom prst="rect">
                            <a:avLst/>
                          </a:prstGeom>
                          <a:noFill/>
                          <a:ln>
                            <a:noFill/>
                          </a:ln>
                        </pic:spPr>
                      </pic:pic>
                    </a:graphicData>
                  </a:graphic>
                </wp:inline>
              </w:drawing>
            </w:r>
          </w:p>
          <w:p w14:paraId="6783AAAE">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0" w:firstLineChars="0"/>
              <w:jc w:val="center"/>
              <w:textAlignment w:val="auto"/>
              <w:rPr>
                <w:rFonts w:hint="default"/>
                <w:b w:val="0"/>
                <w:bCs/>
                <w:color w:val="auto"/>
                <w:kern w:val="0"/>
                <w:szCs w:val="21"/>
                <w:lang w:val="en-US" w:eastAsia="zh-CN"/>
              </w:rPr>
            </w:pPr>
            <w:r>
              <w:rPr>
                <w:rFonts w:hint="eastAsia"/>
                <w:b/>
                <w:bCs/>
                <w:color w:val="auto"/>
                <w:szCs w:val="21"/>
              </w:rPr>
              <w:t>图4-</w:t>
            </w:r>
            <w:r>
              <w:rPr>
                <w:rFonts w:hint="eastAsia"/>
                <w:b/>
                <w:bCs/>
                <w:color w:val="auto"/>
                <w:szCs w:val="21"/>
                <w:lang w:val="en-US" w:eastAsia="zh-CN"/>
              </w:rPr>
              <w:t>2</w:t>
            </w:r>
            <w:r>
              <w:rPr>
                <w:rFonts w:hint="eastAsia"/>
                <w:b/>
                <w:bCs/>
                <w:color w:val="auto"/>
                <w:szCs w:val="21"/>
              </w:rPr>
              <w:t xml:space="preserve"> </w:t>
            </w:r>
            <w:r>
              <w:rPr>
                <w:rFonts w:hint="eastAsia"/>
                <w:b/>
                <w:bCs/>
                <w:color w:val="auto"/>
              </w:rPr>
              <w:t>城东污水处理厂二期</w:t>
            </w:r>
            <w:r>
              <w:rPr>
                <w:rFonts w:hint="eastAsia"/>
                <w:b/>
                <w:bCs/>
                <w:color w:val="auto"/>
                <w:szCs w:val="21"/>
              </w:rPr>
              <w:t>工艺流程图</w:t>
            </w:r>
          </w:p>
          <w:p w14:paraId="6E2605A2">
            <w:pPr>
              <w:keepNext w:val="0"/>
              <w:keepLines w:val="0"/>
              <w:pageBreakBefore w:val="0"/>
              <w:widowControl w:val="0"/>
              <w:numPr>
                <w:ilvl w:val="0"/>
                <w:numId w:val="0"/>
              </w:numPr>
              <w:kinsoku/>
              <w:wordWrap/>
              <w:overflowPunct/>
              <w:topLinePunct w:val="0"/>
              <w:autoSpaceDE/>
              <w:autoSpaceDN/>
              <w:bidi w:val="0"/>
              <w:adjustRightInd w:val="0"/>
              <w:snapToGrid w:val="0"/>
              <w:spacing w:before="148" w:beforeLines="50" w:line="360" w:lineRule="auto"/>
              <w:ind w:left="0" w:leftChars="0" w:firstLine="420" w:firstLineChars="200"/>
              <w:jc w:val="both"/>
              <w:textAlignment w:val="auto"/>
              <w:rPr>
                <w:rFonts w:hint="eastAsia"/>
                <w:b w:val="0"/>
                <w:bCs/>
                <w:color w:val="auto"/>
                <w:kern w:val="0"/>
                <w:szCs w:val="21"/>
                <w:lang w:val="en-US" w:eastAsia="zh-CN"/>
              </w:rPr>
            </w:pPr>
            <w:r>
              <w:rPr>
                <w:rFonts w:hint="default" w:ascii="Times New Roman" w:hAnsi="Times New Roman" w:eastAsia="宋体" w:cs="Times New Roman"/>
                <w:b w:val="0"/>
                <w:bCs/>
                <w:color w:val="auto"/>
                <w:kern w:val="0"/>
                <w:sz w:val="21"/>
                <w:szCs w:val="21"/>
                <w:lang w:val="en-US" w:eastAsia="zh-CN" w:bidi="ar-SA"/>
              </w:rPr>
              <w:t>（</w:t>
            </w:r>
            <w:r>
              <w:rPr>
                <w:rFonts w:hint="eastAsia" w:cs="Times New Roman"/>
                <w:b w:val="0"/>
                <w:bCs/>
                <w:color w:val="auto"/>
                <w:kern w:val="0"/>
                <w:sz w:val="21"/>
                <w:szCs w:val="21"/>
                <w:lang w:val="en-US" w:eastAsia="zh-CN" w:bidi="ar-SA"/>
              </w:rPr>
              <w:t>2</w:t>
            </w:r>
            <w:r>
              <w:rPr>
                <w:rFonts w:hint="default" w:ascii="Times New Roman" w:hAnsi="Times New Roman" w:eastAsia="宋体" w:cs="Times New Roman"/>
                <w:b w:val="0"/>
                <w:bCs/>
                <w:color w:val="auto"/>
                <w:kern w:val="0"/>
                <w:sz w:val="21"/>
                <w:szCs w:val="21"/>
                <w:lang w:val="en-US" w:eastAsia="zh-CN" w:bidi="ar-SA"/>
              </w:rPr>
              <w:t>）</w:t>
            </w:r>
            <w:r>
              <w:rPr>
                <w:rFonts w:hint="eastAsia"/>
                <w:b w:val="0"/>
                <w:bCs/>
                <w:color w:val="auto"/>
                <w:kern w:val="0"/>
                <w:szCs w:val="21"/>
                <w:lang w:val="en-US" w:eastAsia="zh-CN"/>
              </w:rPr>
              <w:t>水质</w:t>
            </w:r>
          </w:p>
          <w:p w14:paraId="29D925CB">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default"/>
                <w:b w:val="0"/>
                <w:bCs/>
                <w:color w:val="auto"/>
                <w:kern w:val="0"/>
                <w:szCs w:val="21"/>
                <w:lang w:val="en-US" w:eastAsia="zh-CN"/>
              </w:rPr>
            </w:pPr>
            <w:r>
              <w:rPr>
                <w:color w:val="auto"/>
                <w:szCs w:val="21"/>
              </w:rPr>
              <w:t>根据前文分析，项目</w:t>
            </w:r>
            <w:r>
              <w:rPr>
                <w:rFonts w:hint="eastAsia"/>
                <w:color w:val="auto"/>
                <w:szCs w:val="21"/>
                <w:lang w:val="en-US" w:eastAsia="zh-CN"/>
              </w:rPr>
              <w:t>废水经处理后，各污染物排放浓度满足污水处理厂接管要求</w:t>
            </w:r>
            <w:r>
              <w:rPr>
                <w:color w:val="auto"/>
                <w:szCs w:val="21"/>
              </w:rPr>
              <w:t>。因此</w:t>
            </w:r>
            <w:r>
              <w:rPr>
                <w:rFonts w:hint="eastAsia"/>
                <w:color w:val="auto"/>
                <w:szCs w:val="21"/>
              </w:rPr>
              <w:t>废水</w:t>
            </w:r>
            <w:r>
              <w:rPr>
                <w:color w:val="auto"/>
                <w:szCs w:val="21"/>
              </w:rPr>
              <w:t>接入</w:t>
            </w:r>
            <w:r>
              <w:rPr>
                <w:rFonts w:hint="eastAsia"/>
                <w:color w:val="auto"/>
                <w:szCs w:val="21"/>
              </w:rPr>
              <w:t>城东污水处理厂二期</w:t>
            </w:r>
            <w:r>
              <w:rPr>
                <w:color w:val="auto"/>
                <w:szCs w:val="21"/>
              </w:rPr>
              <w:t>从水质上可行。</w:t>
            </w:r>
          </w:p>
          <w:p w14:paraId="5A6ABF0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jc w:val="both"/>
              <w:textAlignment w:val="auto"/>
              <w:rPr>
                <w:rFonts w:hint="default"/>
                <w:b w:val="0"/>
                <w:bCs/>
                <w:color w:val="auto"/>
                <w:kern w:val="0"/>
                <w:szCs w:val="21"/>
                <w:lang w:val="en-US" w:eastAsia="zh-CN"/>
              </w:rPr>
            </w:pPr>
            <w:r>
              <w:rPr>
                <w:rFonts w:hint="eastAsia"/>
                <w:b w:val="0"/>
                <w:bCs/>
                <w:color w:val="auto"/>
                <w:kern w:val="0"/>
                <w:szCs w:val="21"/>
                <w:lang w:val="en-US" w:eastAsia="zh-CN"/>
              </w:rPr>
              <w:t>（3）污水管网铺设</w:t>
            </w:r>
          </w:p>
          <w:p w14:paraId="19A7738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jc w:val="both"/>
              <w:textAlignment w:val="auto"/>
              <w:rPr>
                <w:rFonts w:hint="default"/>
                <w:b w:val="0"/>
                <w:bCs/>
                <w:color w:val="auto"/>
                <w:kern w:val="0"/>
                <w:szCs w:val="21"/>
                <w:lang w:val="en-US" w:eastAsia="zh-CN"/>
              </w:rPr>
            </w:pPr>
            <w:r>
              <w:rPr>
                <w:rFonts w:hint="eastAsia"/>
                <w:color w:val="auto"/>
              </w:rPr>
              <w:t>城东污水处理厂二期主要服务化纤长丝面料产业园吴江工业园及其他南片区企业，泗塘河以东、未来路以西、众兴路以南、京杭大运河以北区域。项目位于江苏省宿迁市泗阳经济开发区众兴东路2</w:t>
            </w:r>
            <w:r>
              <w:rPr>
                <w:rFonts w:hint="eastAsia"/>
                <w:color w:val="auto"/>
                <w:lang w:val="en-US" w:eastAsia="zh-CN"/>
              </w:rPr>
              <w:t>82</w:t>
            </w:r>
            <w:r>
              <w:rPr>
                <w:rFonts w:hint="eastAsia"/>
                <w:color w:val="auto"/>
              </w:rPr>
              <w:t>号，在城东污水处理厂二期服务范围内，现状污水收集管网已基本铺设覆盖整个园区，因此接管污水处理厂处理具有可行性。</w:t>
            </w:r>
          </w:p>
          <w:p w14:paraId="6D350E12">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jc w:val="both"/>
              <w:textAlignment w:val="auto"/>
              <w:rPr>
                <w:rFonts w:hint="default"/>
                <w:b w:val="0"/>
                <w:bCs/>
                <w:color w:val="auto"/>
                <w:kern w:val="0"/>
                <w:szCs w:val="21"/>
                <w:lang w:val="en-US" w:eastAsia="zh-CN"/>
              </w:rPr>
            </w:pPr>
            <w:r>
              <w:rPr>
                <w:rFonts w:hint="eastAsia"/>
                <w:b w:val="0"/>
                <w:bCs/>
                <w:color w:val="auto"/>
                <w:kern w:val="0"/>
                <w:szCs w:val="21"/>
                <w:lang w:val="en-US" w:eastAsia="zh-CN"/>
              </w:rPr>
              <w:t>（4）水量</w:t>
            </w:r>
          </w:p>
          <w:p w14:paraId="3526079A">
            <w:pPr>
              <w:keepNext w:val="0"/>
              <w:keepLines w:val="0"/>
              <w:pageBreakBefore w:val="0"/>
              <w:widowControl/>
              <w:kinsoku/>
              <w:wordWrap/>
              <w:overflowPunct/>
              <w:topLinePunct w:val="0"/>
              <w:autoSpaceDE/>
              <w:autoSpaceDN/>
              <w:bidi w:val="0"/>
              <w:snapToGrid w:val="0"/>
              <w:spacing w:line="360" w:lineRule="auto"/>
              <w:ind w:firstLine="420" w:firstLineChars="200"/>
              <w:textAlignment w:val="auto"/>
              <w:rPr>
                <w:color w:val="auto"/>
                <w:szCs w:val="21"/>
              </w:rPr>
            </w:pPr>
            <w:r>
              <w:rPr>
                <w:rFonts w:hint="eastAsia"/>
                <w:color w:val="auto"/>
                <w:szCs w:val="21"/>
              </w:rPr>
              <w:t>城东污水处理厂二期工程目前剩余处理能力约2500t/d，本项目外排废水量为</w:t>
            </w:r>
            <w:r>
              <w:rPr>
                <w:rFonts w:hint="eastAsia"/>
                <w:color w:val="auto"/>
                <w:szCs w:val="21"/>
                <w:lang w:val="en-US" w:eastAsia="zh-CN"/>
              </w:rPr>
              <w:t>2376</w:t>
            </w:r>
            <w:r>
              <w:rPr>
                <w:rFonts w:hint="eastAsia"/>
                <w:color w:val="auto"/>
                <w:szCs w:val="21"/>
              </w:rPr>
              <w:t>t/a（</w:t>
            </w:r>
            <w:r>
              <w:rPr>
                <w:rFonts w:hint="eastAsia"/>
                <w:color w:val="auto"/>
                <w:szCs w:val="21"/>
                <w:lang w:val="en-US" w:eastAsia="zh-CN"/>
              </w:rPr>
              <w:t>7.92</w:t>
            </w:r>
            <w:r>
              <w:rPr>
                <w:rFonts w:hint="eastAsia"/>
                <w:color w:val="auto"/>
                <w:szCs w:val="21"/>
              </w:rPr>
              <w:t>t/d），占城东污水处理厂二期剩余处理能力的</w:t>
            </w:r>
            <w:r>
              <w:rPr>
                <w:rFonts w:hint="eastAsia"/>
                <w:color w:val="auto"/>
                <w:szCs w:val="21"/>
                <w:lang w:val="en-US" w:eastAsia="zh-CN"/>
              </w:rPr>
              <w:t>0.32</w:t>
            </w:r>
            <w:r>
              <w:rPr>
                <w:rFonts w:hint="eastAsia"/>
                <w:color w:val="auto"/>
                <w:szCs w:val="21"/>
              </w:rPr>
              <w:t>%，因此本项目</w:t>
            </w:r>
            <w:r>
              <w:rPr>
                <w:color w:val="auto"/>
                <w:szCs w:val="21"/>
              </w:rPr>
              <w:t>不会对</w:t>
            </w:r>
            <w:r>
              <w:rPr>
                <w:rFonts w:hint="eastAsia"/>
                <w:color w:val="auto"/>
                <w:szCs w:val="21"/>
              </w:rPr>
              <w:t>城东污水处理厂二期</w:t>
            </w:r>
            <w:r>
              <w:rPr>
                <w:color w:val="auto"/>
                <w:szCs w:val="21"/>
              </w:rPr>
              <w:t>水量</w:t>
            </w:r>
            <w:r>
              <w:rPr>
                <w:rFonts w:hint="eastAsia"/>
                <w:color w:val="auto"/>
                <w:szCs w:val="21"/>
              </w:rPr>
              <w:t>产生</w:t>
            </w:r>
            <w:r>
              <w:rPr>
                <w:color w:val="auto"/>
                <w:szCs w:val="21"/>
              </w:rPr>
              <w:t>冲击，污水处理厂的处理规模可以满足本项目废水接管</w:t>
            </w:r>
            <w:r>
              <w:rPr>
                <w:rFonts w:hint="eastAsia"/>
                <w:color w:val="auto"/>
                <w:szCs w:val="21"/>
              </w:rPr>
              <w:t>的</w:t>
            </w:r>
            <w:r>
              <w:rPr>
                <w:color w:val="auto"/>
                <w:szCs w:val="21"/>
              </w:rPr>
              <w:t>要求。</w:t>
            </w:r>
          </w:p>
          <w:p w14:paraId="05B910C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jc w:val="both"/>
              <w:textAlignment w:val="auto"/>
              <w:rPr>
                <w:rFonts w:hint="default"/>
                <w:b w:val="0"/>
                <w:bCs/>
                <w:color w:val="auto"/>
                <w:kern w:val="0"/>
                <w:szCs w:val="21"/>
                <w:lang w:val="en-US" w:eastAsia="zh-CN"/>
              </w:rPr>
            </w:pPr>
            <w:r>
              <w:rPr>
                <w:color w:val="auto"/>
                <w:szCs w:val="21"/>
              </w:rPr>
              <w:t>综上，从配套管网、接管水量及水质方面分析，本项目废水接管</w:t>
            </w:r>
            <w:r>
              <w:rPr>
                <w:rFonts w:hint="eastAsia"/>
                <w:color w:val="auto"/>
                <w:szCs w:val="21"/>
              </w:rPr>
              <w:t>城东污水处理厂二期</w:t>
            </w:r>
            <w:r>
              <w:rPr>
                <w:color w:val="auto"/>
                <w:szCs w:val="21"/>
              </w:rPr>
              <w:t>集中处理是可行的。</w:t>
            </w:r>
          </w:p>
          <w:p w14:paraId="64A9BD6F">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b/>
                <w:bCs w:val="0"/>
                <w:color w:val="auto"/>
                <w:kern w:val="0"/>
                <w:szCs w:val="21"/>
                <w:lang w:val="en-US" w:eastAsia="zh-CN"/>
              </w:rPr>
            </w:pPr>
            <w:r>
              <w:rPr>
                <w:rFonts w:hint="eastAsia"/>
                <w:b/>
                <w:bCs w:val="0"/>
                <w:color w:val="auto"/>
                <w:kern w:val="0"/>
                <w:szCs w:val="21"/>
                <w:lang w:val="en-US" w:eastAsia="zh-CN"/>
              </w:rPr>
              <w:t>2.5监测要求</w:t>
            </w:r>
          </w:p>
          <w:p w14:paraId="14C449AC">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jc w:val="both"/>
              <w:textAlignment w:val="auto"/>
              <w:rPr>
                <w:rFonts w:hint="eastAsia"/>
                <w:bCs/>
                <w:color w:val="auto"/>
                <w:kern w:val="0"/>
                <w:szCs w:val="21"/>
                <w:lang w:val="en-US" w:eastAsia="zh-CN"/>
              </w:rPr>
            </w:pPr>
            <w:r>
              <w:rPr>
                <w:rFonts w:hint="eastAsia"/>
                <w:bCs/>
                <w:color w:val="auto"/>
                <w:kern w:val="0"/>
                <w:szCs w:val="21"/>
                <w:lang w:val="en-US" w:eastAsia="zh-CN"/>
              </w:rPr>
              <w:t>根据《排污单位自行监测技术指南 总则》（HJ819-2017</w:t>
            </w:r>
            <w:r>
              <w:rPr>
                <w:rFonts w:hint="eastAsia" w:ascii="Times New Roman" w:hAnsi="Times New Roman" w:eastAsia="宋体" w:cs="Times New Roman"/>
                <w:bCs/>
                <w:color w:val="auto"/>
                <w:kern w:val="0"/>
                <w:szCs w:val="21"/>
                <w:lang w:val="en-US" w:eastAsia="zh-CN"/>
              </w:rPr>
              <w:t>）相关要求，</w:t>
            </w:r>
            <w:r>
              <w:rPr>
                <w:rFonts w:hint="eastAsia"/>
                <w:bCs/>
                <w:color w:val="auto"/>
                <w:kern w:val="0"/>
                <w:szCs w:val="21"/>
                <w:lang w:val="en-US" w:eastAsia="zh-CN"/>
              </w:rPr>
              <w:t>确定有关废水污染源监测项目及监测频次见下表。</w:t>
            </w:r>
          </w:p>
          <w:p w14:paraId="7D8C09E7">
            <w:pPr>
              <w:keepNext w:val="0"/>
              <w:keepLines w:val="0"/>
              <w:pageBreakBefore w:val="0"/>
              <w:widowControl/>
              <w:kinsoku/>
              <w:wordWrap/>
              <w:overflowPunct/>
              <w:topLinePunct w:val="0"/>
              <w:bidi w:val="0"/>
              <w:snapToGrid w:val="0"/>
              <w:spacing w:before="120" w:beforeLines="50"/>
              <w:jc w:val="center"/>
              <w:rPr>
                <w:rFonts w:hint="default" w:eastAsia="宋体"/>
                <w:b/>
                <w:bCs/>
                <w:color w:val="auto"/>
                <w:kern w:val="10"/>
                <w:szCs w:val="21"/>
                <w:lang w:val="en-US" w:eastAsia="zh-CN"/>
              </w:rPr>
            </w:pPr>
            <w:r>
              <w:rPr>
                <w:rFonts w:hint="eastAsia"/>
                <w:b/>
                <w:bCs/>
                <w:color w:val="auto"/>
                <w:kern w:val="10"/>
                <w:szCs w:val="21"/>
              </w:rPr>
              <w:t>表4</w:t>
            </w:r>
            <w:r>
              <w:rPr>
                <w:rFonts w:hint="eastAsia"/>
                <w:b/>
                <w:bCs/>
                <w:color w:val="auto"/>
                <w:kern w:val="10"/>
                <w:szCs w:val="21"/>
                <w:lang w:val="en-US" w:eastAsia="zh-CN"/>
              </w:rPr>
              <w:t xml:space="preserve">-21 </w:t>
            </w:r>
            <w:r>
              <w:rPr>
                <w:rFonts w:hint="eastAsia"/>
                <w:b/>
                <w:bCs/>
                <w:color w:val="auto"/>
                <w:kern w:val="10"/>
                <w:szCs w:val="21"/>
              </w:rPr>
              <w:t>废水</w:t>
            </w:r>
            <w:r>
              <w:rPr>
                <w:rFonts w:hint="eastAsia"/>
                <w:b/>
                <w:bCs/>
                <w:color w:val="auto"/>
                <w:kern w:val="10"/>
                <w:szCs w:val="21"/>
                <w:lang w:val="en-US" w:eastAsia="zh-CN"/>
              </w:rPr>
              <w:t>监测项目及监测频次</w:t>
            </w:r>
          </w:p>
          <w:tbl>
            <w:tblPr>
              <w:tblStyle w:val="30"/>
              <w:tblW w:w="496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22"/>
              <w:gridCol w:w="1860"/>
              <w:gridCol w:w="1380"/>
              <w:gridCol w:w="3874"/>
            </w:tblGrid>
            <w:tr w14:paraId="5A9988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3" w:type="pct"/>
                  <w:noWrap w:val="0"/>
                  <w:vAlign w:val="center"/>
                </w:tcPr>
                <w:p w14:paraId="72BD4747">
                  <w:pPr>
                    <w:keepNext w:val="0"/>
                    <w:keepLines w:val="0"/>
                    <w:pageBreakBefore w:val="0"/>
                    <w:widowControl/>
                    <w:kinsoku/>
                    <w:wordWrap/>
                    <w:overflowPunct/>
                    <w:topLinePunct w:val="0"/>
                    <w:bidi w:val="0"/>
                    <w:adjustRightInd w:val="0"/>
                    <w:snapToGrid w:val="0"/>
                    <w:contextualSpacing/>
                    <w:jc w:val="center"/>
                    <w:rPr>
                      <w:rFonts w:hint="default" w:eastAsia="宋体"/>
                      <w:b/>
                      <w:color w:val="auto"/>
                      <w:szCs w:val="21"/>
                      <w:lang w:val="en-US" w:eastAsia="zh-CN"/>
                    </w:rPr>
                  </w:pPr>
                  <w:r>
                    <w:rPr>
                      <w:rFonts w:hint="eastAsia"/>
                      <w:b/>
                      <w:color w:val="auto"/>
                      <w:szCs w:val="21"/>
                      <w:lang w:val="en-US" w:eastAsia="zh-CN"/>
                    </w:rPr>
                    <w:t>监测点位置</w:t>
                  </w:r>
                </w:p>
              </w:tc>
              <w:tc>
                <w:tcPr>
                  <w:tcW w:w="1102" w:type="pct"/>
                  <w:noWrap w:val="0"/>
                  <w:vAlign w:val="center"/>
                </w:tcPr>
                <w:p w14:paraId="59C9933A">
                  <w:pPr>
                    <w:keepNext w:val="0"/>
                    <w:keepLines w:val="0"/>
                    <w:pageBreakBefore w:val="0"/>
                    <w:widowControl/>
                    <w:kinsoku/>
                    <w:wordWrap/>
                    <w:overflowPunct/>
                    <w:topLinePunct w:val="0"/>
                    <w:bidi w:val="0"/>
                    <w:adjustRightInd w:val="0"/>
                    <w:snapToGrid w:val="0"/>
                    <w:contextualSpacing/>
                    <w:jc w:val="center"/>
                    <w:rPr>
                      <w:rFonts w:hint="eastAsia" w:eastAsia="宋体"/>
                      <w:b/>
                      <w:color w:val="auto"/>
                      <w:szCs w:val="21"/>
                      <w:lang w:eastAsia="zh-CN"/>
                    </w:rPr>
                  </w:pPr>
                  <w:r>
                    <w:rPr>
                      <w:rFonts w:hint="eastAsia"/>
                      <w:b/>
                      <w:color w:val="auto"/>
                      <w:szCs w:val="21"/>
                      <w:lang w:val="en-US" w:eastAsia="zh-CN"/>
                    </w:rPr>
                    <w:t>监测项目</w:t>
                  </w:r>
                </w:p>
              </w:tc>
              <w:tc>
                <w:tcPr>
                  <w:tcW w:w="817" w:type="pct"/>
                  <w:noWrap w:val="0"/>
                  <w:vAlign w:val="center"/>
                </w:tcPr>
                <w:p w14:paraId="70405A1E">
                  <w:pPr>
                    <w:keepNext w:val="0"/>
                    <w:keepLines w:val="0"/>
                    <w:pageBreakBefore w:val="0"/>
                    <w:widowControl/>
                    <w:kinsoku/>
                    <w:wordWrap/>
                    <w:overflowPunct/>
                    <w:topLinePunct w:val="0"/>
                    <w:bidi w:val="0"/>
                    <w:adjustRightInd w:val="0"/>
                    <w:snapToGrid w:val="0"/>
                    <w:contextualSpacing/>
                    <w:jc w:val="center"/>
                    <w:rPr>
                      <w:rFonts w:hint="eastAsia" w:eastAsia="宋体"/>
                      <w:b/>
                      <w:color w:val="auto"/>
                      <w:kern w:val="2"/>
                      <w:sz w:val="21"/>
                      <w:szCs w:val="21"/>
                      <w:lang w:val="en-US" w:eastAsia="zh-CN" w:bidi="ar-SA"/>
                    </w:rPr>
                  </w:pPr>
                  <w:r>
                    <w:rPr>
                      <w:rFonts w:hint="eastAsia"/>
                      <w:b/>
                      <w:color w:val="auto"/>
                      <w:szCs w:val="21"/>
                      <w:lang w:val="en-US" w:eastAsia="zh-CN"/>
                    </w:rPr>
                    <w:t>监测频次</w:t>
                  </w:r>
                </w:p>
              </w:tc>
              <w:tc>
                <w:tcPr>
                  <w:tcW w:w="2296" w:type="pct"/>
                  <w:noWrap w:val="0"/>
                  <w:vAlign w:val="center"/>
                </w:tcPr>
                <w:p w14:paraId="36B4FDB8">
                  <w:pPr>
                    <w:keepNext w:val="0"/>
                    <w:keepLines w:val="0"/>
                    <w:pageBreakBefore w:val="0"/>
                    <w:widowControl/>
                    <w:kinsoku/>
                    <w:wordWrap/>
                    <w:overflowPunct/>
                    <w:topLinePunct w:val="0"/>
                    <w:bidi w:val="0"/>
                    <w:adjustRightInd w:val="0"/>
                    <w:snapToGrid w:val="0"/>
                    <w:contextualSpacing/>
                    <w:jc w:val="center"/>
                    <w:rPr>
                      <w:rFonts w:hint="default"/>
                      <w:b/>
                      <w:color w:val="auto"/>
                      <w:szCs w:val="21"/>
                      <w:lang w:val="en-US" w:eastAsia="zh-CN"/>
                    </w:rPr>
                  </w:pPr>
                  <w:r>
                    <w:rPr>
                      <w:rFonts w:hint="eastAsia"/>
                      <w:b/>
                      <w:color w:val="auto"/>
                      <w:szCs w:val="21"/>
                      <w:lang w:val="en-US" w:eastAsia="zh-CN"/>
                    </w:rPr>
                    <w:t>执行排放标准</w:t>
                  </w:r>
                </w:p>
              </w:tc>
            </w:tr>
            <w:tr w14:paraId="262972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3" w:type="pct"/>
                  <w:vMerge w:val="restart"/>
                  <w:noWrap w:val="0"/>
                  <w:vAlign w:val="center"/>
                </w:tcPr>
                <w:p w14:paraId="143BD308">
                  <w:pPr>
                    <w:keepNext w:val="0"/>
                    <w:keepLines w:val="0"/>
                    <w:pageBreakBefore w:val="0"/>
                    <w:widowControl/>
                    <w:kinsoku/>
                    <w:wordWrap/>
                    <w:overflowPunct/>
                    <w:topLinePunct w:val="0"/>
                    <w:bidi w:val="0"/>
                    <w:adjustRightInd w:val="0"/>
                    <w:snapToGrid w:val="0"/>
                    <w:contextualSpacing/>
                    <w:jc w:val="center"/>
                    <w:rPr>
                      <w:rFonts w:hint="default" w:eastAsia="宋体"/>
                      <w:color w:val="auto"/>
                      <w:szCs w:val="21"/>
                      <w:lang w:val="en-US" w:eastAsia="zh-CN"/>
                    </w:rPr>
                  </w:pPr>
                  <w:r>
                    <w:rPr>
                      <w:rFonts w:hint="eastAsia"/>
                      <w:color w:val="auto"/>
                      <w:szCs w:val="21"/>
                      <w:lang w:val="en-US" w:eastAsia="zh-CN"/>
                    </w:rPr>
                    <w:t>废水总排口</w:t>
                  </w:r>
                </w:p>
              </w:tc>
              <w:tc>
                <w:tcPr>
                  <w:tcW w:w="1102" w:type="pct"/>
                  <w:noWrap w:val="0"/>
                  <w:vAlign w:val="center"/>
                </w:tcPr>
                <w:p w14:paraId="4552CDE2">
                  <w:pPr>
                    <w:keepNext w:val="0"/>
                    <w:keepLines w:val="0"/>
                    <w:pageBreakBefore w:val="0"/>
                    <w:widowControl/>
                    <w:kinsoku/>
                    <w:wordWrap/>
                    <w:overflowPunct/>
                    <w:topLinePunct w:val="0"/>
                    <w:bidi w:val="0"/>
                    <w:adjustRightInd w:val="0"/>
                    <w:snapToGrid w:val="0"/>
                    <w:contextualSpacing/>
                    <w:jc w:val="center"/>
                    <w:rPr>
                      <w:rFonts w:hint="default" w:eastAsia="宋体"/>
                      <w:color w:val="auto"/>
                      <w:kern w:val="2"/>
                      <w:sz w:val="21"/>
                      <w:szCs w:val="21"/>
                      <w:lang w:val="en-US" w:eastAsia="zh-CN" w:bidi="ar-SA"/>
                    </w:rPr>
                  </w:pPr>
                  <w:r>
                    <w:rPr>
                      <w:rFonts w:hint="eastAsia"/>
                      <w:color w:val="auto"/>
                      <w:szCs w:val="21"/>
                      <w:lang w:val="en-US" w:eastAsia="zh-CN"/>
                    </w:rPr>
                    <w:t>流量、pH、</w:t>
                  </w:r>
                  <w:r>
                    <w:rPr>
                      <w:color w:val="auto"/>
                      <w:szCs w:val="21"/>
                    </w:rPr>
                    <w:t>COD</w:t>
                  </w:r>
                  <w:r>
                    <w:rPr>
                      <w:rFonts w:hint="eastAsia"/>
                      <w:color w:val="auto"/>
                      <w:szCs w:val="21"/>
                      <w:lang w:eastAsia="zh-CN"/>
                    </w:rPr>
                    <w:t>、</w:t>
                  </w:r>
                  <w:r>
                    <w:rPr>
                      <w:rFonts w:hint="eastAsia"/>
                      <w:color w:val="auto"/>
                      <w:szCs w:val="21"/>
                      <w:lang w:val="en-US" w:eastAsia="zh-CN"/>
                    </w:rPr>
                    <w:t>BOD</w:t>
                  </w:r>
                  <w:r>
                    <w:rPr>
                      <w:rFonts w:hint="eastAsia"/>
                      <w:color w:val="auto"/>
                      <w:szCs w:val="21"/>
                      <w:vertAlign w:val="subscript"/>
                      <w:lang w:val="en-US" w:eastAsia="zh-CN"/>
                    </w:rPr>
                    <w:t>5</w:t>
                  </w:r>
                  <w:r>
                    <w:rPr>
                      <w:rFonts w:hint="eastAsia"/>
                      <w:color w:val="auto"/>
                      <w:szCs w:val="21"/>
                      <w:lang w:eastAsia="zh-CN"/>
                    </w:rPr>
                    <w:t>、</w:t>
                  </w:r>
                  <w:r>
                    <w:rPr>
                      <w:rFonts w:hint="eastAsia"/>
                      <w:color w:val="auto"/>
                      <w:szCs w:val="21"/>
                      <w:lang w:val="en-US" w:eastAsia="zh-CN"/>
                    </w:rPr>
                    <w:t>SS、氨氮、总氮、总磷</w:t>
                  </w:r>
                </w:p>
              </w:tc>
              <w:tc>
                <w:tcPr>
                  <w:tcW w:w="817" w:type="pct"/>
                  <w:noWrap w:val="0"/>
                  <w:vAlign w:val="center"/>
                </w:tcPr>
                <w:p w14:paraId="6C306DDD">
                  <w:pPr>
                    <w:keepNext w:val="0"/>
                    <w:keepLines w:val="0"/>
                    <w:pageBreakBefore w:val="0"/>
                    <w:widowControl/>
                    <w:kinsoku/>
                    <w:wordWrap/>
                    <w:overflowPunct/>
                    <w:topLinePunct w:val="0"/>
                    <w:bidi w:val="0"/>
                    <w:adjustRightInd w:val="0"/>
                    <w:snapToGrid w:val="0"/>
                    <w:contextualSpacing/>
                    <w:jc w:val="center"/>
                    <w:rPr>
                      <w:rFonts w:hint="eastAsia" w:eastAsia="宋体"/>
                      <w:color w:val="auto"/>
                      <w:kern w:val="2"/>
                      <w:sz w:val="21"/>
                      <w:szCs w:val="21"/>
                      <w:lang w:val="en-US" w:eastAsia="zh-CN" w:bidi="ar-SA"/>
                    </w:rPr>
                  </w:pPr>
                  <w:r>
                    <w:rPr>
                      <w:rFonts w:hint="eastAsia" w:eastAsia="宋体"/>
                      <w:color w:val="auto"/>
                      <w:kern w:val="2"/>
                      <w:sz w:val="21"/>
                      <w:szCs w:val="21"/>
                      <w:lang w:val="en-US" w:eastAsia="zh-CN" w:bidi="ar-SA"/>
                    </w:rPr>
                    <w:t>1次/年</w:t>
                  </w:r>
                </w:p>
              </w:tc>
              <w:tc>
                <w:tcPr>
                  <w:tcW w:w="2296" w:type="pct"/>
                  <w:noWrap w:val="0"/>
                  <w:vAlign w:val="center"/>
                </w:tcPr>
                <w:p w14:paraId="336EDC00">
                  <w:pPr>
                    <w:keepNext w:val="0"/>
                    <w:keepLines w:val="0"/>
                    <w:pageBreakBefore w:val="0"/>
                    <w:widowControl/>
                    <w:kinsoku/>
                    <w:wordWrap/>
                    <w:overflowPunct/>
                    <w:topLinePunct w:val="0"/>
                    <w:bidi w:val="0"/>
                    <w:adjustRightInd w:val="0"/>
                    <w:snapToGrid w:val="0"/>
                    <w:contextualSpacing/>
                    <w:jc w:val="center"/>
                    <w:rPr>
                      <w:rFonts w:hint="default" w:eastAsia="宋体"/>
                      <w:color w:val="auto"/>
                      <w:kern w:val="2"/>
                      <w:sz w:val="21"/>
                      <w:szCs w:val="21"/>
                      <w:lang w:val="en-US" w:eastAsia="zh-CN" w:bidi="ar-SA"/>
                    </w:rPr>
                  </w:pPr>
                  <w:r>
                    <w:rPr>
                      <w:rFonts w:hint="eastAsia"/>
                      <w:color w:val="auto"/>
                      <w:sz w:val="21"/>
                      <w:szCs w:val="21"/>
                    </w:rPr>
                    <w:t>城东污水处理厂二期接管标准</w:t>
                  </w:r>
                </w:p>
              </w:tc>
            </w:tr>
            <w:tr w14:paraId="2E548B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3" w:type="pct"/>
                  <w:vMerge w:val="continue"/>
                  <w:noWrap w:val="0"/>
                  <w:vAlign w:val="center"/>
                </w:tcPr>
                <w:p w14:paraId="19F464A7">
                  <w:pPr>
                    <w:keepNext w:val="0"/>
                    <w:keepLines w:val="0"/>
                    <w:pageBreakBefore w:val="0"/>
                    <w:widowControl/>
                    <w:kinsoku/>
                    <w:wordWrap/>
                    <w:overflowPunct/>
                    <w:topLinePunct w:val="0"/>
                    <w:bidi w:val="0"/>
                    <w:adjustRightInd w:val="0"/>
                    <w:snapToGrid w:val="0"/>
                    <w:contextualSpacing/>
                    <w:jc w:val="center"/>
                    <w:rPr>
                      <w:rFonts w:hint="eastAsia"/>
                      <w:color w:val="auto"/>
                      <w:szCs w:val="21"/>
                      <w:lang w:val="en-US" w:eastAsia="zh-CN"/>
                    </w:rPr>
                  </w:pPr>
                </w:p>
              </w:tc>
              <w:tc>
                <w:tcPr>
                  <w:tcW w:w="1102" w:type="pct"/>
                  <w:noWrap w:val="0"/>
                  <w:vAlign w:val="center"/>
                </w:tcPr>
                <w:p w14:paraId="1786AE4A">
                  <w:pPr>
                    <w:keepNext w:val="0"/>
                    <w:keepLines w:val="0"/>
                    <w:pageBreakBefore w:val="0"/>
                    <w:widowControl/>
                    <w:kinsoku/>
                    <w:wordWrap/>
                    <w:overflowPunct/>
                    <w:topLinePunct w:val="0"/>
                    <w:bidi w:val="0"/>
                    <w:adjustRightInd w:val="0"/>
                    <w:snapToGrid w:val="0"/>
                    <w:contextualSpacing/>
                    <w:jc w:val="center"/>
                    <w:rPr>
                      <w:rFonts w:hint="default"/>
                      <w:color w:val="auto"/>
                      <w:szCs w:val="21"/>
                      <w:lang w:val="en-US" w:eastAsia="zh-CN"/>
                    </w:rPr>
                  </w:pPr>
                  <w:r>
                    <w:rPr>
                      <w:rFonts w:hint="eastAsia"/>
                      <w:color w:val="auto"/>
                      <w:szCs w:val="21"/>
                      <w:lang w:val="en-US" w:eastAsia="zh-CN"/>
                    </w:rPr>
                    <w:t>氟化物</w:t>
                  </w:r>
                </w:p>
              </w:tc>
              <w:tc>
                <w:tcPr>
                  <w:tcW w:w="817" w:type="pct"/>
                  <w:noWrap w:val="0"/>
                  <w:vAlign w:val="center"/>
                </w:tcPr>
                <w:p w14:paraId="34971A4C">
                  <w:pPr>
                    <w:keepNext w:val="0"/>
                    <w:keepLines w:val="0"/>
                    <w:pageBreakBefore w:val="0"/>
                    <w:widowControl/>
                    <w:kinsoku/>
                    <w:wordWrap/>
                    <w:overflowPunct/>
                    <w:topLinePunct w:val="0"/>
                    <w:bidi w:val="0"/>
                    <w:adjustRightInd w:val="0"/>
                    <w:snapToGrid w:val="0"/>
                    <w:contextualSpacing/>
                    <w:jc w:val="center"/>
                    <w:rPr>
                      <w:rFonts w:hint="default" w:eastAsia="宋体"/>
                      <w:color w:val="auto"/>
                      <w:kern w:val="2"/>
                      <w:sz w:val="21"/>
                      <w:szCs w:val="21"/>
                      <w:lang w:val="en-US" w:eastAsia="zh-CN" w:bidi="ar-SA"/>
                    </w:rPr>
                  </w:pPr>
                  <w:r>
                    <w:rPr>
                      <w:rFonts w:hint="eastAsia" w:eastAsia="宋体"/>
                      <w:color w:val="auto"/>
                      <w:kern w:val="2"/>
                      <w:sz w:val="21"/>
                      <w:szCs w:val="21"/>
                      <w:lang w:val="en-US" w:eastAsia="zh-CN" w:bidi="ar-SA"/>
                    </w:rPr>
                    <w:t>1次/季度</w:t>
                  </w:r>
                </w:p>
              </w:tc>
              <w:tc>
                <w:tcPr>
                  <w:tcW w:w="2296" w:type="pct"/>
                  <w:noWrap w:val="0"/>
                  <w:vAlign w:val="center"/>
                </w:tcPr>
                <w:p w14:paraId="4E8C153D">
                  <w:pPr>
                    <w:keepNext w:val="0"/>
                    <w:keepLines w:val="0"/>
                    <w:pageBreakBefore w:val="0"/>
                    <w:widowControl/>
                    <w:kinsoku/>
                    <w:wordWrap/>
                    <w:overflowPunct/>
                    <w:topLinePunct w:val="0"/>
                    <w:bidi w:val="0"/>
                    <w:adjustRightInd w:val="0"/>
                    <w:snapToGrid w:val="0"/>
                    <w:contextualSpacing/>
                    <w:jc w:val="center"/>
                    <w:rPr>
                      <w:rFonts w:hint="eastAsia"/>
                      <w:color w:val="auto"/>
                      <w:sz w:val="21"/>
                      <w:szCs w:val="21"/>
                    </w:rPr>
                  </w:pPr>
                  <w:r>
                    <w:rPr>
                      <w:rFonts w:hint="eastAsia" w:ascii="Times New Roman" w:hAnsi="Times New Roman" w:eastAsia="宋体" w:cs="Times New Roman"/>
                      <w:color w:val="auto"/>
                      <w:szCs w:val="21"/>
                      <w:lang w:eastAsia="zh-CN"/>
                    </w:rPr>
                    <w:t>《</w:t>
                  </w:r>
                  <w:r>
                    <w:rPr>
                      <w:rFonts w:hint="eastAsia" w:eastAsia="宋体" w:cs="Times New Roman"/>
                      <w:color w:val="auto"/>
                      <w:szCs w:val="21"/>
                      <w:lang w:val="en-US" w:eastAsia="zh-CN"/>
                    </w:rPr>
                    <w:t>城镇污水处理厂污染物排放标准</w:t>
                  </w:r>
                  <w:r>
                    <w:rPr>
                      <w:rFonts w:hint="eastAsia" w:ascii="Times New Roman" w:hAnsi="Times New Roman" w:eastAsia="宋体" w:cs="Times New Roman"/>
                      <w:color w:val="auto"/>
                      <w:szCs w:val="21"/>
                      <w:lang w:eastAsia="zh-CN"/>
                    </w:rPr>
                    <w:t>》（</w:t>
                  </w:r>
                  <w:r>
                    <w:rPr>
                      <w:rFonts w:hint="eastAsia" w:eastAsia="宋体" w:cs="Times New Roman"/>
                      <w:color w:val="auto"/>
                      <w:szCs w:val="21"/>
                      <w:lang w:val="en-US" w:eastAsia="zh-CN"/>
                    </w:rPr>
                    <w:t>D</w:t>
                  </w:r>
                  <w:r>
                    <w:rPr>
                      <w:rFonts w:ascii="Times New Roman" w:hAnsi="Times New Roman" w:eastAsia="宋体" w:cs="Times New Roman"/>
                      <w:color w:val="auto"/>
                      <w:szCs w:val="21"/>
                    </w:rPr>
                    <w:t>B</w:t>
                  </w:r>
                  <w:r>
                    <w:rPr>
                      <w:rFonts w:hint="eastAsia" w:eastAsia="宋体" w:cs="Times New Roman"/>
                      <w:color w:val="auto"/>
                      <w:szCs w:val="21"/>
                      <w:lang w:val="en-US" w:eastAsia="zh-CN"/>
                    </w:rPr>
                    <w:t>32/4440</w:t>
                  </w:r>
                  <w:r>
                    <w:rPr>
                      <w:rFonts w:ascii="Times New Roman" w:hAnsi="Times New Roman" w:eastAsia="宋体" w:cs="Times New Roman"/>
                      <w:color w:val="auto"/>
                      <w:szCs w:val="21"/>
                    </w:rPr>
                    <w:t>-</w:t>
                  </w:r>
                  <w:r>
                    <w:rPr>
                      <w:rFonts w:hint="eastAsia" w:eastAsia="宋体" w:cs="Times New Roman"/>
                      <w:color w:val="auto"/>
                      <w:szCs w:val="21"/>
                      <w:lang w:val="en-US" w:eastAsia="zh-CN"/>
                    </w:rPr>
                    <w:t>2022</w:t>
                  </w:r>
                  <w:r>
                    <w:rPr>
                      <w:rFonts w:hint="eastAsia" w:ascii="Times New Roman" w:hAnsi="Times New Roman" w:eastAsia="宋体" w:cs="Times New Roman"/>
                      <w:color w:val="auto"/>
                      <w:szCs w:val="21"/>
                      <w:lang w:eastAsia="zh-CN"/>
                    </w:rPr>
                    <w:t>）</w:t>
                  </w:r>
                  <w:r>
                    <w:rPr>
                      <w:rFonts w:hint="eastAsia" w:eastAsia="宋体" w:cs="Times New Roman"/>
                      <w:color w:val="auto"/>
                      <w:szCs w:val="21"/>
                      <w:lang w:val="en-US" w:eastAsia="zh-CN"/>
                    </w:rPr>
                    <w:t>表4中排放限值</w:t>
                  </w:r>
                </w:p>
              </w:tc>
            </w:tr>
          </w:tbl>
          <w:p w14:paraId="6C9FE611">
            <w:pPr>
              <w:keepNext w:val="0"/>
              <w:keepLines w:val="0"/>
              <w:pageBreakBefore w:val="0"/>
              <w:widowControl w:val="0"/>
              <w:numPr>
                <w:ilvl w:val="0"/>
                <w:numId w:val="0"/>
              </w:numPr>
              <w:kinsoku/>
              <w:wordWrap/>
              <w:overflowPunct/>
              <w:topLinePunct w:val="0"/>
              <w:autoSpaceDE/>
              <w:autoSpaceDN/>
              <w:bidi w:val="0"/>
              <w:adjustRightInd w:val="0"/>
              <w:snapToGrid w:val="0"/>
              <w:spacing w:before="148" w:beforeLines="50" w:line="360" w:lineRule="auto"/>
              <w:textAlignment w:val="auto"/>
              <w:rPr>
                <w:b/>
                <w:bCs/>
                <w:color w:val="auto"/>
                <w:szCs w:val="21"/>
              </w:rPr>
            </w:pPr>
            <w:r>
              <w:rPr>
                <w:rFonts w:hint="default" w:ascii="Times New Roman" w:hAnsi="Times New Roman" w:eastAsia="宋体" w:cs="Times New Roman"/>
                <w:b/>
                <w:bCs/>
                <w:color w:val="auto"/>
                <w:kern w:val="2"/>
                <w:sz w:val="21"/>
                <w:szCs w:val="21"/>
                <w:lang w:val="en-US" w:eastAsia="zh-CN" w:bidi="ar-SA"/>
              </w:rPr>
              <w:t>3、</w:t>
            </w:r>
            <w:r>
              <w:rPr>
                <w:rFonts w:hint="eastAsia"/>
                <w:b/>
                <w:bCs/>
                <w:color w:val="auto"/>
                <w:szCs w:val="21"/>
              </w:rPr>
              <w:t>噪声</w:t>
            </w:r>
          </w:p>
          <w:p w14:paraId="3218CA48">
            <w:pPr>
              <w:keepNext w:val="0"/>
              <w:keepLines w:val="0"/>
              <w:pageBreakBefore w:val="0"/>
              <w:kinsoku/>
              <w:wordWrap/>
              <w:overflowPunct/>
              <w:topLinePunct w:val="0"/>
              <w:bidi w:val="0"/>
              <w:snapToGrid w:val="0"/>
              <w:spacing w:line="360" w:lineRule="auto"/>
              <w:rPr>
                <w:b/>
                <w:bCs/>
                <w:color w:val="auto"/>
                <w:szCs w:val="21"/>
              </w:rPr>
            </w:pPr>
            <w:r>
              <w:rPr>
                <w:rFonts w:hint="eastAsia"/>
                <w:b/>
                <w:bCs/>
                <w:color w:val="auto"/>
                <w:szCs w:val="21"/>
              </w:rPr>
              <w:t>3.1噪声源强分析</w:t>
            </w:r>
          </w:p>
          <w:p w14:paraId="50E8E8FF">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r>
              <w:rPr>
                <w:bCs/>
                <w:color w:val="auto"/>
                <w:spacing w:val="0"/>
                <w:sz w:val="21"/>
                <w:szCs w:val="21"/>
              </w:rPr>
              <w:t>项目运营期产生的噪声源主要</w:t>
            </w:r>
            <w:r>
              <w:rPr>
                <w:rFonts w:hint="eastAsia"/>
                <w:bCs/>
                <w:color w:val="auto"/>
                <w:spacing w:val="0"/>
                <w:sz w:val="21"/>
                <w:szCs w:val="21"/>
                <w:lang w:val="en-US" w:eastAsia="zh-CN"/>
              </w:rPr>
              <w:t>来自机器设备产生的</w:t>
            </w:r>
            <w:r>
              <w:rPr>
                <w:bCs/>
                <w:color w:val="auto"/>
                <w:spacing w:val="0"/>
                <w:sz w:val="21"/>
                <w:szCs w:val="21"/>
              </w:rPr>
              <w:t>噪声，噪声源为</w:t>
            </w:r>
            <w:r>
              <w:rPr>
                <w:rFonts w:hint="eastAsia"/>
                <w:bCs/>
                <w:color w:val="auto"/>
                <w:spacing w:val="0"/>
                <w:sz w:val="21"/>
                <w:szCs w:val="21"/>
              </w:rPr>
              <w:t>7</w:t>
            </w:r>
            <w:r>
              <w:rPr>
                <w:rFonts w:hint="eastAsia"/>
                <w:bCs/>
                <w:color w:val="auto"/>
                <w:spacing w:val="0"/>
                <w:sz w:val="21"/>
                <w:szCs w:val="21"/>
                <w:lang w:val="en-US" w:eastAsia="zh-CN"/>
              </w:rPr>
              <w:t>5</w:t>
            </w:r>
            <w:r>
              <w:rPr>
                <w:bCs/>
                <w:color w:val="auto"/>
                <w:spacing w:val="0"/>
                <w:sz w:val="21"/>
                <w:szCs w:val="21"/>
              </w:rPr>
              <w:t>~</w:t>
            </w:r>
            <w:r>
              <w:rPr>
                <w:rFonts w:hint="eastAsia"/>
                <w:bCs/>
                <w:color w:val="auto"/>
                <w:spacing w:val="0"/>
                <w:sz w:val="21"/>
                <w:szCs w:val="21"/>
                <w:lang w:val="en-US" w:eastAsia="zh-CN"/>
              </w:rPr>
              <w:t>85d</w:t>
            </w:r>
            <w:r>
              <w:rPr>
                <w:bCs/>
                <w:color w:val="auto"/>
                <w:spacing w:val="0"/>
                <w:sz w:val="21"/>
                <w:szCs w:val="21"/>
              </w:rPr>
              <w:t>B(A)</w:t>
            </w:r>
            <w:r>
              <w:rPr>
                <w:rFonts w:hint="eastAsia"/>
                <w:bCs/>
                <w:color w:val="auto"/>
                <w:spacing w:val="0"/>
                <w:sz w:val="21"/>
                <w:szCs w:val="21"/>
              </w:rPr>
              <w:t>，</w:t>
            </w:r>
            <w:r>
              <w:rPr>
                <w:color w:val="auto"/>
                <w:spacing w:val="0"/>
                <w:sz w:val="21"/>
                <w:szCs w:val="21"/>
              </w:rPr>
              <w:t>分别通过采取将各类高噪声设备采用减震、消音、隔音装置等不同的措施，噪声值可降低</w:t>
            </w:r>
            <w:r>
              <w:rPr>
                <w:rFonts w:hint="eastAsia"/>
                <w:color w:val="auto"/>
                <w:spacing w:val="0"/>
                <w:sz w:val="21"/>
                <w:szCs w:val="21"/>
              </w:rPr>
              <w:t>25</w:t>
            </w:r>
            <w:r>
              <w:rPr>
                <w:color w:val="auto"/>
                <w:spacing w:val="0"/>
                <w:sz w:val="21"/>
                <w:szCs w:val="21"/>
              </w:rPr>
              <w:t>dB(A)，</w:t>
            </w:r>
            <w:r>
              <w:rPr>
                <w:rFonts w:hint="eastAsia"/>
                <w:color w:val="auto"/>
                <w:spacing w:val="0"/>
                <w:sz w:val="21"/>
                <w:szCs w:val="21"/>
              </w:rPr>
              <w:t>根据</w:t>
            </w:r>
            <w:r>
              <w:rPr>
                <w:color w:val="auto"/>
                <w:spacing w:val="0"/>
                <w:sz w:val="21"/>
                <w:szCs w:val="21"/>
              </w:rPr>
              <w:t>同类型设备的类比实测调查</w:t>
            </w:r>
            <w:r>
              <w:rPr>
                <w:rFonts w:hint="eastAsia"/>
                <w:color w:val="auto"/>
                <w:spacing w:val="0"/>
                <w:sz w:val="21"/>
                <w:szCs w:val="21"/>
              </w:rPr>
              <w:t>，</w:t>
            </w:r>
            <w:r>
              <w:rPr>
                <w:color w:val="auto"/>
                <w:spacing w:val="0"/>
                <w:sz w:val="21"/>
                <w:szCs w:val="21"/>
              </w:rPr>
              <w:t>本项目噪声产生及治理情况见表4-</w:t>
            </w:r>
            <w:r>
              <w:rPr>
                <w:rFonts w:hint="eastAsia"/>
                <w:color w:val="auto"/>
                <w:spacing w:val="0"/>
                <w:sz w:val="21"/>
                <w:szCs w:val="21"/>
                <w:lang w:val="en-US" w:eastAsia="zh-CN"/>
              </w:rPr>
              <w:t>22、4-23</w:t>
            </w:r>
            <w:r>
              <w:rPr>
                <w:rFonts w:hint="eastAsia"/>
                <w:color w:val="auto"/>
                <w:spacing w:val="0"/>
                <w:sz w:val="21"/>
                <w:szCs w:val="21"/>
              </w:rPr>
              <w:t>。</w:t>
            </w:r>
          </w:p>
          <w:p w14:paraId="0C9B72BD">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58439E0D">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10E1F447">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71936921">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0F1FA93C">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2E100A2B">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2B2D17C6">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0657D4E9">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409BFA79">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33C58B5F">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30971EDD">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5B3FBCD1">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496089A0">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29EADA4F">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16B89A36">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655688FD">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0F4D058D">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4DC68C86">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1DDD2F96">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63694FBD">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64D501E2">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584F827C">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00F71B12">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0FF60EA8">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6CFD22FB">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675E3157">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60C924FA">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rPr>
            </w:pPr>
          </w:p>
          <w:p w14:paraId="78A14B3F">
            <w:pPr>
              <w:keepNext w:val="0"/>
              <w:keepLines w:val="0"/>
              <w:pageBreakBefore w:val="0"/>
              <w:kinsoku/>
              <w:wordWrap/>
              <w:overflowPunct/>
              <w:topLinePunct w:val="0"/>
              <w:bidi w:val="0"/>
              <w:snapToGrid w:val="0"/>
              <w:spacing w:line="360" w:lineRule="auto"/>
              <w:ind w:firstLine="420" w:firstLineChars="200"/>
              <w:rPr>
                <w:rFonts w:hint="eastAsia"/>
                <w:color w:val="auto"/>
                <w:spacing w:val="0"/>
                <w:sz w:val="21"/>
                <w:szCs w:val="21"/>
                <w:lang w:val="en-US" w:eastAsia="zh-CN"/>
              </w:rPr>
            </w:pPr>
          </w:p>
        </w:tc>
      </w:tr>
    </w:tbl>
    <w:p w14:paraId="7C6371F2">
      <w:pPr>
        <w:pStyle w:val="27"/>
        <w:jc w:val="center"/>
        <w:rPr>
          <w:rFonts w:ascii="Times New Roman" w:hAnsi="Times New Roman" w:eastAsia="黑体"/>
          <w:snapToGrid w:val="0"/>
          <w:sz w:val="30"/>
          <w:szCs w:val="30"/>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type="lines" w:linePitch="294" w:charSpace="0"/>
        </w:sectPr>
      </w:pPr>
    </w:p>
    <w:tbl>
      <w:tblPr>
        <w:tblStyle w:val="31"/>
        <w:tblW w:w="52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13209"/>
      </w:tblGrid>
      <w:tr w14:paraId="781A0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4" w:hRule="atLeast"/>
          <w:jc w:val="center"/>
        </w:trPr>
        <w:tc>
          <w:tcPr>
            <w:tcW w:w="678" w:type="dxa"/>
          </w:tcPr>
          <w:p w14:paraId="4CFB6627">
            <w:pPr>
              <w:pStyle w:val="27"/>
              <w:jc w:val="center"/>
              <w:rPr>
                <w:rFonts w:hint="eastAsia" w:ascii="黑体" w:hAnsi="黑体" w:eastAsia="黑体"/>
                <w:snapToGrid w:val="0"/>
                <w:sz w:val="30"/>
                <w:szCs w:val="30"/>
              </w:rPr>
            </w:pPr>
          </w:p>
        </w:tc>
        <w:tc>
          <w:tcPr>
            <w:tcW w:w="13209" w:type="dxa"/>
          </w:tcPr>
          <w:p w14:paraId="638AB8E3">
            <w:pPr>
              <w:pStyle w:val="4"/>
              <w:spacing w:before="147" w:beforeLines="50" w:beforeAutospacing="0" w:after="0" w:afterAutospacing="0"/>
              <w:jc w:val="center"/>
              <w:rPr>
                <w:rFonts w:hint="default" w:ascii="Times New Roman" w:hAnsi="Times New Roman"/>
                <w:bCs w:val="0"/>
                <w:color w:val="auto"/>
                <w:sz w:val="21"/>
                <w:szCs w:val="21"/>
              </w:rPr>
            </w:pPr>
            <w:r>
              <w:rPr>
                <w:rFonts w:hint="default" w:ascii="Times New Roman" w:hAnsi="Times New Roman"/>
                <w:color w:val="auto"/>
                <w:kern w:val="2"/>
                <w:sz w:val="21"/>
                <w:szCs w:val="21"/>
              </w:rPr>
              <w:t>表4</w:t>
            </w:r>
            <w:r>
              <w:rPr>
                <w:rFonts w:ascii="Times New Roman" w:hAnsi="Times New Roman"/>
                <w:color w:val="auto"/>
                <w:kern w:val="2"/>
                <w:sz w:val="21"/>
                <w:szCs w:val="21"/>
              </w:rPr>
              <w:t>-</w:t>
            </w:r>
            <w:r>
              <w:rPr>
                <w:rFonts w:hint="eastAsia" w:ascii="Times New Roman" w:hAnsi="Times New Roman"/>
                <w:color w:val="auto"/>
                <w:kern w:val="2"/>
                <w:sz w:val="21"/>
                <w:szCs w:val="21"/>
                <w:lang w:val="en-US" w:eastAsia="zh-CN"/>
              </w:rPr>
              <w:t xml:space="preserve">22 </w:t>
            </w:r>
            <w:r>
              <w:rPr>
                <w:rFonts w:hint="default" w:ascii="Times New Roman" w:hAnsi="Times New Roman"/>
                <w:color w:val="auto"/>
                <w:kern w:val="2"/>
                <w:sz w:val="21"/>
                <w:szCs w:val="21"/>
              </w:rPr>
              <w:t>项目噪声源强调查清单（室内声源）</w:t>
            </w:r>
          </w:p>
          <w:tbl>
            <w:tblPr>
              <w:tblStyle w:val="3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13"/>
              <w:gridCol w:w="700"/>
              <w:gridCol w:w="1125"/>
              <w:gridCol w:w="610"/>
              <w:gridCol w:w="2198"/>
              <w:gridCol w:w="1010"/>
              <w:gridCol w:w="673"/>
              <w:gridCol w:w="587"/>
              <w:gridCol w:w="675"/>
              <w:gridCol w:w="748"/>
              <w:gridCol w:w="850"/>
              <w:gridCol w:w="584"/>
              <w:gridCol w:w="1062"/>
              <w:gridCol w:w="850"/>
              <w:gridCol w:w="805"/>
            </w:tblGrid>
            <w:tr w14:paraId="5B2DE9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97" w:type="pct"/>
                  <w:vMerge w:val="restart"/>
                  <w:vAlign w:val="center"/>
                </w:tcPr>
                <w:p w14:paraId="5BE3CAAF">
                  <w:pPr>
                    <w:jc w:val="center"/>
                    <w:rPr>
                      <w:b/>
                      <w:bCs/>
                      <w:szCs w:val="21"/>
                    </w:rPr>
                  </w:pPr>
                  <w:r>
                    <w:rPr>
                      <w:rFonts w:hint="eastAsia"/>
                      <w:b/>
                      <w:bCs/>
                      <w:szCs w:val="21"/>
                    </w:rPr>
                    <w:t>序号</w:t>
                  </w:r>
                </w:p>
              </w:tc>
              <w:tc>
                <w:tcPr>
                  <w:tcW w:w="269" w:type="pct"/>
                  <w:vMerge w:val="restart"/>
                  <w:vAlign w:val="center"/>
                </w:tcPr>
                <w:p w14:paraId="4CE37CD5">
                  <w:pPr>
                    <w:jc w:val="center"/>
                    <w:rPr>
                      <w:b/>
                      <w:bCs/>
                      <w:szCs w:val="21"/>
                    </w:rPr>
                  </w:pPr>
                  <w:r>
                    <w:rPr>
                      <w:rFonts w:hint="eastAsia"/>
                      <w:b/>
                      <w:bCs/>
                      <w:szCs w:val="21"/>
                    </w:rPr>
                    <w:t>建筑物名称</w:t>
                  </w:r>
                </w:p>
              </w:tc>
              <w:tc>
                <w:tcPr>
                  <w:tcW w:w="433" w:type="pct"/>
                  <w:vMerge w:val="restart"/>
                  <w:vAlign w:val="center"/>
                </w:tcPr>
                <w:p w14:paraId="4E38C860">
                  <w:pPr>
                    <w:jc w:val="center"/>
                    <w:rPr>
                      <w:b/>
                      <w:bCs/>
                      <w:szCs w:val="21"/>
                    </w:rPr>
                  </w:pPr>
                  <w:r>
                    <w:rPr>
                      <w:rFonts w:hint="eastAsia"/>
                      <w:b/>
                      <w:bCs/>
                      <w:szCs w:val="21"/>
                    </w:rPr>
                    <w:t>声源名称</w:t>
                  </w:r>
                </w:p>
              </w:tc>
              <w:tc>
                <w:tcPr>
                  <w:tcW w:w="234" w:type="pct"/>
                  <w:vMerge w:val="restart"/>
                  <w:vAlign w:val="center"/>
                </w:tcPr>
                <w:p w14:paraId="736BF246">
                  <w:pPr>
                    <w:jc w:val="center"/>
                    <w:rPr>
                      <w:b/>
                      <w:bCs/>
                      <w:szCs w:val="21"/>
                    </w:rPr>
                  </w:pPr>
                  <w:r>
                    <w:rPr>
                      <w:rFonts w:hint="eastAsia"/>
                      <w:b/>
                      <w:bCs/>
                      <w:szCs w:val="21"/>
                    </w:rPr>
                    <w:t>型号</w:t>
                  </w:r>
                </w:p>
              </w:tc>
              <w:tc>
                <w:tcPr>
                  <w:tcW w:w="846" w:type="pct"/>
                  <w:vMerge w:val="restart"/>
                  <w:tcMar>
                    <w:left w:w="0" w:type="dxa"/>
                    <w:right w:w="0" w:type="dxa"/>
                  </w:tcMar>
                  <w:vAlign w:val="center"/>
                </w:tcPr>
                <w:p w14:paraId="0F3A5ABF">
                  <w:pPr>
                    <w:jc w:val="center"/>
                    <w:rPr>
                      <w:b/>
                      <w:bCs/>
                      <w:szCs w:val="21"/>
                    </w:rPr>
                  </w:pPr>
                  <w:r>
                    <w:rPr>
                      <w:rFonts w:hint="eastAsia"/>
                      <w:b/>
                      <w:bCs/>
                      <w:szCs w:val="21"/>
                    </w:rPr>
                    <w:t>声源源强（声压级/距声源距离）/（dB(A)/m）</w:t>
                  </w:r>
                </w:p>
              </w:tc>
              <w:tc>
                <w:tcPr>
                  <w:tcW w:w="388" w:type="pct"/>
                  <w:vMerge w:val="restart"/>
                  <w:tcMar>
                    <w:left w:w="0" w:type="dxa"/>
                    <w:right w:w="0" w:type="dxa"/>
                  </w:tcMar>
                  <w:vAlign w:val="center"/>
                </w:tcPr>
                <w:p w14:paraId="4CB819D8">
                  <w:pPr>
                    <w:jc w:val="center"/>
                    <w:rPr>
                      <w:b/>
                      <w:bCs/>
                      <w:szCs w:val="21"/>
                    </w:rPr>
                  </w:pPr>
                  <w:r>
                    <w:rPr>
                      <w:rFonts w:hint="eastAsia"/>
                      <w:b/>
                      <w:bCs/>
                      <w:szCs w:val="21"/>
                    </w:rPr>
                    <w:t>声源控制措施</w:t>
                  </w:r>
                </w:p>
              </w:tc>
              <w:tc>
                <w:tcPr>
                  <w:tcW w:w="744" w:type="pct"/>
                  <w:gridSpan w:val="3"/>
                  <w:vAlign w:val="center"/>
                </w:tcPr>
                <w:p w14:paraId="4DC43FBF">
                  <w:pPr>
                    <w:jc w:val="center"/>
                    <w:rPr>
                      <w:b/>
                      <w:bCs/>
                      <w:szCs w:val="21"/>
                    </w:rPr>
                  </w:pPr>
                  <w:r>
                    <w:rPr>
                      <w:rFonts w:hint="eastAsia"/>
                      <w:b/>
                      <w:bCs/>
                      <w:szCs w:val="21"/>
                    </w:rPr>
                    <w:t>空间相对位置/m</w:t>
                  </w:r>
                </w:p>
              </w:tc>
              <w:tc>
                <w:tcPr>
                  <w:tcW w:w="287" w:type="pct"/>
                  <w:vMerge w:val="restart"/>
                  <w:vAlign w:val="center"/>
                </w:tcPr>
                <w:p w14:paraId="7CCE58C7">
                  <w:pPr>
                    <w:jc w:val="center"/>
                    <w:rPr>
                      <w:b/>
                      <w:bCs/>
                      <w:szCs w:val="21"/>
                    </w:rPr>
                  </w:pPr>
                  <w:r>
                    <w:rPr>
                      <w:rFonts w:hint="eastAsia"/>
                      <w:b/>
                      <w:bCs/>
                      <w:szCs w:val="21"/>
                    </w:rPr>
                    <w:t>距室内边界距离/m</w:t>
                  </w:r>
                </w:p>
              </w:tc>
              <w:tc>
                <w:tcPr>
                  <w:tcW w:w="327" w:type="pct"/>
                  <w:vMerge w:val="restart"/>
                  <w:vAlign w:val="center"/>
                </w:tcPr>
                <w:p w14:paraId="1330B4B2">
                  <w:pPr>
                    <w:jc w:val="center"/>
                    <w:rPr>
                      <w:b/>
                      <w:bCs/>
                      <w:szCs w:val="21"/>
                    </w:rPr>
                  </w:pPr>
                  <w:r>
                    <w:rPr>
                      <w:rFonts w:hint="eastAsia"/>
                      <w:b/>
                      <w:bCs/>
                      <w:szCs w:val="21"/>
                    </w:rPr>
                    <w:t>室内边界声级/dB(A)</w:t>
                  </w:r>
                </w:p>
              </w:tc>
              <w:tc>
                <w:tcPr>
                  <w:tcW w:w="224" w:type="pct"/>
                  <w:vMerge w:val="restart"/>
                  <w:vAlign w:val="center"/>
                </w:tcPr>
                <w:p w14:paraId="4E90C171">
                  <w:pPr>
                    <w:jc w:val="center"/>
                    <w:rPr>
                      <w:b/>
                      <w:bCs/>
                      <w:szCs w:val="21"/>
                    </w:rPr>
                  </w:pPr>
                  <w:r>
                    <w:rPr>
                      <w:rFonts w:hint="eastAsia"/>
                      <w:b/>
                      <w:bCs/>
                      <w:szCs w:val="21"/>
                    </w:rPr>
                    <w:t>运行时段</w:t>
                  </w:r>
                </w:p>
              </w:tc>
              <w:tc>
                <w:tcPr>
                  <w:tcW w:w="408" w:type="pct"/>
                  <w:vMerge w:val="restart"/>
                  <w:vAlign w:val="center"/>
                </w:tcPr>
                <w:p w14:paraId="2259EF68">
                  <w:pPr>
                    <w:jc w:val="center"/>
                    <w:rPr>
                      <w:b/>
                      <w:bCs/>
                      <w:szCs w:val="21"/>
                    </w:rPr>
                  </w:pPr>
                  <w:r>
                    <w:rPr>
                      <w:rFonts w:hint="eastAsia"/>
                      <w:b/>
                      <w:bCs/>
                      <w:szCs w:val="21"/>
                    </w:rPr>
                    <w:t>建筑物插入损失/dB(A)</w:t>
                  </w:r>
                </w:p>
              </w:tc>
              <w:tc>
                <w:tcPr>
                  <w:tcW w:w="637" w:type="pct"/>
                  <w:gridSpan w:val="2"/>
                  <w:vAlign w:val="center"/>
                </w:tcPr>
                <w:p w14:paraId="6F423D13">
                  <w:pPr>
                    <w:jc w:val="center"/>
                    <w:rPr>
                      <w:b/>
                      <w:bCs/>
                      <w:szCs w:val="21"/>
                    </w:rPr>
                  </w:pPr>
                  <w:r>
                    <w:rPr>
                      <w:rFonts w:hint="eastAsia"/>
                      <w:b/>
                      <w:bCs/>
                      <w:szCs w:val="21"/>
                    </w:rPr>
                    <w:t>建筑物外噪声</w:t>
                  </w:r>
                </w:p>
              </w:tc>
            </w:tr>
            <w:tr w14:paraId="6C1E7B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97" w:type="pct"/>
                  <w:vMerge w:val="continue"/>
                  <w:vAlign w:val="center"/>
                </w:tcPr>
                <w:p w14:paraId="0B50A2CF">
                  <w:pPr>
                    <w:jc w:val="center"/>
                    <w:rPr>
                      <w:b/>
                      <w:bCs/>
                      <w:szCs w:val="21"/>
                    </w:rPr>
                  </w:pPr>
                </w:p>
              </w:tc>
              <w:tc>
                <w:tcPr>
                  <w:tcW w:w="269" w:type="pct"/>
                  <w:vMerge w:val="continue"/>
                  <w:vAlign w:val="center"/>
                </w:tcPr>
                <w:p w14:paraId="2F8291B4">
                  <w:pPr>
                    <w:jc w:val="center"/>
                    <w:rPr>
                      <w:b/>
                      <w:bCs/>
                      <w:szCs w:val="21"/>
                    </w:rPr>
                  </w:pPr>
                </w:p>
              </w:tc>
              <w:tc>
                <w:tcPr>
                  <w:tcW w:w="433" w:type="pct"/>
                  <w:vMerge w:val="continue"/>
                  <w:vAlign w:val="center"/>
                </w:tcPr>
                <w:p w14:paraId="3F1C6A33">
                  <w:pPr>
                    <w:jc w:val="center"/>
                    <w:rPr>
                      <w:b/>
                      <w:bCs/>
                      <w:szCs w:val="21"/>
                    </w:rPr>
                  </w:pPr>
                </w:p>
              </w:tc>
              <w:tc>
                <w:tcPr>
                  <w:tcW w:w="234" w:type="pct"/>
                  <w:vMerge w:val="continue"/>
                  <w:vAlign w:val="center"/>
                </w:tcPr>
                <w:p w14:paraId="40230F21">
                  <w:pPr>
                    <w:jc w:val="center"/>
                    <w:rPr>
                      <w:b/>
                      <w:bCs/>
                      <w:szCs w:val="21"/>
                    </w:rPr>
                  </w:pPr>
                </w:p>
              </w:tc>
              <w:tc>
                <w:tcPr>
                  <w:tcW w:w="846" w:type="pct"/>
                  <w:vMerge w:val="continue"/>
                  <w:vAlign w:val="center"/>
                </w:tcPr>
                <w:p w14:paraId="1C082E58">
                  <w:pPr>
                    <w:jc w:val="center"/>
                    <w:rPr>
                      <w:b/>
                      <w:bCs/>
                      <w:szCs w:val="21"/>
                    </w:rPr>
                  </w:pPr>
                </w:p>
              </w:tc>
              <w:tc>
                <w:tcPr>
                  <w:tcW w:w="388" w:type="pct"/>
                  <w:vMerge w:val="continue"/>
                  <w:tcMar>
                    <w:left w:w="0" w:type="dxa"/>
                    <w:right w:w="0" w:type="dxa"/>
                  </w:tcMar>
                  <w:vAlign w:val="center"/>
                </w:tcPr>
                <w:p w14:paraId="00E6B925">
                  <w:pPr>
                    <w:jc w:val="center"/>
                    <w:rPr>
                      <w:b/>
                      <w:bCs/>
                      <w:szCs w:val="21"/>
                    </w:rPr>
                  </w:pPr>
                </w:p>
              </w:tc>
              <w:tc>
                <w:tcPr>
                  <w:tcW w:w="259" w:type="pct"/>
                  <w:vAlign w:val="center"/>
                </w:tcPr>
                <w:p w14:paraId="2E596562">
                  <w:pPr>
                    <w:jc w:val="center"/>
                    <w:rPr>
                      <w:b/>
                      <w:bCs/>
                      <w:szCs w:val="21"/>
                    </w:rPr>
                  </w:pPr>
                  <w:r>
                    <w:rPr>
                      <w:rFonts w:hint="eastAsia"/>
                      <w:b/>
                      <w:bCs/>
                      <w:szCs w:val="21"/>
                    </w:rPr>
                    <w:t>X</w:t>
                  </w:r>
                </w:p>
              </w:tc>
              <w:tc>
                <w:tcPr>
                  <w:tcW w:w="225" w:type="pct"/>
                  <w:vAlign w:val="center"/>
                </w:tcPr>
                <w:p w14:paraId="36932922">
                  <w:pPr>
                    <w:jc w:val="center"/>
                    <w:rPr>
                      <w:b/>
                      <w:bCs/>
                      <w:szCs w:val="21"/>
                    </w:rPr>
                  </w:pPr>
                  <w:r>
                    <w:rPr>
                      <w:rFonts w:hint="eastAsia"/>
                      <w:b/>
                      <w:bCs/>
                      <w:szCs w:val="21"/>
                    </w:rPr>
                    <w:t>Y</w:t>
                  </w:r>
                </w:p>
              </w:tc>
              <w:tc>
                <w:tcPr>
                  <w:tcW w:w="259" w:type="pct"/>
                  <w:vAlign w:val="center"/>
                </w:tcPr>
                <w:p w14:paraId="469DDC19">
                  <w:pPr>
                    <w:jc w:val="center"/>
                    <w:rPr>
                      <w:b/>
                      <w:bCs/>
                      <w:szCs w:val="21"/>
                    </w:rPr>
                  </w:pPr>
                  <w:r>
                    <w:rPr>
                      <w:rFonts w:hint="eastAsia"/>
                      <w:b/>
                      <w:bCs/>
                      <w:szCs w:val="21"/>
                    </w:rPr>
                    <w:t>Z</w:t>
                  </w:r>
                </w:p>
              </w:tc>
              <w:tc>
                <w:tcPr>
                  <w:tcW w:w="287" w:type="pct"/>
                  <w:vMerge w:val="continue"/>
                  <w:vAlign w:val="center"/>
                </w:tcPr>
                <w:p w14:paraId="31118C0A">
                  <w:pPr>
                    <w:jc w:val="center"/>
                    <w:rPr>
                      <w:b/>
                      <w:bCs/>
                      <w:szCs w:val="21"/>
                    </w:rPr>
                  </w:pPr>
                </w:p>
              </w:tc>
              <w:tc>
                <w:tcPr>
                  <w:tcW w:w="327" w:type="pct"/>
                  <w:vMerge w:val="continue"/>
                  <w:vAlign w:val="center"/>
                </w:tcPr>
                <w:p w14:paraId="09363720">
                  <w:pPr>
                    <w:jc w:val="center"/>
                    <w:rPr>
                      <w:b/>
                      <w:bCs/>
                      <w:szCs w:val="21"/>
                    </w:rPr>
                  </w:pPr>
                </w:p>
              </w:tc>
              <w:tc>
                <w:tcPr>
                  <w:tcW w:w="224" w:type="pct"/>
                  <w:vMerge w:val="continue"/>
                  <w:vAlign w:val="center"/>
                </w:tcPr>
                <w:p w14:paraId="7FED71C8">
                  <w:pPr>
                    <w:jc w:val="center"/>
                    <w:rPr>
                      <w:b/>
                      <w:bCs/>
                      <w:szCs w:val="21"/>
                    </w:rPr>
                  </w:pPr>
                </w:p>
              </w:tc>
              <w:tc>
                <w:tcPr>
                  <w:tcW w:w="408" w:type="pct"/>
                  <w:vMerge w:val="continue"/>
                  <w:vAlign w:val="center"/>
                </w:tcPr>
                <w:p w14:paraId="5332F779">
                  <w:pPr>
                    <w:jc w:val="center"/>
                    <w:rPr>
                      <w:b/>
                      <w:bCs/>
                      <w:szCs w:val="21"/>
                    </w:rPr>
                  </w:pPr>
                </w:p>
              </w:tc>
              <w:tc>
                <w:tcPr>
                  <w:tcW w:w="327" w:type="pct"/>
                  <w:vAlign w:val="center"/>
                </w:tcPr>
                <w:p w14:paraId="654CB37F">
                  <w:pPr>
                    <w:jc w:val="center"/>
                    <w:rPr>
                      <w:b/>
                      <w:bCs/>
                      <w:szCs w:val="21"/>
                    </w:rPr>
                  </w:pPr>
                  <w:r>
                    <w:rPr>
                      <w:rFonts w:hint="eastAsia"/>
                      <w:b/>
                      <w:bCs/>
                      <w:szCs w:val="21"/>
                    </w:rPr>
                    <w:t>声压级/dB(A)</w:t>
                  </w:r>
                </w:p>
              </w:tc>
              <w:tc>
                <w:tcPr>
                  <w:tcW w:w="309" w:type="pct"/>
                  <w:vAlign w:val="center"/>
                </w:tcPr>
                <w:p w14:paraId="4A8F0779">
                  <w:pPr>
                    <w:jc w:val="center"/>
                    <w:rPr>
                      <w:b/>
                      <w:bCs/>
                      <w:szCs w:val="21"/>
                    </w:rPr>
                  </w:pPr>
                  <w:r>
                    <w:rPr>
                      <w:rFonts w:hint="eastAsia"/>
                      <w:b/>
                      <w:bCs/>
                      <w:szCs w:val="21"/>
                    </w:rPr>
                    <w:t>建筑物外距离</w:t>
                  </w:r>
                </w:p>
              </w:tc>
            </w:tr>
            <w:tr w14:paraId="114F50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97" w:type="pct"/>
                  <w:vAlign w:val="center"/>
                </w:tcPr>
                <w:p w14:paraId="688264A9">
                  <w:pPr>
                    <w:jc w:val="center"/>
                    <w:rPr>
                      <w:szCs w:val="21"/>
                    </w:rPr>
                  </w:pPr>
                  <w:r>
                    <w:rPr>
                      <w:rFonts w:hint="eastAsia"/>
                      <w:szCs w:val="21"/>
                    </w:rPr>
                    <w:t>1</w:t>
                  </w:r>
                </w:p>
              </w:tc>
              <w:tc>
                <w:tcPr>
                  <w:tcW w:w="269" w:type="pct"/>
                  <w:vMerge w:val="restart"/>
                  <w:vAlign w:val="center"/>
                </w:tcPr>
                <w:p w14:paraId="6D5C9B02">
                  <w:pPr>
                    <w:jc w:val="center"/>
                    <w:rPr>
                      <w:szCs w:val="21"/>
                    </w:rPr>
                  </w:pPr>
                  <w:r>
                    <w:rPr>
                      <w:rFonts w:hint="eastAsia"/>
                      <w:szCs w:val="21"/>
                    </w:rPr>
                    <w:t>7#厂房</w:t>
                  </w:r>
                </w:p>
              </w:tc>
              <w:tc>
                <w:tcPr>
                  <w:tcW w:w="433" w:type="pct"/>
                  <w:vAlign w:val="center"/>
                </w:tcPr>
                <w:p w14:paraId="14B37FFC">
                  <w:pPr>
                    <w:widowControl/>
                    <w:snapToGrid w:val="0"/>
                    <w:jc w:val="center"/>
                    <w:textAlignment w:val="center"/>
                    <w:rPr>
                      <w:szCs w:val="21"/>
                    </w:rPr>
                  </w:pPr>
                  <w:r>
                    <w:rPr>
                      <w:rFonts w:hint="eastAsia"/>
                      <w:color w:val="000000"/>
                      <w:szCs w:val="21"/>
                    </w:rPr>
                    <w:t>超声波清洗机1台</w:t>
                  </w:r>
                </w:p>
              </w:tc>
              <w:tc>
                <w:tcPr>
                  <w:tcW w:w="234" w:type="pct"/>
                  <w:vAlign w:val="center"/>
                </w:tcPr>
                <w:p w14:paraId="45419B85">
                  <w:pPr>
                    <w:jc w:val="center"/>
                    <w:rPr>
                      <w:szCs w:val="21"/>
                    </w:rPr>
                  </w:pPr>
                  <w:r>
                    <w:rPr>
                      <w:rFonts w:hint="eastAsia"/>
                      <w:szCs w:val="21"/>
                    </w:rPr>
                    <w:t>/</w:t>
                  </w:r>
                </w:p>
              </w:tc>
              <w:tc>
                <w:tcPr>
                  <w:tcW w:w="846" w:type="pct"/>
                  <w:vAlign w:val="center"/>
                </w:tcPr>
                <w:p w14:paraId="00F82745">
                  <w:pPr>
                    <w:jc w:val="center"/>
                    <w:rPr>
                      <w:szCs w:val="21"/>
                    </w:rPr>
                  </w:pPr>
                  <w:r>
                    <w:rPr>
                      <w:rFonts w:hint="eastAsia"/>
                      <w:szCs w:val="21"/>
                    </w:rPr>
                    <w:t>80</w:t>
                  </w:r>
                  <w:r>
                    <w:rPr>
                      <w:szCs w:val="21"/>
                    </w:rPr>
                    <w:t>/1</w:t>
                  </w:r>
                </w:p>
              </w:tc>
              <w:tc>
                <w:tcPr>
                  <w:tcW w:w="388" w:type="pct"/>
                  <w:vMerge w:val="restart"/>
                  <w:tcMar>
                    <w:left w:w="0" w:type="dxa"/>
                    <w:right w:w="0" w:type="dxa"/>
                  </w:tcMar>
                  <w:vAlign w:val="center"/>
                </w:tcPr>
                <w:p w14:paraId="4B072F66">
                  <w:pPr>
                    <w:jc w:val="center"/>
                    <w:rPr>
                      <w:szCs w:val="21"/>
                    </w:rPr>
                  </w:pPr>
                  <w:r>
                    <w:rPr>
                      <w:rFonts w:hint="eastAsia"/>
                      <w:szCs w:val="21"/>
                    </w:rPr>
                    <w:t>选用低噪声设备、减振、隔声</w:t>
                  </w:r>
                </w:p>
              </w:tc>
              <w:tc>
                <w:tcPr>
                  <w:tcW w:w="259" w:type="pct"/>
                  <w:vAlign w:val="center"/>
                </w:tcPr>
                <w:p w14:paraId="6DB231C5">
                  <w:pPr>
                    <w:jc w:val="center"/>
                    <w:rPr>
                      <w:rFonts w:hint="default" w:eastAsia="宋体"/>
                      <w:szCs w:val="21"/>
                      <w:lang w:val="en-US" w:eastAsia="zh-CN"/>
                    </w:rPr>
                  </w:pPr>
                  <w:r>
                    <w:rPr>
                      <w:rFonts w:hint="eastAsia"/>
                      <w:szCs w:val="21"/>
                      <w:lang w:val="en-US" w:eastAsia="zh-CN"/>
                    </w:rPr>
                    <w:t>78</w:t>
                  </w:r>
                </w:p>
              </w:tc>
              <w:tc>
                <w:tcPr>
                  <w:tcW w:w="225" w:type="pct"/>
                  <w:vAlign w:val="center"/>
                </w:tcPr>
                <w:p w14:paraId="682C5670">
                  <w:pPr>
                    <w:jc w:val="center"/>
                    <w:rPr>
                      <w:rFonts w:hint="default" w:eastAsia="宋体"/>
                      <w:szCs w:val="21"/>
                      <w:lang w:val="en-US" w:eastAsia="zh-CN"/>
                    </w:rPr>
                  </w:pPr>
                  <w:r>
                    <w:rPr>
                      <w:rFonts w:hint="eastAsia"/>
                      <w:szCs w:val="21"/>
                      <w:lang w:val="en-US" w:eastAsia="zh-CN"/>
                    </w:rPr>
                    <w:t>140</w:t>
                  </w:r>
                </w:p>
              </w:tc>
              <w:tc>
                <w:tcPr>
                  <w:tcW w:w="259" w:type="pct"/>
                  <w:vAlign w:val="center"/>
                </w:tcPr>
                <w:p w14:paraId="07FCFAE8">
                  <w:pPr>
                    <w:jc w:val="center"/>
                    <w:rPr>
                      <w:szCs w:val="21"/>
                    </w:rPr>
                  </w:pPr>
                  <w:r>
                    <w:rPr>
                      <w:rFonts w:hint="eastAsia"/>
                      <w:szCs w:val="21"/>
                    </w:rPr>
                    <w:t>9</w:t>
                  </w:r>
                </w:p>
              </w:tc>
              <w:tc>
                <w:tcPr>
                  <w:tcW w:w="287" w:type="pct"/>
                  <w:vAlign w:val="center"/>
                </w:tcPr>
                <w:p w14:paraId="0F323F32">
                  <w:pPr>
                    <w:jc w:val="center"/>
                    <w:rPr>
                      <w:rFonts w:hint="default" w:eastAsia="宋体"/>
                      <w:szCs w:val="21"/>
                      <w:lang w:val="en-US" w:eastAsia="zh-CN"/>
                    </w:rPr>
                  </w:pPr>
                  <w:r>
                    <w:rPr>
                      <w:rFonts w:hint="eastAsia"/>
                      <w:szCs w:val="21"/>
                      <w:lang w:val="en-US" w:eastAsia="zh-CN"/>
                    </w:rPr>
                    <w:t>10</w:t>
                  </w:r>
                </w:p>
              </w:tc>
              <w:tc>
                <w:tcPr>
                  <w:tcW w:w="327" w:type="pct"/>
                  <w:vAlign w:val="center"/>
                </w:tcPr>
                <w:p w14:paraId="15AF1B63">
                  <w:pPr>
                    <w:widowControl/>
                    <w:snapToGrid w:val="0"/>
                    <w:jc w:val="center"/>
                    <w:textAlignment w:val="center"/>
                    <w:rPr>
                      <w:rFonts w:hint="default" w:eastAsia="宋体"/>
                      <w:szCs w:val="21"/>
                      <w:lang w:val="en-US" w:eastAsia="zh-CN"/>
                    </w:rPr>
                  </w:pPr>
                  <w:r>
                    <w:rPr>
                      <w:rFonts w:hint="eastAsia"/>
                      <w:szCs w:val="21"/>
                      <w:lang w:val="en-US" w:eastAsia="zh-CN"/>
                    </w:rPr>
                    <w:t>47</w:t>
                  </w:r>
                </w:p>
              </w:tc>
              <w:tc>
                <w:tcPr>
                  <w:tcW w:w="224" w:type="pct"/>
                  <w:vMerge w:val="restart"/>
                  <w:tcMar>
                    <w:left w:w="57" w:type="dxa"/>
                    <w:right w:w="57" w:type="dxa"/>
                  </w:tcMar>
                  <w:vAlign w:val="center"/>
                </w:tcPr>
                <w:p w14:paraId="79BA5D9C">
                  <w:pPr>
                    <w:jc w:val="center"/>
                    <w:rPr>
                      <w:rFonts w:hint="default" w:eastAsia="宋体"/>
                      <w:szCs w:val="21"/>
                      <w:lang w:val="en-US" w:eastAsia="zh-CN"/>
                    </w:rPr>
                  </w:pPr>
                  <w:r>
                    <w:rPr>
                      <w:rFonts w:hint="eastAsia"/>
                      <w:szCs w:val="21"/>
                      <w:lang w:val="en-US" w:eastAsia="zh-CN"/>
                    </w:rPr>
                    <w:t>昼、夜间</w:t>
                  </w:r>
                </w:p>
              </w:tc>
              <w:tc>
                <w:tcPr>
                  <w:tcW w:w="408" w:type="pct"/>
                  <w:vAlign w:val="center"/>
                </w:tcPr>
                <w:p w14:paraId="7DA60FCC">
                  <w:pPr>
                    <w:jc w:val="center"/>
                    <w:rPr>
                      <w:szCs w:val="21"/>
                    </w:rPr>
                  </w:pPr>
                  <w:r>
                    <w:rPr>
                      <w:rFonts w:hint="eastAsia"/>
                      <w:szCs w:val="21"/>
                    </w:rPr>
                    <w:t>15</w:t>
                  </w:r>
                </w:p>
              </w:tc>
              <w:tc>
                <w:tcPr>
                  <w:tcW w:w="327" w:type="pct"/>
                  <w:vAlign w:val="center"/>
                </w:tcPr>
                <w:p w14:paraId="66B8F520">
                  <w:pPr>
                    <w:jc w:val="center"/>
                    <w:rPr>
                      <w:rFonts w:hint="default" w:eastAsia="宋体"/>
                      <w:szCs w:val="21"/>
                      <w:lang w:val="en-US" w:eastAsia="zh-CN"/>
                    </w:rPr>
                  </w:pPr>
                  <w:r>
                    <w:rPr>
                      <w:rFonts w:hint="eastAsia"/>
                      <w:szCs w:val="21"/>
                      <w:lang w:val="en-US" w:eastAsia="zh-CN"/>
                    </w:rPr>
                    <w:t>32</w:t>
                  </w:r>
                </w:p>
              </w:tc>
              <w:tc>
                <w:tcPr>
                  <w:tcW w:w="309" w:type="pct"/>
                  <w:vAlign w:val="center"/>
                </w:tcPr>
                <w:p w14:paraId="60A0BBBE">
                  <w:pPr>
                    <w:jc w:val="center"/>
                    <w:rPr>
                      <w:szCs w:val="21"/>
                    </w:rPr>
                  </w:pPr>
                  <w:r>
                    <w:rPr>
                      <w:rFonts w:hint="eastAsia"/>
                      <w:szCs w:val="21"/>
                    </w:rPr>
                    <w:t>1</w:t>
                  </w:r>
                  <w:r>
                    <w:rPr>
                      <w:szCs w:val="21"/>
                    </w:rPr>
                    <w:t>m</w:t>
                  </w:r>
                </w:p>
              </w:tc>
            </w:tr>
            <w:tr w14:paraId="27DE02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97" w:type="pct"/>
                  <w:vAlign w:val="center"/>
                </w:tcPr>
                <w:p w14:paraId="2AC39442">
                  <w:pPr>
                    <w:jc w:val="center"/>
                    <w:rPr>
                      <w:szCs w:val="21"/>
                    </w:rPr>
                  </w:pPr>
                  <w:r>
                    <w:rPr>
                      <w:rFonts w:hint="eastAsia"/>
                      <w:szCs w:val="21"/>
                    </w:rPr>
                    <w:t>2</w:t>
                  </w:r>
                </w:p>
              </w:tc>
              <w:tc>
                <w:tcPr>
                  <w:tcW w:w="269" w:type="pct"/>
                  <w:vMerge w:val="continue"/>
                  <w:vAlign w:val="center"/>
                </w:tcPr>
                <w:p w14:paraId="2C1B6D83">
                  <w:pPr>
                    <w:jc w:val="center"/>
                    <w:rPr>
                      <w:szCs w:val="21"/>
                    </w:rPr>
                  </w:pPr>
                </w:p>
              </w:tc>
              <w:tc>
                <w:tcPr>
                  <w:tcW w:w="433" w:type="pct"/>
                  <w:vAlign w:val="center"/>
                </w:tcPr>
                <w:p w14:paraId="334503A5">
                  <w:pPr>
                    <w:widowControl/>
                    <w:snapToGrid w:val="0"/>
                    <w:jc w:val="center"/>
                    <w:textAlignment w:val="center"/>
                    <w:rPr>
                      <w:szCs w:val="21"/>
                    </w:rPr>
                  </w:pPr>
                  <w:r>
                    <w:rPr>
                      <w:rFonts w:hint="eastAsia"/>
                      <w:color w:val="000000"/>
                      <w:szCs w:val="21"/>
                    </w:rPr>
                    <w:t>内雕打印机4台</w:t>
                  </w:r>
                </w:p>
              </w:tc>
              <w:tc>
                <w:tcPr>
                  <w:tcW w:w="234" w:type="pct"/>
                  <w:vAlign w:val="center"/>
                </w:tcPr>
                <w:p w14:paraId="79A9AE99">
                  <w:pPr>
                    <w:jc w:val="center"/>
                    <w:rPr>
                      <w:szCs w:val="21"/>
                    </w:rPr>
                  </w:pPr>
                  <w:r>
                    <w:rPr>
                      <w:rFonts w:hint="eastAsia"/>
                      <w:szCs w:val="21"/>
                    </w:rPr>
                    <w:t>/</w:t>
                  </w:r>
                </w:p>
              </w:tc>
              <w:tc>
                <w:tcPr>
                  <w:tcW w:w="846" w:type="pct"/>
                  <w:vAlign w:val="center"/>
                </w:tcPr>
                <w:p w14:paraId="7D9C25BB">
                  <w:pPr>
                    <w:jc w:val="center"/>
                    <w:rPr>
                      <w:szCs w:val="21"/>
                    </w:rPr>
                  </w:pPr>
                  <w:r>
                    <w:rPr>
                      <w:rFonts w:hint="eastAsia"/>
                      <w:szCs w:val="21"/>
                    </w:rPr>
                    <w:t>80</w:t>
                  </w:r>
                  <w:r>
                    <w:rPr>
                      <w:szCs w:val="21"/>
                    </w:rPr>
                    <w:t>/1</w:t>
                  </w:r>
                </w:p>
              </w:tc>
              <w:tc>
                <w:tcPr>
                  <w:tcW w:w="388" w:type="pct"/>
                  <w:vMerge w:val="continue"/>
                  <w:vAlign w:val="center"/>
                </w:tcPr>
                <w:p w14:paraId="6A606467">
                  <w:pPr>
                    <w:jc w:val="center"/>
                    <w:rPr>
                      <w:szCs w:val="21"/>
                    </w:rPr>
                  </w:pPr>
                </w:p>
              </w:tc>
              <w:tc>
                <w:tcPr>
                  <w:tcW w:w="259" w:type="pct"/>
                  <w:vAlign w:val="center"/>
                </w:tcPr>
                <w:p w14:paraId="0EF8ABCC">
                  <w:pPr>
                    <w:jc w:val="center"/>
                    <w:rPr>
                      <w:rFonts w:hint="default" w:eastAsia="宋体"/>
                      <w:szCs w:val="21"/>
                      <w:lang w:val="en-US" w:eastAsia="zh-CN"/>
                    </w:rPr>
                  </w:pPr>
                  <w:r>
                    <w:rPr>
                      <w:rFonts w:hint="eastAsia"/>
                      <w:szCs w:val="21"/>
                      <w:lang w:val="en-US" w:eastAsia="zh-CN"/>
                    </w:rPr>
                    <w:t>80</w:t>
                  </w:r>
                </w:p>
              </w:tc>
              <w:tc>
                <w:tcPr>
                  <w:tcW w:w="225" w:type="pct"/>
                  <w:vAlign w:val="center"/>
                </w:tcPr>
                <w:p w14:paraId="74E3658E">
                  <w:pPr>
                    <w:jc w:val="center"/>
                    <w:rPr>
                      <w:rFonts w:hint="default" w:eastAsia="宋体"/>
                      <w:szCs w:val="21"/>
                      <w:lang w:val="en-US" w:eastAsia="zh-CN"/>
                    </w:rPr>
                  </w:pPr>
                  <w:r>
                    <w:rPr>
                      <w:rFonts w:hint="eastAsia"/>
                      <w:szCs w:val="21"/>
                      <w:lang w:val="en-US" w:eastAsia="zh-CN"/>
                    </w:rPr>
                    <w:t>164</w:t>
                  </w:r>
                </w:p>
              </w:tc>
              <w:tc>
                <w:tcPr>
                  <w:tcW w:w="259" w:type="pct"/>
                  <w:vAlign w:val="center"/>
                </w:tcPr>
                <w:p w14:paraId="52BBFE7B">
                  <w:pPr>
                    <w:jc w:val="center"/>
                    <w:rPr>
                      <w:szCs w:val="21"/>
                    </w:rPr>
                  </w:pPr>
                  <w:r>
                    <w:rPr>
                      <w:rFonts w:hint="eastAsia"/>
                      <w:szCs w:val="21"/>
                    </w:rPr>
                    <w:t>9</w:t>
                  </w:r>
                </w:p>
              </w:tc>
              <w:tc>
                <w:tcPr>
                  <w:tcW w:w="287" w:type="pct"/>
                  <w:vAlign w:val="center"/>
                </w:tcPr>
                <w:p w14:paraId="111EA54E">
                  <w:pPr>
                    <w:jc w:val="center"/>
                    <w:rPr>
                      <w:rFonts w:hint="default" w:eastAsia="宋体"/>
                      <w:szCs w:val="21"/>
                      <w:lang w:val="en-US" w:eastAsia="zh-CN"/>
                    </w:rPr>
                  </w:pPr>
                  <w:r>
                    <w:rPr>
                      <w:rFonts w:hint="eastAsia"/>
                      <w:szCs w:val="21"/>
                      <w:lang w:val="en-US" w:eastAsia="zh-CN"/>
                    </w:rPr>
                    <w:t>10</w:t>
                  </w:r>
                </w:p>
              </w:tc>
              <w:tc>
                <w:tcPr>
                  <w:tcW w:w="327" w:type="pct"/>
                  <w:vAlign w:val="center"/>
                </w:tcPr>
                <w:p w14:paraId="5FB85509">
                  <w:pPr>
                    <w:widowControl/>
                    <w:snapToGrid w:val="0"/>
                    <w:jc w:val="center"/>
                    <w:textAlignment w:val="center"/>
                    <w:rPr>
                      <w:rFonts w:hint="default" w:eastAsia="宋体"/>
                      <w:szCs w:val="21"/>
                      <w:lang w:val="en-US" w:eastAsia="zh-CN"/>
                    </w:rPr>
                  </w:pPr>
                  <w:r>
                    <w:rPr>
                      <w:rFonts w:hint="eastAsia"/>
                      <w:szCs w:val="21"/>
                      <w:lang w:val="en-US" w:eastAsia="zh-CN"/>
                    </w:rPr>
                    <w:t>53.02</w:t>
                  </w:r>
                </w:p>
              </w:tc>
              <w:tc>
                <w:tcPr>
                  <w:tcW w:w="224" w:type="pct"/>
                  <w:vMerge w:val="continue"/>
                  <w:tcMar>
                    <w:left w:w="57" w:type="dxa"/>
                    <w:right w:w="57" w:type="dxa"/>
                  </w:tcMar>
                  <w:vAlign w:val="center"/>
                </w:tcPr>
                <w:p w14:paraId="3DA320D9">
                  <w:pPr>
                    <w:jc w:val="center"/>
                    <w:rPr>
                      <w:szCs w:val="21"/>
                    </w:rPr>
                  </w:pPr>
                </w:p>
              </w:tc>
              <w:tc>
                <w:tcPr>
                  <w:tcW w:w="408" w:type="pct"/>
                  <w:vAlign w:val="center"/>
                </w:tcPr>
                <w:p w14:paraId="362FF1DC">
                  <w:pPr>
                    <w:jc w:val="center"/>
                    <w:rPr>
                      <w:szCs w:val="21"/>
                    </w:rPr>
                  </w:pPr>
                  <w:r>
                    <w:rPr>
                      <w:rFonts w:hint="eastAsia"/>
                      <w:szCs w:val="21"/>
                    </w:rPr>
                    <w:t>15</w:t>
                  </w:r>
                </w:p>
              </w:tc>
              <w:tc>
                <w:tcPr>
                  <w:tcW w:w="327" w:type="pct"/>
                  <w:vAlign w:val="center"/>
                </w:tcPr>
                <w:p w14:paraId="685E5445">
                  <w:pPr>
                    <w:jc w:val="center"/>
                    <w:rPr>
                      <w:rFonts w:hint="default" w:eastAsia="宋体"/>
                      <w:szCs w:val="21"/>
                      <w:lang w:val="en-US" w:eastAsia="zh-CN"/>
                    </w:rPr>
                  </w:pPr>
                  <w:r>
                    <w:rPr>
                      <w:rFonts w:hint="eastAsia"/>
                      <w:szCs w:val="21"/>
                      <w:lang w:val="en-US" w:eastAsia="zh-CN"/>
                    </w:rPr>
                    <w:t>38.02</w:t>
                  </w:r>
                </w:p>
              </w:tc>
              <w:tc>
                <w:tcPr>
                  <w:tcW w:w="309" w:type="pct"/>
                  <w:vAlign w:val="center"/>
                </w:tcPr>
                <w:p w14:paraId="05D3C29F">
                  <w:pPr>
                    <w:jc w:val="center"/>
                    <w:rPr>
                      <w:szCs w:val="21"/>
                    </w:rPr>
                  </w:pPr>
                  <w:r>
                    <w:rPr>
                      <w:rFonts w:hint="eastAsia"/>
                      <w:szCs w:val="21"/>
                    </w:rPr>
                    <w:t>1</w:t>
                  </w:r>
                  <w:r>
                    <w:rPr>
                      <w:szCs w:val="21"/>
                    </w:rPr>
                    <w:t>m</w:t>
                  </w:r>
                </w:p>
              </w:tc>
            </w:tr>
            <w:tr w14:paraId="0802D5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97" w:type="pct"/>
                  <w:vAlign w:val="center"/>
                </w:tcPr>
                <w:p w14:paraId="0B0A9106">
                  <w:pPr>
                    <w:jc w:val="center"/>
                    <w:rPr>
                      <w:szCs w:val="21"/>
                    </w:rPr>
                  </w:pPr>
                  <w:r>
                    <w:rPr>
                      <w:rFonts w:hint="eastAsia"/>
                      <w:szCs w:val="21"/>
                    </w:rPr>
                    <w:t>3</w:t>
                  </w:r>
                </w:p>
              </w:tc>
              <w:tc>
                <w:tcPr>
                  <w:tcW w:w="269" w:type="pct"/>
                  <w:vAlign w:val="center"/>
                </w:tcPr>
                <w:p w14:paraId="2F6A593D">
                  <w:pPr>
                    <w:jc w:val="center"/>
                    <w:rPr>
                      <w:szCs w:val="21"/>
                    </w:rPr>
                  </w:pPr>
                  <w:r>
                    <w:rPr>
                      <w:rFonts w:hint="eastAsia"/>
                      <w:szCs w:val="21"/>
                    </w:rPr>
                    <w:t>3#厂房</w:t>
                  </w:r>
                </w:p>
              </w:tc>
              <w:tc>
                <w:tcPr>
                  <w:tcW w:w="433" w:type="pct"/>
                  <w:vAlign w:val="center"/>
                </w:tcPr>
                <w:p w14:paraId="1DEE4CA2">
                  <w:pPr>
                    <w:jc w:val="center"/>
                    <w:rPr>
                      <w:szCs w:val="21"/>
                    </w:rPr>
                  </w:pPr>
                  <w:r>
                    <w:rPr>
                      <w:rFonts w:hint="eastAsia"/>
                      <w:szCs w:val="21"/>
                    </w:rPr>
                    <w:t>全自动</w:t>
                  </w:r>
                  <w:r>
                    <w:rPr>
                      <w:rFonts w:hint="eastAsia"/>
                      <w:szCs w:val="21"/>
                      <w:lang w:val="en-US" w:eastAsia="zh-CN"/>
                    </w:rPr>
                    <w:t>直</w:t>
                  </w:r>
                  <w:r>
                    <w:rPr>
                      <w:rFonts w:hint="eastAsia"/>
                      <w:szCs w:val="21"/>
                    </w:rPr>
                    <w:t>印机1台</w:t>
                  </w:r>
                </w:p>
              </w:tc>
              <w:tc>
                <w:tcPr>
                  <w:tcW w:w="234" w:type="pct"/>
                  <w:vAlign w:val="center"/>
                </w:tcPr>
                <w:p w14:paraId="59FEA3AA">
                  <w:pPr>
                    <w:jc w:val="center"/>
                    <w:rPr>
                      <w:szCs w:val="21"/>
                    </w:rPr>
                  </w:pPr>
                  <w:r>
                    <w:rPr>
                      <w:rFonts w:hint="eastAsia"/>
                      <w:szCs w:val="21"/>
                    </w:rPr>
                    <w:t>/</w:t>
                  </w:r>
                </w:p>
              </w:tc>
              <w:tc>
                <w:tcPr>
                  <w:tcW w:w="846" w:type="pct"/>
                  <w:vAlign w:val="center"/>
                </w:tcPr>
                <w:p w14:paraId="18D98F2C">
                  <w:pPr>
                    <w:jc w:val="center"/>
                    <w:rPr>
                      <w:szCs w:val="21"/>
                    </w:rPr>
                  </w:pPr>
                  <w:r>
                    <w:rPr>
                      <w:rFonts w:hint="eastAsia"/>
                      <w:szCs w:val="21"/>
                    </w:rPr>
                    <w:t>75</w:t>
                  </w:r>
                  <w:r>
                    <w:rPr>
                      <w:szCs w:val="21"/>
                    </w:rPr>
                    <w:t>/1</w:t>
                  </w:r>
                </w:p>
              </w:tc>
              <w:tc>
                <w:tcPr>
                  <w:tcW w:w="388" w:type="pct"/>
                  <w:vMerge w:val="continue"/>
                  <w:vAlign w:val="center"/>
                </w:tcPr>
                <w:p w14:paraId="6D56395D">
                  <w:pPr>
                    <w:jc w:val="center"/>
                    <w:rPr>
                      <w:szCs w:val="21"/>
                    </w:rPr>
                  </w:pPr>
                </w:p>
              </w:tc>
              <w:tc>
                <w:tcPr>
                  <w:tcW w:w="259" w:type="pct"/>
                  <w:vAlign w:val="center"/>
                </w:tcPr>
                <w:p w14:paraId="1FE38F56">
                  <w:pPr>
                    <w:jc w:val="center"/>
                    <w:rPr>
                      <w:rFonts w:hint="default" w:eastAsia="宋体"/>
                      <w:szCs w:val="21"/>
                      <w:lang w:val="en-US" w:eastAsia="zh-CN"/>
                    </w:rPr>
                  </w:pPr>
                  <w:r>
                    <w:rPr>
                      <w:rFonts w:hint="eastAsia"/>
                      <w:szCs w:val="21"/>
                      <w:lang w:val="en-US" w:eastAsia="zh-CN"/>
                    </w:rPr>
                    <w:t>243</w:t>
                  </w:r>
                </w:p>
              </w:tc>
              <w:tc>
                <w:tcPr>
                  <w:tcW w:w="225" w:type="pct"/>
                  <w:vAlign w:val="center"/>
                </w:tcPr>
                <w:p w14:paraId="77FE951B">
                  <w:pPr>
                    <w:jc w:val="center"/>
                    <w:rPr>
                      <w:rFonts w:hint="default" w:eastAsia="宋体"/>
                      <w:szCs w:val="21"/>
                      <w:lang w:val="en-US" w:eastAsia="zh-CN"/>
                    </w:rPr>
                  </w:pPr>
                  <w:r>
                    <w:rPr>
                      <w:rFonts w:hint="eastAsia"/>
                      <w:szCs w:val="21"/>
                      <w:lang w:val="en-US" w:eastAsia="zh-CN"/>
                    </w:rPr>
                    <w:t>144</w:t>
                  </w:r>
                </w:p>
              </w:tc>
              <w:tc>
                <w:tcPr>
                  <w:tcW w:w="259" w:type="pct"/>
                  <w:vAlign w:val="center"/>
                </w:tcPr>
                <w:p w14:paraId="7CAB15DB">
                  <w:pPr>
                    <w:jc w:val="center"/>
                    <w:rPr>
                      <w:szCs w:val="21"/>
                    </w:rPr>
                  </w:pPr>
                  <w:r>
                    <w:rPr>
                      <w:rFonts w:hint="eastAsia"/>
                      <w:szCs w:val="21"/>
                    </w:rPr>
                    <w:t>1</w:t>
                  </w:r>
                </w:p>
              </w:tc>
              <w:tc>
                <w:tcPr>
                  <w:tcW w:w="287" w:type="pct"/>
                  <w:vAlign w:val="center"/>
                </w:tcPr>
                <w:p w14:paraId="4A7265DF">
                  <w:pPr>
                    <w:jc w:val="center"/>
                    <w:rPr>
                      <w:rFonts w:hint="eastAsia" w:eastAsia="宋体"/>
                      <w:szCs w:val="21"/>
                      <w:lang w:val="en-US" w:eastAsia="zh-CN"/>
                    </w:rPr>
                  </w:pPr>
                  <w:r>
                    <w:rPr>
                      <w:rFonts w:hint="eastAsia"/>
                      <w:szCs w:val="21"/>
                      <w:lang w:val="en-US" w:eastAsia="zh-CN"/>
                    </w:rPr>
                    <w:t>5</w:t>
                  </w:r>
                </w:p>
              </w:tc>
              <w:tc>
                <w:tcPr>
                  <w:tcW w:w="327" w:type="pct"/>
                  <w:vAlign w:val="center"/>
                </w:tcPr>
                <w:p w14:paraId="21BB0AD5">
                  <w:pPr>
                    <w:widowControl/>
                    <w:snapToGrid w:val="0"/>
                    <w:jc w:val="center"/>
                    <w:textAlignment w:val="center"/>
                    <w:rPr>
                      <w:rFonts w:hint="default" w:eastAsia="宋体"/>
                      <w:szCs w:val="21"/>
                      <w:lang w:val="en-US" w:eastAsia="zh-CN"/>
                    </w:rPr>
                  </w:pPr>
                  <w:r>
                    <w:rPr>
                      <w:rFonts w:hint="eastAsia"/>
                      <w:szCs w:val="21"/>
                      <w:lang w:val="en-US" w:eastAsia="zh-CN"/>
                    </w:rPr>
                    <w:t>53.02</w:t>
                  </w:r>
                </w:p>
              </w:tc>
              <w:tc>
                <w:tcPr>
                  <w:tcW w:w="224" w:type="pct"/>
                  <w:vMerge w:val="continue"/>
                  <w:tcMar>
                    <w:left w:w="57" w:type="dxa"/>
                    <w:right w:w="57" w:type="dxa"/>
                  </w:tcMar>
                  <w:vAlign w:val="center"/>
                </w:tcPr>
                <w:p w14:paraId="1F9B59A9">
                  <w:pPr>
                    <w:jc w:val="center"/>
                    <w:rPr>
                      <w:szCs w:val="21"/>
                    </w:rPr>
                  </w:pPr>
                </w:p>
              </w:tc>
              <w:tc>
                <w:tcPr>
                  <w:tcW w:w="408" w:type="pct"/>
                  <w:vAlign w:val="center"/>
                </w:tcPr>
                <w:p w14:paraId="25CB586D">
                  <w:pPr>
                    <w:jc w:val="center"/>
                    <w:rPr>
                      <w:szCs w:val="21"/>
                    </w:rPr>
                  </w:pPr>
                  <w:r>
                    <w:rPr>
                      <w:rFonts w:hint="eastAsia"/>
                      <w:szCs w:val="21"/>
                    </w:rPr>
                    <w:t>15</w:t>
                  </w:r>
                </w:p>
              </w:tc>
              <w:tc>
                <w:tcPr>
                  <w:tcW w:w="327" w:type="pct"/>
                  <w:vAlign w:val="center"/>
                </w:tcPr>
                <w:p w14:paraId="050C11A3">
                  <w:pPr>
                    <w:jc w:val="center"/>
                    <w:rPr>
                      <w:rFonts w:hint="default" w:eastAsia="宋体"/>
                      <w:szCs w:val="21"/>
                      <w:lang w:val="en-US" w:eastAsia="zh-CN"/>
                    </w:rPr>
                  </w:pPr>
                  <w:r>
                    <w:rPr>
                      <w:rFonts w:hint="eastAsia"/>
                      <w:szCs w:val="21"/>
                      <w:lang w:val="en-US" w:eastAsia="zh-CN"/>
                    </w:rPr>
                    <w:t>38.02</w:t>
                  </w:r>
                </w:p>
              </w:tc>
              <w:tc>
                <w:tcPr>
                  <w:tcW w:w="309" w:type="pct"/>
                  <w:vAlign w:val="center"/>
                </w:tcPr>
                <w:p w14:paraId="3B0D4AFE">
                  <w:pPr>
                    <w:jc w:val="center"/>
                    <w:rPr>
                      <w:szCs w:val="21"/>
                    </w:rPr>
                  </w:pPr>
                  <w:r>
                    <w:rPr>
                      <w:rFonts w:hint="eastAsia"/>
                      <w:szCs w:val="21"/>
                    </w:rPr>
                    <w:t>1</w:t>
                  </w:r>
                  <w:r>
                    <w:rPr>
                      <w:szCs w:val="21"/>
                    </w:rPr>
                    <w:t>m</w:t>
                  </w:r>
                </w:p>
              </w:tc>
            </w:tr>
            <w:tr w14:paraId="037F30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97" w:type="pct"/>
                  <w:vAlign w:val="center"/>
                </w:tcPr>
                <w:p w14:paraId="6FCA55C8">
                  <w:pPr>
                    <w:jc w:val="center"/>
                    <w:rPr>
                      <w:szCs w:val="21"/>
                    </w:rPr>
                  </w:pPr>
                  <w:r>
                    <w:rPr>
                      <w:rFonts w:hint="eastAsia"/>
                      <w:szCs w:val="21"/>
                    </w:rPr>
                    <w:t>4</w:t>
                  </w:r>
                </w:p>
              </w:tc>
              <w:tc>
                <w:tcPr>
                  <w:tcW w:w="269" w:type="pct"/>
                  <w:vMerge w:val="restart"/>
                  <w:vAlign w:val="center"/>
                </w:tcPr>
                <w:p w14:paraId="4049C0C2">
                  <w:pPr>
                    <w:jc w:val="center"/>
                    <w:rPr>
                      <w:szCs w:val="21"/>
                    </w:rPr>
                  </w:pPr>
                  <w:r>
                    <w:rPr>
                      <w:rFonts w:hint="eastAsia"/>
                      <w:szCs w:val="21"/>
                      <w:lang w:val="en-US" w:eastAsia="zh-CN"/>
                    </w:rPr>
                    <w:t>4</w:t>
                  </w:r>
                  <w:r>
                    <w:rPr>
                      <w:rFonts w:hint="eastAsia"/>
                      <w:szCs w:val="21"/>
                    </w:rPr>
                    <w:t>#厂房</w:t>
                  </w:r>
                </w:p>
              </w:tc>
              <w:tc>
                <w:tcPr>
                  <w:tcW w:w="433" w:type="pct"/>
                  <w:vAlign w:val="center"/>
                </w:tcPr>
                <w:p w14:paraId="6874A9EA">
                  <w:pPr>
                    <w:jc w:val="center"/>
                  </w:pPr>
                  <w:r>
                    <w:rPr>
                      <w:rFonts w:hint="eastAsia"/>
                      <w:lang w:val="en-US" w:eastAsia="zh-CN"/>
                    </w:rPr>
                    <w:t>6</w:t>
                  </w:r>
                  <w:r>
                    <w:rPr>
                      <w:rFonts w:hint="eastAsia"/>
                    </w:rPr>
                    <w:t>色全自动直印机1台</w:t>
                  </w:r>
                </w:p>
              </w:tc>
              <w:tc>
                <w:tcPr>
                  <w:tcW w:w="234" w:type="pct"/>
                  <w:vAlign w:val="center"/>
                </w:tcPr>
                <w:p w14:paraId="5EA7753C">
                  <w:pPr>
                    <w:jc w:val="center"/>
                    <w:rPr>
                      <w:szCs w:val="21"/>
                    </w:rPr>
                  </w:pPr>
                  <w:r>
                    <w:rPr>
                      <w:rFonts w:hint="eastAsia"/>
                      <w:szCs w:val="21"/>
                    </w:rPr>
                    <w:t>/</w:t>
                  </w:r>
                </w:p>
              </w:tc>
              <w:tc>
                <w:tcPr>
                  <w:tcW w:w="846" w:type="pct"/>
                  <w:vAlign w:val="center"/>
                </w:tcPr>
                <w:p w14:paraId="594968F8">
                  <w:pPr>
                    <w:jc w:val="center"/>
                    <w:rPr>
                      <w:szCs w:val="21"/>
                    </w:rPr>
                  </w:pPr>
                  <w:r>
                    <w:rPr>
                      <w:rFonts w:hint="eastAsia"/>
                      <w:szCs w:val="21"/>
                    </w:rPr>
                    <w:t>75/1</w:t>
                  </w:r>
                </w:p>
              </w:tc>
              <w:tc>
                <w:tcPr>
                  <w:tcW w:w="388" w:type="pct"/>
                  <w:vMerge w:val="continue"/>
                  <w:vAlign w:val="center"/>
                </w:tcPr>
                <w:p w14:paraId="704CDAB1">
                  <w:pPr>
                    <w:jc w:val="center"/>
                    <w:rPr>
                      <w:szCs w:val="21"/>
                    </w:rPr>
                  </w:pPr>
                </w:p>
              </w:tc>
              <w:tc>
                <w:tcPr>
                  <w:tcW w:w="259" w:type="pct"/>
                  <w:vAlign w:val="center"/>
                </w:tcPr>
                <w:p w14:paraId="4F6EA805">
                  <w:pPr>
                    <w:jc w:val="center"/>
                    <w:rPr>
                      <w:rFonts w:hint="default" w:eastAsia="宋体"/>
                      <w:szCs w:val="21"/>
                      <w:lang w:val="en-US" w:eastAsia="zh-CN"/>
                    </w:rPr>
                  </w:pPr>
                  <w:r>
                    <w:rPr>
                      <w:rFonts w:hint="eastAsia"/>
                      <w:szCs w:val="21"/>
                      <w:lang w:val="en-US" w:eastAsia="zh-CN"/>
                    </w:rPr>
                    <w:t>198</w:t>
                  </w:r>
                </w:p>
              </w:tc>
              <w:tc>
                <w:tcPr>
                  <w:tcW w:w="225" w:type="pct"/>
                  <w:vAlign w:val="center"/>
                </w:tcPr>
                <w:p w14:paraId="63309B0F">
                  <w:pPr>
                    <w:jc w:val="center"/>
                    <w:rPr>
                      <w:rFonts w:hint="default" w:eastAsia="宋体"/>
                      <w:szCs w:val="21"/>
                      <w:lang w:val="en-US" w:eastAsia="zh-CN"/>
                    </w:rPr>
                  </w:pPr>
                  <w:r>
                    <w:rPr>
                      <w:rFonts w:hint="eastAsia"/>
                      <w:szCs w:val="21"/>
                      <w:lang w:val="en-US" w:eastAsia="zh-CN"/>
                    </w:rPr>
                    <w:t>146</w:t>
                  </w:r>
                </w:p>
              </w:tc>
              <w:tc>
                <w:tcPr>
                  <w:tcW w:w="259" w:type="pct"/>
                  <w:vAlign w:val="center"/>
                </w:tcPr>
                <w:p w14:paraId="5AB98715">
                  <w:pPr>
                    <w:jc w:val="center"/>
                    <w:rPr>
                      <w:szCs w:val="21"/>
                    </w:rPr>
                  </w:pPr>
                  <w:r>
                    <w:rPr>
                      <w:rFonts w:hint="eastAsia"/>
                      <w:szCs w:val="21"/>
                    </w:rPr>
                    <w:t>1</w:t>
                  </w:r>
                </w:p>
              </w:tc>
              <w:tc>
                <w:tcPr>
                  <w:tcW w:w="287" w:type="pct"/>
                  <w:vAlign w:val="center"/>
                </w:tcPr>
                <w:p w14:paraId="1A801B68">
                  <w:pPr>
                    <w:jc w:val="center"/>
                    <w:rPr>
                      <w:rFonts w:hint="eastAsia" w:eastAsia="宋体"/>
                      <w:szCs w:val="21"/>
                      <w:lang w:val="en-US" w:eastAsia="zh-CN"/>
                    </w:rPr>
                  </w:pPr>
                  <w:r>
                    <w:rPr>
                      <w:rFonts w:hint="eastAsia"/>
                      <w:szCs w:val="21"/>
                      <w:lang w:val="en-US" w:eastAsia="zh-CN"/>
                    </w:rPr>
                    <w:t>5</w:t>
                  </w:r>
                </w:p>
              </w:tc>
              <w:tc>
                <w:tcPr>
                  <w:tcW w:w="327" w:type="pct"/>
                  <w:vAlign w:val="center"/>
                </w:tcPr>
                <w:p w14:paraId="3FA8120A">
                  <w:pPr>
                    <w:widowControl/>
                    <w:snapToGrid w:val="0"/>
                    <w:jc w:val="center"/>
                    <w:textAlignment w:val="center"/>
                    <w:rPr>
                      <w:color w:val="000000"/>
                      <w:szCs w:val="21"/>
                    </w:rPr>
                  </w:pPr>
                  <w:r>
                    <w:rPr>
                      <w:rFonts w:hint="eastAsia"/>
                      <w:szCs w:val="21"/>
                      <w:lang w:val="en-US" w:eastAsia="zh-CN"/>
                    </w:rPr>
                    <w:t>53.02</w:t>
                  </w:r>
                </w:p>
              </w:tc>
              <w:tc>
                <w:tcPr>
                  <w:tcW w:w="224" w:type="pct"/>
                  <w:vMerge w:val="continue"/>
                  <w:tcMar>
                    <w:left w:w="57" w:type="dxa"/>
                    <w:right w:w="57" w:type="dxa"/>
                  </w:tcMar>
                  <w:vAlign w:val="center"/>
                </w:tcPr>
                <w:p w14:paraId="2DC8D862">
                  <w:pPr>
                    <w:jc w:val="center"/>
                    <w:rPr>
                      <w:szCs w:val="21"/>
                    </w:rPr>
                  </w:pPr>
                </w:p>
              </w:tc>
              <w:tc>
                <w:tcPr>
                  <w:tcW w:w="408" w:type="pct"/>
                  <w:vAlign w:val="center"/>
                </w:tcPr>
                <w:p w14:paraId="0D21FDC6">
                  <w:pPr>
                    <w:jc w:val="center"/>
                    <w:rPr>
                      <w:szCs w:val="21"/>
                    </w:rPr>
                  </w:pPr>
                  <w:r>
                    <w:rPr>
                      <w:rFonts w:hint="eastAsia"/>
                      <w:szCs w:val="21"/>
                    </w:rPr>
                    <w:t>15</w:t>
                  </w:r>
                </w:p>
              </w:tc>
              <w:tc>
                <w:tcPr>
                  <w:tcW w:w="327" w:type="pct"/>
                  <w:vAlign w:val="center"/>
                </w:tcPr>
                <w:p w14:paraId="6C11440F">
                  <w:pPr>
                    <w:jc w:val="center"/>
                    <w:rPr>
                      <w:rFonts w:hint="default"/>
                      <w:szCs w:val="21"/>
                      <w:lang w:val="en-US"/>
                    </w:rPr>
                  </w:pPr>
                  <w:r>
                    <w:rPr>
                      <w:rFonts w:hint="eastAsia"/>
                      <w:szCs w:val="21"/>
                      <w:lang w:val="en-US" w:eastAsia="zh-CN"/>
                    </w:rPr>
                    <w:t>38.02</w:t>
                  </w:r>
                </w:p>
              </w:tc>
              <w:tc>
                <w:tcPr>
                  <w:tcW w:w="309" w:type="pct"/>
                  <w:shd w:val="clear" w:color="auto" w:fill="auto"/>
                  <w:vAlign w:val="center"/>
                </w:tcPr>
                <w:p w14:paraId="6D6CD6F4">
                  <w:pPr>
                    <w:jc w:val="center"/>
                    <w:rPr>
                      <w:szCs w:val="21"/>
                    </w:rPr>
                  </w:pPr>
                  <w:r>
                    <w:rPr>
                      <w:rFonts w:hint="eastAsia"/>
                      <w:szCs w:val="21"/>
                    </w:rPr>
                    <w:t>1</w:t>
                  </w:r>
                  <w:r>
                    <w:rPr>
                      <w:szCs w:val="21"/>
                    </w:rPr>
                    <w:t>m</w:t>
                  </w:r>
                </w:p>
              </w:tc>
            </w:tr>
            <w:tr w14:paraId="60FB08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97" w:type="pct"/>
                  <w:vAlign w:val="center"/>
                </w:tcPr>
                <w:p w14:paraId="4182B9F2">
                  <w:pPr>
                    <w:jc w:val="center"/>
                    <w:rPr>
                      <w:szCs w:val="21"/>
                    </w:rPr>
                  </w:pPr>
                  <w:r>
                    <w:rPr>
                      <w:rFonts w:hint="eastAsia"/>
                      <w:szCs w:val="21"/>
                    </w:rPr>
                    <w:t>5</w:t>
                  </w:r>
                </w:p>
              </w:tc>
              <w:tc>
                <w:tcPr>
                  <w:tcW w:w="269" w:type="pct"/>
                  <w:vMerge w:val="continue"/>
                  <w:vAlign w:val="center"/>
                </w:tcPr>
                <w:p w14:paraId="4F245813">
                  <w:pPr>
                    <w:jc w:val="center"/>
                    <w:rPr>
                      <w:szCs w:val="21"/>
                    </w:rPr>
                  </w:pPr>
                </w:p>
              </w:tc>
              <w:tc>
                <w:tcPr>
                  <w:tcW w:w="433" w:type="pct"/>
                  <w:vAlign w:val="center"/>
                </w:tcPr>
                <w:p w14:paraId="40539E9A">
                  <w:pPr>
                    <w:jc w:val="center"/>
                  </w:pPr>
                  <w:r>
                    <w:rPr>
                      <w:rFonts w:hint="eastAsia"/>
                    </w:rPr>
                    <w:t>半自动直印机</w:t>
                  </w:r>
                  <w:r>
                    <w:rPr>
                      <w:rFonts w:hint="eastAsia"/>
                      <w:lang w:val="en-US" w:eastAsia="zh-CN"/>
                    </w:rPr>
                    <w:t>1</w:t>
                  </w:r>
                  <w:r>
                    <w:rPr>
                      <w:rFonts w:hint="eastAsia"/>
                    </w:rPr>
                    <w:t>台</w:t>
                  </w:r>
                </w:p>
              </w:tc>
              <w:tc>
                <w:tcPr>
                  <w:tcW w:w="234" w:type="pct"/>
                  <w:vAlign w:val="center"/>
                </w:tcPr>
                <w:p w14:paraId="62F861A5">
                  <w:pPr>
                    <w:jc w:val="center"/>
                    <w:rPr>
                      <w:szCs w:val="21"/>
                    </w:rPr>
                  </w:pPr>
                  <w:r>
                    <w:rPr>
                      <w:rFonts w:hint="eastAsia"/>
                      <w:szCs w:val="21"/>
                    </w:rPr>
                    <w:t>/</w:t>
                  </w:r>
                </w:p>
              </w:tc>
              <w:tc>
                <w:tcPr>
                  <w:tcW w:w="846" w:type="pct"/>
                  <w:vAlign w:val="center"/>
                </w:tcPr>
                <w:p w14:paraId="6DC6DFC3">
                  <w:pPr>
                    <w:jc w:val="center"/>
                    <w:rPr>
                      <w:szCs w:val="21"/>
                    </w:rPr>
                  </w:pPr>
                  <w:r>
                    <w:rPr>
                      <w:rFonts w:hint="eastAsia"/>
                      <w:szCs w:val="21"/>
                    </w:rPr>
                    <w:t>75/1</w:t>
                  </w:r>
                </w:p>
              </w:tc>
              <w:tc>
                <w:tcPr>
                  <w:tcW w:w="388" w:type="pct"/>
                  <w:vMerge w:val="continue"/>
                  <w:vAlign w:val="center"/>
                </w:tcPr>
                <w:p w14:paraId="01834078">
                  <w:pPr>
                    <w:jc w:val="center"/>
                    <w:rPr>
                      <w:szCs w:val="21"/>
                    </w:rPr>
                  </w:pPr>
                </w:p>
              </w:tc>
              <w:tc>
                <w:tcPr>
                  <w:tcW w:w="259" w:type="pct"/>
                  <w:vAlign w:val="center"/>
                </w:tcPr>
                <w:p w14:paraId="234CDC31">
                  <w:pPr>
                    <w:jc w:val="center"/>
                    <w:rPr>
                      <w:rFonts w:hint="default" w:eastAsia="宋体"/>
                      <w:szCs w:val="21"/>
                      <w:lang w:val="en-US" w:eastAsia="zh-CN"/>
                    </w:rPr>
                  </w:pPr>
                  <w:r>
                    <w:rPr>
                      <w:rFonts w:hint="eastAsia"/>
                      <w:szCs w:val="21"/>
                      <w:lang w:val="en-US" w:eastAsia="zh-CN"/>
                    </w:rPr>
                    <w:t>192</w:t>
                  </w:r>
                </w:p>
              </w:tc>
              <w:tc>
                <w:tcPr>
                  <w:tcW w:w="225" w:type="pct"/>
                  <w:vAlign w:val="center"/>
                </w:tcPr>
                <w:p w14:paraId="56A7F7CD">
                  <w:pPr>
                    <w:jc w:val="center"/>
                    <w:rPr>
                      <w:rFonts w:hint="default" w:eastAsia="宋体"/>
                      <w:szCs w:val="21"/>
                      <w:lang w:val="en-US" w:eastAsia="zh-CN"/>
                    </w:rPr>
                  </w:pPr>
                  <w:r>
                    <w:rPr>
                      <w:rFonts w:hint="eastAsia"/>
                      <w:szCs w:val="21"/>
                      <w:lang w:val="en-US" w:eastAsia="zh-CN"/>
                    </w:rPr>
                    <w:t>147</w:t>
                  </w:r>
                </w:p>
              </w:tc>
              <w:tc>
                <w:tcPr>
                  <w:tcW w:w="259" w:type="pct"/>
                  <w:vAlign w:val="center"/>
                </w:tcPr>
                <w:p w14:paraId="04DA5B11">
                  <w:pPr>
                    <w:jc w:val="center"/>
                    <w:rPr>
                      <w:szCs w:val="21"/>
                    </w:rPr>
                  </w:pPr>
                  <w:r>
                    <w:rPr>
                      <w:rFonts w:hint="eastAsia"/>
                      <w:szCs w:val="21"/>
                    </w:rPr>
                    <w:t>1</w:t>
                  </w:r>
                </w:p>
              </w:tc>
              <w:tc>
                <w:tcPr>
                  <w:tcW w:w="287" w:type="pct"/>
                  <w:vAlign w:val="center"/>
                </w:tcPr>
                <w:p w14:paraId="47E4400A">
                  <w:pPr>
                    <w:jc w:val="center"/>
                    <w:rPr>
                      <w:rFonts w:hint="default" w:eastAsia="宋体"/>
                      <w:szCs w:val="21"/>
                      <w:lang w:val="en-US" w:eastAsia="zh-CN"/>
                    </w:rPr>
                  </w:pPr>
                  <w:r>
                    <w:rPr>
                      <w:rFonts w:hint="eastAsia"/>
                      <w:szCs w:val="21"/>
                      <w:lang w:val="en-US" w:eastAsia="zh-CN"/>
                    </w:rPr>
                    <w:t>3</w:t>
                  </w:r>
                </w:p>
              </w:tc>
              <w:tc>
                <w:tcPr>
                  <w:tcW w:w="327" w:type="pct"/>
                  <w:vAlign w:val="center"/>
                </w:tcPr>
                <w:p w14:paraId="1A79A790">
                  <w:pPr>
                    <w:widowControl/>
                    <w:snapToGrid w:val="0"/>
                    <w:jc w:val="center"/>
                    <w:textAlignment w:val="center"/>
                    <w:rPr>
                      <w:rFonts w:hint="default" w:eastAsia="宋体"/>
                      <w:color w:val="000000"/>
                      <w:szCs w:val="21"/>
                      <w:lang w:val="en-US" w:eastAsia="zh-CN"/>
                    </w:rPr>
                  </w:pPr>
                  <w:r>
                    <w:rPr>
                      <w:rFonts w:hint="eastAsia"/>
                      <w:color w:val="000000"/>
                      <w:szCs w:val="21"/>
                      <w:lang w:val="en-US" w:eastAsia="zh-CN"/>
                    </w:rPr>
                    <w:t>57.46</w:t>
                  </w:r>
                </w:p>
              </w:tc>
              <w:tc>
                <w:tcPr>
                  <w:tcW w:w="224" w:type="pct"/>
                  <w:vMerge w:val="continue"/>
                  <w:tcMar>
                    <w:left w:w="57" w:type="dxa"/>
                    <w:right w:w="57" w:type="dxa"/>
                  </w:tcMar>
                  <w:vAlign w:val="center"/>
                </w:tcPr>
                <w:p w14:paraId="481DF051">
                  <w:pPr>
                    <w:jc w:val="center"/>
                    <w:rPr>
                      <w:szCs w:val="21"/>
                    </w:rPr>
                  </w:pPr>
                </w:p>
              </w:tc>
              <w:tc>
                <w:tcPr>
                  <w:tcW w:w="408" w:type="pct"/>
                  <w:vAlign w:val="center"/>
                </w:tcPr>
                <w:p w14:paraId="3F992553">
                  <w:pPr>
                    <w:jc w:val="center"/>
                    <w:rPr>
                      <w:szCs w:val="21"/>
                    </w:rPr>
                  </w:pPr>
                  <w:r>
                    <w:rPr>
                      <w:rFonts w:hint="eastAsia"/>
                      <w:szCs w:val="21"/>
                    </w:rPr>
                    <w:t>15</w:t>
                  </w:r>
                </w:p>
              </w:tc>
              <w:tc>
                <w:tcPr>
                  <w:tcW w:w="327" w:type="pct"/>
                  <w:vAlign w:val="center"/>
                </w:tcPr>
                <w:p w14:paraId="7139A915">
                  <w:pPr>
                    <w:jc w:val="center"/>
                    <w:rPr>
                      <w:rFonts w:hint="default" w:eastAsia="宋体"/>
                      <w:szCs w:val="21"/>
                      <w:lang w:val="en-US" w:eastAsia="zh-CN"/>
                    </w:rPr>
                  </w:pPr>
                  <w:r>
                    <w:rPr>
                      <w:rFonts w:hint="eastAsia"/>
                      <w:color w:val="000000"/>
                      <w:szCs w:val="21"/>
                      <w:lang w:val="en-US" w:eastAsia="zh-CN"/>
                    </w:rPr>
                    <w:t>57.46</w:t>
                  </w:r>
                </w:p>
              </w:tc>
              <w:tc>
                <w:tcPr>
                  <w:tcW w:w="309" w:type="pct"/>
                  <w:shd w:val="clear" w:color="auto" w:fill="auto"/>
                  <w:vAlign w:val="center"/>
                </w:tcPr>
                <w:p w14:paraId="4C1872DB">
                  <w:pPr>
                    <w:jc w:val="center"/>
                    <w:rPr>
                      <w:szCs w:val="21"/>
                    </w:rPr>
                  </w:pPr>
                  <w:r>
                    <w:rPr>
                      <w:rFonts w:hint="eastAsia"/>
                      <w:szCs w:val="21"/>
                    </w:rPr>
                    <w:t>1</w:t>
                  </w:r>
                  <w:r>
                    <w:rPr>
                      <w:szCs w:val="21"/>
                    </w:rPr>
                    <w:t>m</w:t>
                  </w:r>
                </w:p>
              </w:tc>
            </w:tr>
            <w:tr w14:paraId="519DBA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97" w:type="pct"/>
                  <w:vAlign w:val="center"/>
                </w:tcPr>
                <w:p w14:paraId="198251F9">
                  <w:pPr>
                    <w:jc w:val="center"/>
                    <w:rPr>
                      <w:szCs w:val="21"/>
                    </w:rPr>
                  </w:pPr>
                  <w:r>
                    <w:rPr>
                      <w:rFonts w:hint="eastAsia"/>
                      <w:szCs w:val="21"/>
                    </w:rPr>
                    <w:t>6</w:t>
                  </w:r>
                </w:p>
              </w:tc>
              <w:tc>
                <w:tcPr>
                  <w:tcW w:w="269" w:type="pct"/>
                  <w:vMerge w:val="continue"/>
                  <w:vAlign w:val="center"/>
                </w:tcPr>
                <w:p w14:paraId="378F82C4">
                  <w:pPr>
                    <w:jc w:val="center"/>
                    <w:rPr>
                      <w:szCs w:val="21"/>
                    </w:rPr>
                  </w:pPr>
                </w:p>
              </w:tc>
              <w:tc>
                <w:tcPr>
                  <w:tcW w:w="433" w:type="pct"/>
                  <w:vAlign w:val="center"/>
                </w:tcPr>
                <w:p w14:paraId="179873B8">
                  <w:pPr>
                    <w:jc w:val="center"/>
                  </w:pPr>
                  <w:r>
                    <w:rPr>
                      <w:rFonts w:hint="eastAsia"/>
                    </w:rPr>
                    <w:t>烫金机</w:t>
                  </w:r>
                  <w:r>
                    <w:rPr>
                      <w:rFonts w:hint="eastAsia"/>
                      <w:lang w:val="en-US" w:eastAsia="zh-CN"/>
                    </w:rPr>
                    <w:t>1</w:t>
                  </w:r>
                  <w:r>
                    <w:rPr>
                      <w:rFonts w:hint="eastAsia"/>
                    </w:rPr>
                    <w:t>台</w:t>
                  </w:r>
                </w:p>
              </w:tc>
              <w:tc>
                <w:tcPr>
                  <w:tcW w:w="234" w:type="pct"/>
                  <w:vAlign w:val="center"/>
                </w:tcPr>
                <w:p w14:paraId="4E9C1D81">
                  <w:pPr>
                    <w:jc w:val="center"/>
                    <w:rPr>
                      <w:szCs w:val="21"/>
                    </w:rPr>
                  </w:pPr>
                  <w:r>
                    <w:rPr>
                      <w:rFonts w:hint="eastAsia"/>
                      <w:szCs w:val="21"/>
                    </w:rPr>
                    <w:t>/</w:t>
                  </w:r>
                </w:p>
              </w:tc>
              <w:tc>
                <w:tcPr>
                  <w:tcW w:w="846" w:type="pct"/>
                  <w:vAlign w:val="center"/>
                </w:tcPr>
                <w:p w14:paraId="5624B887">
                  <w:pPr>
                    <w:jc w:val="center"/>
                    <w:rPr>
                      <w:szCs w:val="21"/>
                    </w:rPr>
                  </w:pPr>
                  <w:r>
                    <w:rPr>
                      <w:rFonts w:hint="eastAsia"/>
                      <w:szCs w:val="21"/>
                    </w:rPr>
                    <w:t>75/1</w:t>
                  </w:r>
                </w:p>
              </w:tc>
              <w:tc>
                <w:tcPr>
                  <w:tcW w:w="388" w:type="pct"/>
                  <w:vMerge w:val="continue"/>
                  <w:vAlign w:val="center"/>
                </w:tcPr>
                <w:p w14:paraId="59C7E4A3">
                  <w:pPr>
                    <w:jc w:val="center"/>
                    <w:rPr>
                      <w:szCs w:val="21"/>
                    </w:rPr>
                  </w:pPr>
                </w:p>
              </w:tc>
              <w:tc>
                <w:tcPr>
                  <w:tcW w:w="259" w:type="pct"/>
                  <w:vAlign w:val="center"/>
                </w:tcPr>
                <w:p w14:paraId="649B39FF">
                  <w:pPr>
                    <w:jc w:val="center"/>
                    <w:rPr>
                      <w:rFonts w:hint="default" w:eastAsia="宋体"/>
                      <w:szCs w:val="21"/>
                      <w:lang w:val="en-US" w:eastAsia="zh-CN"/>
                    </w:rPr>
                  </w:pPr>
                  <w:r>
                    <w:rPr>
                      <w:rFonts w:hint="eastAsia"/>
                      <w:szCs w:val="21"/>
                      <w:lang w:val="en-US" w:eastAsia="zh-CN"/>
                    </w:rPr>
                    <w:t>191</w:t>
                  </w:r>
                </w:p>
              </w:tc>
              <w:tc>
                <w:tcPr>
                  <w:tcW w:w="225" w:type="pct"/>
                  <w:vAlign w:val="center"/>
                </w:tcPr>
                <w:p w14:paraId="320CE459">
                  <w:pPr>
                    <w:jc w:val="center"/>
                    <w:rPr>
                      <w:rFonts w:hint="default" w:eastAsia="宋体"/>
                      <w:szCs w:val="21"/>
                      <w:lang w:val="en-US" w:eastAsia="zh-CN"/>
                    </w:rPr>
                  </w:pPr>
                  <w:r>
                    <w:rPr>
                      <w:rFonts w:hint="eastAsia"/>
                      <w:szCs w:val="21"/>
                      <w:lang w:val="en-US" w:eastAsia="zh-CN"/>
                    </w:rPr>
                    <w:t>141</w:t>
                  </w:r>
                </w:p>
              </w:tc>
              <w:tc>
                <w:tcPr>
                  <w:tcW w:w="259" w:type="pct"/>
                  <w:vAlign w:val="center"/>
                </w:tcPr>
                <w:p w14:paraId="33A0F5B6">
                  <w:pPr>
                    <w:jc w:val="center"/>
                    <w:rPr>
                      <w:szCs w:val="21"/>
                    </w:rPr>
                  </w:pPr>
                  <w:r>
                    <w:rPr>
                      <w:rFonts w:hint="eastAsia"/>
                      <w:szCs w:val="21"/>
                    </w:rPr>
                    <w:t>1</w:t>
                  </w:r>
                </w:p>
              </w:tc>
              <w:tc>
                <w:tcPr>
                  <w:tcW w:w="287" w:type="pct"/>
                  <w:vAlign w:val="center"/>
                </w:tcPr>
                <w:p w14:paraId="40FF169E">
                  <w:pPr>
                    <w:jc w:val="center"/>
                    <w:rPr>
                      <w:rFonts w:hint="default" w:eastAsia="宋体"/>
                      <w:szCs w:val="21"/>
                      <w:lang w:val="en-US" w:eastAsia="zh-CN"/>
                    </w:rPr>
                  </w:pPr>
                  <w:r>
                    <w:rPr>
                      <w:rFonts w:hint="eastAsia"/>
                      <w:szCs w:val="21"/>
                      <w:lang w:val="en-US" w:eastAsia="zh-CN"/>
                    </w:rPr>
                    <w:t>3</w:t>
                  </w:r>
                </w:p>
              </w:tc>
              <w:tc>
                <w:tcPr>
                  <w:tcW w:w="327" w:type="pct"/>
                  <w:vAlign w:val="center"/>
                </w:tcPr>
                <w:p w14:paraId="15137A87">
                  <w:pPr>
                    <w:widowControl/>
                    <w:snapToGrid w:val="0"/>
                    <w:jc w:val="center"/>
                    <w:textAlignment w:val="center"/>
                    <w:rPr>
                      <w:rFonts w:hint="default" w:eastAsia="宋体"/>
                      <w:color w:val="000000"/>
                      <w:szCs w:val="21"/>
                      <w:lang w:val="en-US" w:eastAsia="zh-CN"/>
                    </w:rPr>
                  </w:pPr>
                  <w:r>
                    <w:rPr>
                      <w:rFonts w:hint="eastAsia"/>
                      <w:color w:val="000000"/>
                      <w:szCs w:val="21"/>
                      <w:lang w:val="en-US" w:eastAsia="zh-CN"/>
                    </w:rPr>
                    <w:t>57.46</w:t>
                  </w:r>
                </w:p>
              </w:tc>
              <w:tc>
                <w:tcPr>
                  <w:tcW w:w="224" w:type="pct"/>
                  <w:vMerge w:val="continue"/>
                  <w:tcMar>
                    <w:left w:w="57" w:type="dxa"/>
                    <w:right w:w="57" w:type="dxa"/>
                  </w:tcMar>
                  <w:vAlign w:val="center"/>
                </w:tcPr>
                <w:p w14:paraId="27503954">
                  <w:pPr>
                    <w:jc w:val="center"/>
                    <w:rPr>
                      <w:szCs w:val="21"/>
                    </w:rPr>
                  </w:pPr>
                </w:p>
              </w:tc>
              <w:tc>
                <w:tcPr>
                  <w:tcW w:w="408" w:type="pct"/>
                  <w:vAlign w:val="center"/>
                </w:tcPr>
                <w:p w14:paraId="4BB40C67">
                  <w:pPr>
                    <w:jc w:val="center"/>
                    <w:rPr>
                      <w:szCs w:val="21"/>
                    </w:rPr>
                  </w:pPr>
                  <w:r>
                    <w:rPr>
                      <w:rFonts w:hint="eastAsia"/>
                      <w:szCs w:val="21"/>
                    </w:rPr>
                    <w:t>15</w:t>
                  </w:r>
                </w:p>
              </w:tc>
              <w:tc>
                <w:tcPr>
                  <w:tcW w:w="327" w:type="pct"/>
                  <w:vAlign w:val="center"/>
                </w:tcPr>
                <w:p w14:paraId="554CB0CC">
                  <w:pPr>
                    <w:jc w:val="center"/>
                    <w:rPr>
                      <w:rFonts w:hint="default" w:eastAsia="宋体"/>
                      <w:szCs w:val="21"/>
                      <w:lang w:val="en-US" w:eastAsia="zh-CN"/>
                    </w:rPr>
                  </w:pPr>
                  <w:r>
                    <w:rPr>
                      <w:rFonts w:hint="eastAsia"/>
                      <w:color w:val="000000"/>
                      <w:szCs w:val="21"/>
                      <w:lang w:val="en-US" w:eastAsia="zh-CN"/>
                    </w:rPr>
                    <w:t>57.46</w:t>
                  </w:r>
                </w:p>
              </w:tc>
              <w:tc>
                <w:tcPr>
                  <w:tcW w:w="309" w:type="pct"/>
                  <w:shd w:val="clear" w:color="auto" w:fill="auto"/>
                  <w:vAlign w:val="center"/>
                </w:tcPr>
                <w:p w14:paraId="7A2752BB">
                  <w:pPr>
                    <w:jc w:val="center"/>
                    <w:rPr>
                      <w:szCs w:val="21"/>
                    </w:rPr>
                  </w:pPr>
                  <w:r>
                    <w:rPr>
                      <w:rFonts w:hint="eastAsia"/>
                      <w:szCs w:val="21"/>
                    </w:rPr>
                    <w:t>1</w:t>
                  </w:r>
                  <w:r>
                    <w:rPr>
                      <w:szCs w:val="21"/>
                    </w:rPr>
                    <w:t>m</w:t>
                  </w:r>
                </w:p>
              </w:tc>
            </w:tr>
            <w:tr w14:paraId="34174C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97" w:type="pct"/>
                  <w:vAlign w:val="center"/>
                </w:tcPr>
                <w:p w14:paraId="26FF9573">
                  <w:pPr>
                    <w:jc w:val="center"/>
                    <w:rPr>
                      <w:rFonts w:hint="eastAsia" w:eastAsia="宋体"/>
                      <w:szCs w:val="21"/>
                      <w:lang w:val="en-US" w:eastAsia="zh-CN"/>
                    </w:rPr>
                  </w:pPr>
                  <w:r>
                    <w:rPr>
                      <w:rFonts w:hint="eastAsia"/>
                      <w:szCs w:val="21"/>
                      <w:lang w:val="en-US" w:eastAsia="zh-CN"/>
                    </w:rPr>
                    <w:t>7</w:t>
                  </w:r>
                </w:p>
              </w:tc>
              <w:tc>
                <w:tcPr>
                  <w:tcW w:w="269" w:type="pct"/>
                  <w:vAlign w:val="center"/>
                </w:tcPr>
                <w:p w14:paraId="354A71E6">
                  <w:pPr>
                    <w:jc w:val="center"/>
                    <w:rPr>
                      <w:rFonts w:hint="default" w:eastAsia="宋体"/>
                      <w:szCs w:val="21"/>
                      <w:lang w:val="en-US" w:eastAsia="zh-CN"/>
                    </w:rPr>
                  </w:pPr>
                  <w:r>
                    <w:rPr>
                      <w:rFonts w:hint="eastAsia"/>
                      <w:szCs w:val="21"/>
                      <w:lang w:val="en-US" w:eastAsia="zh-CN"/>
                    </w:rPr>
                    <w:t>5#厂房</w:t>
                  </w:r>
                </w:p>
              </w:tc>
              <w:tc>
                <w:tcPr>
                  <w:tcW w:w="433" w:type="pct"/>
                  <w:vAlign w:val="center"/>
                </w:tcPr>
                <w:p w14:paraId="10FCAD47">
                  <w:pPr>
                    <w:jc w:val="center"/>
                    <w:rPr>
                      <w:rFonts w:hint="default" w:eastAsia="宋体"/>
                      <w:lang w:val="en-US" w:eastAsia="zh-CN"/>
                    </w:rPr>
                  </w:pPr>
                  <w:r>
                    <w:rPr>
                      <w:rFonts w:hint="eastAsia"/>
                      <w:lang w:val="en-US" w:eastAsia="zh-CN"/>
                    </w:rPr>
                    <w:t>热转印机1台</w:t>
                  </w:r>
                </w:p>
              </w:tc>
              <w:tc>
                <w:tcPr>
                  <w:tcW w:w="234" w:type="pct"/>
                  <w:vAlign w:val="center"/>
                </w:tcPr>
                <w:p w14:paraId="1E13E104">
                  <w:pPr>
                    <w:jc w:val="center"/>
                    <w:rPr>
                      <w:rFonts w:hint="eastAsia" w:eastAsia="宋体"/>
                      <w:szCs w:val="21"/>
                      <w:lang w:val="en-US" w:eastAsia="zh-CN"/>
                    </w:rPr>
                  </w:pPr>
                  <w:r>
                    <w:rPr>
                      <w:rFonts w:hint="eastAsia"/>
                      <w:szCs w:val="21"/>
                      <w:lang w:val="en-US" w:eastAsia="zh-CN"/>
                    </w:rPr>
                    <w:t>/</w:t>
                  </w:r>
                </w:p>
              </w:tc>
              <w:tc>
                <w:tcPr>
                  <w:tcW w:w="846" w:type="pct"/>
                  <w:vAlign w:val="center"/>
                </w:tcPr>
                <w:p w14:paraId="4B181DFC">
                  <w:pPr>
                    <w:jc w:val="center"/>
                    <w:rPr>
                      <w:rFonts w:hint="default" w:eastAsia="宋体"/>
                      <w:szCs w:val="21"/>
                      <w:lang w:val="en-US" w:eastAsia="zh-CN"/>
                    </w:rPr>
                  </w:pPr>
                  <w:r>
                    <w:rPr>
                      <w:rFonts w:hint="eastAsia"/>
                      <w:szCs w:val="21"/>
                      <w:lang w:val="en-US" w:eastAsia="zh-CN"/>
                    </w:rPr>
                    <w:t>75/1</w:t>
                  </w:r>
                </w:p>
              </w:tc>
              <w:tc>
                <w:tcPr>
                  <w:tcW w:w="388" w:type="pct"/>
                  <w:vMerge w:val="continue"/>
                  <w:vAlign w:val="center"/>
                </w:tcPr>
                <w:p w14:paraId="7FE975C6">
                  <w:pPr>
                    <w:jc w:val="center"/>
                    <w:rPr>
                      <w:rFonts w:hint="default" w:eastAsia="宋体"/>
                      <w:szCs w:val="21"/>
                      <w:lang w:val="en-US" w:eastAsia="zh-CN"/>
                    </w:rPr>
                  </w:pPr>
                </w:p>
              </w:tc>
              <w:tc>
                <w:tcPr>
                  <w:tcW w:w="259" w:type="pct"/>
                  <w:vAlign w:val="center"/>
                </w:tcPr>
                <w:p w14:paraId="3EDDE622">
                  <w:pPr>
                    <w:jc w:val="center"/>
                    <w:rPr>
                      <w:rFonts w:hint="default"/>
                      <w:szCs w:val="21"/>
                      <w:lang w:val="en-US" w:eastAsia="zh-CN"/>
                    </w:rPr>
                  </w:pPr>
                  <w:r>
                    <w:rPr>
                      <w:rFonts w:hint="eastAsia"/>
                      <w:szCs w:val="21"/>
                      <w:lang w:val="en-US" w:eastAsia="zh-CN"/>
                    </w:rPr>
                    <w:t>153</w:t>
                  </w:r>
                </w:p>
              </w:tc>
              <w:tc>
                <w:tcPr>
                  <w:tcW w:w="225" w:type="pct"/>
                  <w:vAlign w:val="center"/>
                </w:tcPr>
                <w:p w14:paraId="646B26F6">
                  <w:pPr>
                    <w:jc w:val="center"/>
                    <w:rPr>
                      <w:rFonts w:hint="default"/>
                      <w:szCs w:val="21"/>
                      <w:lang w:val="en-US" w:eastAsia="zh-CN"/>
                    </w:rPr>
                  </w:pPr>
                  <w:r>
                    <w:rPr>
                      <w:rFonts w:hint="eastAsia"/>
                      <w:szCs w:val="21"/>
                      <w:lang w:val="en-US" w:eastAsia="zh-CN"/>
                    </w:rPr>
                    <w:t>146</w:t>
                  </w:r>
                </w:p>
              </w:tc>
              <w:tc>
                <w:tcPr>
                  <w:tcW w:w="259" w:type="pct"/>
                  <w:vAlign w:val="center"/>
                </w:tcPr>
                <w:p w14:paraId="551AC46A">
                  <w:pPr>
                    <w:jc w:val="center"/>
                    <w:rPr>
                      <w:rFonts w:hint="eastAsia" w:eastAsia="宋体"/>
                      <w:szCs w:val="21"/>
                      <w:lang w:val="en-US" w:eastAsia="zh-CN"/>
                    </w:rPr>
                  </w:pPr>
                  <w:r>
                    <w:rPr>
                      <w:rFonts w:hint="eastAsia"/>
                      <w:szCs w:val="21"/>
                      <w:lang w:val="en-US" w:eastAsia="zh-CN"/>
                    </w:rPr>
                    <w:t>1</w:t>
                  </w:r>
                </w:p>
              </w:tc>
              <w:tc>
                <w:tcPr>
                  <w:tcW w:w="287" w:type="pct"/>
                  <w:vAlign w:val="center"/>
                </w:tcPr>
                <w:p w14:paraId="68284B53">
                  <w:pPr>
                    <w:jc w:val="center"/>
                    <w:rPr>
                      <w:rFonts w:hint="default"/>
                      <w:szCs w:val="21"/>
                      <w:lang w:val="en-US" w:eastAsia="zh-CN"/>
                    </w:rPr>
                  </w:pPr>
                  <w:r>
                    <w:rPr>
                      <w:rFonts w:hint="eastAsia"/>
                      <w:szCs w:val="21"/>
                      <w:lang w:val="en-US" w:eastAsia="zh-CN"/>
                    </w:rPr>
                    <w:t>5</w:t>
                  </w:r>
                </w:p>
              </w:tc>
              <w:tc>
                <w:tcPr>
                  <w:tcW w:w="327" w:type="pct"/>
                  <w:vAlign w:val="center"/>
                </w:tcPr>
                <w:p w14:paraId="11EEF06A">
                  <w:pPr>
                    <w:widowControl/>
                    <w:snapToGrid w:val="0"/>
                    <w:jc w:val="center"/>
                    <w:textAlignment w:val="center"/>
                    <w:rPr>
                      <w:rFonts w:hint="eastAsia"/>
                      <w:color w:val="000000"/>
                      <w:szCs w:val="21"/>
                      <w:lang w:val="en-US" w:eastAsia="zh-CN"/>
                    </w:rPr>
                  </w:pPr>
                  <w:r>
                    <w:rPr>
                      <w:rFonts w:hint="eastAsia"/>
                      <w:szCs w:val="21"/>
                      <w:lang w:val="en-US" w:eastAsia="zh-CN"/>
                    </w:rPr>
                    <w:t>53.02</w:t>
                  </w:r>
                </w:p>
              </w:tc>
              <w:tc>
                <w:tcPr>
                  <w:tcW w:w="224" w:type="pct"/>
                  <w:vMerge w:val="continue"/>
                  <w:tcMar>
                    <w:left w:w="57" w:type="dxa"/>
                    <w:right w:w="57" w:type="dxa"/>
                  </w:tcMar>
                  <w:vAlign w:val="center"/>
                </w:tcPr>
                <w:p w14:paraId="6CFA4308">
                  <w:pPr>
                    <w:jc w:val="center"/>
                    <w:rPr>
                      <w:rFonts w:hint="default" w:eastAsia="宋体"/>
                      <w:szCs w:val="21"/>
                      <w:lang w:val="en-US" w:eastAsia="zh-CN"/>
                    </w:rPr>
                  </w:pPr>
                </w:p>
              </w:tc>
              <w:tc>
                <w:tcPr>
                  <w:tcW w:w="408" w:type="pct"/>
                  <w:vAlign w:val="center"/>
                </w:tcPr>
                <w:p w14:paraId="5A389435">
                  <w:pPr>
                    <w:jc w:val="center"/>
                    <w:rPr>
                      <w:rFonts w:hint="default" w:eastAsia="宋体"/>
                      <w:szCs w:val="21"/>
                      <w:lang w:val="en-US" w:eastAsia="zh-CN"/>
                    </w:rPr>
                  </w:pPr>
                  <w:r>
                    <w:rPr>
                      <w:rFonts w:hint="eastAsia"/>
                      <w:szCs w:val="21"/>
                      <w:lang w:val="en-US" w:eastAsia="zh-CN"/>
                    </w:rPr>
                    <w:t>15</w:t>
                  </w:r>
                </w:p>
              </w:tc>
              <w:tc>
                <w:tcPr>
                  <w:tcW w:w="327" w:type="pct"/>
                  <w:vAlign w:val="center"/>
                </w:tcPr>
                <w:p w14:paraId="22A15889">
                  <w:pPr>
                    <w:jc w:val="center"/>
                    <w:rPr>
                      <w:rFonts w:hint="eastAsia"/>
                      <w:szCs w:val="21"/>
                      <w:lang w:val="en-US" w:eastAsia="zh-CN"/>
                    </w:rPr>
                  </w:pPr>
                  <w:r>
                    <w:rPr>
                      <w:rFonts w:hint="eastAsia"/>
                      <w:szCs w:val="21"/>
                      <w:lang w:val="en-US" w:eastAsia="zh-CN"/>
                    </w:rPr>
                    <w:t>38.02</w:t>
                  </w:r>
                </w:p>
              </w:tc>
              <w:tc>
                <w:tcPr>
                  <w:tcW w:w="309" w:type="pct"/>
                  <w:shd w:val="clear" w:color="auto" w:fill="auto"/>
                  <w:vAlign w:val="center"/>
                </w:tcPr>
                <w:p w14:paraId="35ABB3A3">
                  <w:pPr>
                    <w:jc w:val="center"/>
                    <w:rPr>
                      <w:rFonts w:hint="eastAsia"/>
                      <w:szCs w:val="21"/>
                    </w:rPr>
                  </w:pPr>
                  <w:r>
                    <w:rPr>
                      <w:rFonts w:hint="eastAsia"/>
                      <w:szCs w:val="21"/>
                    </w:rPr>
                    <w:t>1</w:t>
                  </w:r>
                  <w:r>
                    <w:rPr>
                      <w:szCs w:val="21"/>
                    </w:rPr>
                    <w:t>m</w:t>
                  </w:r>
                </w:p>
              </w:tc>
            </w:tr>
            <w:tr w14:paraId="106936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00" w:type="pct"/>
                  <w:gridSpan w:val="15"/>
                  <w:vAlign w:val="center"/>
                </w:tcPr>
                <w:p w14:paraId="2B164531">
                  <w:pPr>
                    <w:rPr>
                      <w:szCs w:val="21"/>
                    </w:rPr>
                  </w:pPr>
                  <w:r>
                    <w:rPr>
                      <w:rFonts w:hint="eastAsia"/>
                      <w:kern w:val="0"/>
                    </w:rPr>
                    <w:t>注：原点坐标为</w:t>
                  </w:r>
                  <w:r>
                    <w:rPr>
                      <w:rFonts w:hint="eastAsia"/>
                      <w:kern w:val="0"/>
                      <w:lang w:val="en-US" w:eastAsia="zh-CN"/>
                    </w:rPr>
                    <w:t>118.769591</w:t>
                  </w:r>
                  <w:r>
                    <w:rPr>
                      <w:kern w:val="0"/>
                    </w:rPr>
                    <w:t>°E</w:t>
                  </w:r>
                  <w:r>
                    <w:rPr>
                      <w:rFonts w:hint="eastAsia"/>
                      <w:kern w:val="0"/>
                    </w:rPr>
                    <w:t>，</w:t>
                  </w:r>
                  <w:r>
                    <w:rPr>
                      <w:rFonts w:hint="eastAsia"/>
                      <w:kern w:val="0"/>
                      <w:lang w:val="en-US" w:eastAsia="zh-CN"/>
                    </w:rPr>
                    <w:t>33.694552</w:t>
                  </w:r>
                  <w:r>
                    <w:rPr>
                      <w:kern w:val="0"/>
                    </w:rPr>
                    <w:t>°N</w:t>
                  </w:r>
                  <w:r>
                    <w:rPr>
                      <w:rFonts w:hint="eastAsia"/>
                      <w:kern w:val="0"/>
                    </w:rPr>
                    <w:t>。</w:t>
                  </w:r>
                </w:p>
              </w:tc>
            </w:tr>
          </w:tbl>
          <w:p w14:paraId="790EA3CA">
            <w:pPr>
              <w:pageBreakBefore w:val="0"/>
              <w:wordWrap/>
              <w:overflowPunct/>
              <w:topLinePunct w:val="0"/>
              <w:bidi w:val="0"/>
              <w:snapToGrid w:val="0"/>
              <w:spacing w:before="120" w:beforeLines="50"/>
              <w:jc w:val="center"/>
              <w:rPr>
                <w:rFonts w:hint="eastAsia" w:eastAsia="宋体"/>
                <w:b/>
                <w:color w:val="auto"/>
                <w:szCs w:val="21"/>
                <w:lang w:eastAsia="zh-CN"/>
              </w:rPr>
            </w:pPr>
            <w:r>
              <w:rPr>
                <w:b/>
                <w:bCs/>
                <w:color w:val="auto"/>
                <w:szCs w:val="21"/>
              </w:rPr>
              <w:t>表4</w:t>
            </w:r>
            <w:r>
              <w:rPr>
                <w:rFonts w:hint="eastAsia"/>
                <w:b/>
                <w:bCs/>
                <w:color w:val="auto"/>
                <w:szCs w:val="21"/>
                <w:lang w:val="en-US" w:eastAsia="zh-CN"/>
              </w:rPr>
              <w:t xml:space="preserve">-23 </w:t>
            </w:r>
            <w:r>
              <w:rPr>
                <w:rFonts w:hint="eastAsia"/>
                <w:b/>
                <w:color w:val="auto"/>
              </w:rPr>
              <w:t>噪声</w:t>
            </w:r>
            <w:r>
              <w:rPr>
                <w:b/>
                <w:color w:val="auto"/>
              </w:rPr>
              <w:t>污染源</w:t>
            </w:r>
            <w:r>
              <w:rPr>
                <w:rFonts w:hint="eastAsia"/>
                <w:b/>
                <w:color w:val="auto"/>
              </w:rPr>
              <w:t>源</w:t>
            </w:r>
            <w:r>
              <w:rPr>
                <w:b/>
                <w:color w:val="auto"/>
              </w:rPr>
              <w:t>强核算结果及相关参数一览</w:t>
            </w:r>
            <w:r>
              <w:rPr>
                <w:b/>
                <w:bCs/>
                <w:color w:val="auto"/>
                <w:szCs w:val="21"/>
              </w:rPr>
              <w:t>表</w:t>
            </w:r>
          </w:p>
          <w:tbl>
            <w:tblPr>
              <w:tblStyle w:val="31"/>
              <w:tblW w:w="1299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60"/>
              <w:gridCol w:w="1601"/>
              <w:gridCol w:w="1435"/>
              <w:gridCol w:w="1050"/>
              <w:gridCol w:w="1050"/>
              <w:gridCol w:w="1061"/>
              <w:gridCol w:w="1708"/>
              <w:gridCol w:w="2688"/>
              <w:gridCol w:w="1443"/>
            </w:tblGrid>
            <w:tr w14:paraId="758BE9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0" w:type="dxa"/>
                  <w:vMerge w:val="restart"/>
                  <w:tcBorders>
                    <w:tl2br w:val="nil"/>
                    <w:tr2bl w:val="nil"/>
                  </w:tcBorders>
                  <w:noWrap w:val="0"/>
                  <w:vAlign w:val="center"/>
                </w:tcPr>
                <w:p w14:paraId="3E54698B">
                  <w:pPr>
                    <w:keepNext w:val="0"/>
                    <w:keepLines w:val="0"/>
                    <w:pageBreakBefore w:val="0"/>
                    <w:widowControl/>
                    <w:suppressLineNumbers w:val="0"/>
                    <w:shd w:val="clear" w:color="auto" w:fill="auto"/>
                    <w:kinsoku/>
                    <w:wordWrap/>
                    <w:overflowPunct/>
                    <w:topLinePunct w:val="0"/>
                    <w:autoSpaceDE/>
                    <w:autoSpaceDN/>
                    <w:bidi w:val="0"/>
                    <w:snapToGrid w:val="0"/>
                    <w:spacing w:line="240" w:lineRule="auto"/>
                    <w:jc w:val="center"/>
                    <w:textAlignment w:val="center"/>
                    <w:rPr>
                      <w:rFonts w:hint="eastAsia" w:ascii="Times New Roman" w:hAnsi="Times New Roman" w:eastAsia="宋体" w:cs="Times New Roman"/>
                      <w:b/>
                      <w:bCs/>
                      <w:i w:val="0"/>
                      <w:iCs w:val="0"/>
                      <w:color w:val="auto"/>
                      <w:kern w:val="2"/>
                      <w:sz w:val="21"/>
                      <w:szCs w:val="21"/>
                      <w:highlight w:val="none"/>
                      <w:u w:val="none"/>
                      <w:lang w:val="en-US" w:eastAsia="zh-CN" w:bidi="ar-SA"/>
                    </w:rPr>
                  </w:pPr>
                  <w:r>
                    <w:rPr>
                      <w:rFonts w:hint="default" w:ascii="Times New Roman" w:hAnsi="Times New Roman" w:eastAsia="宋体" w:cs="Times New Roman"/>
                      <w:b/>
                      <w:bCs/>
                      <w:i w:val="0"/>
                      <w:iCs w:val="0"/>
                      <w:color w:val="auto"/>
                      <w:kern w:val="0"/>
                      <w:sz w:val="21"/>
                      <w:szCs w:val="21"/>
                      <w:highlight w:val="none"/>
                      <w:u w:val="none"/>
                      <w:lang w:val="en-US" w:eastAsia="zh-CN" w:bidi="ar"/>
                    </w:rPr>
                    <w:t>序号</w:t>
                  </w:r>
                </w:p>
              </w:tc>
              <w:tc>
                <w:tcPr>
                  <w:tcW w:w="1601" w:type="dxa"/>
                  <w:vMerge w:val="restart"/>
                  <w:tcBorders>
                    <w:tl2br w:val="nil"/>
                    <w:tr2bl w:val="nil"/>
                  </w:tcBorders>
                  <w:noWrap w:val="0"/>
                  <w:vAlign w:val="center"/>
                </w:tcPr>
                <w:p w14:paraId="3602DA2C">
                  <w:pPr>
                    <w:keepNext w:val="0"/>
                    <w:keepLines w:val="0"/>
                    <w:pageBreakBefore w:val="0"/>
                    <w:widowControl/>
                    <w:suppressLineNumbers w:val="0"/>
                    <w:shd w:val="clear" w:color="auto" w:fill="auto"/>
                    <w:kinsoku/>
                    <w:wordWrap/>
                    <w:overflowPunct/>
                    <w:topLinePunct w:val="0"/>
                    <w:autoSpaceDE/>
                    <w:autoSpaceDN/>
                    <w:bidi w:val="0"/>
                    <w:snapToGrid w:val="0"/>
                    <w:spacing w:line="240" w:lineRule="auto"/>
                    <w:jc w:val="center"/>
                    <w:textAlignment w:val="center"/>
                    <w:rPr>
                      <w:rFonts w:hint="eastAsia" w:ascii="Times New Roman" w:hAnsi="Times New Roman" w:eastAsia="宋体" w:cs="Times New Roman"/>
                      <w:b/>
                      <w:bCs/>
                      <w:i w:val="0"/>
                      <w:iCs w:val="0"/>
                      <w:color w:val="auto"/>
                      <w:kern w:val="2"/>
                      <w:sz w:val="21"/>
                      <w:szCs w:val="21"/>
                      <w:highlight w:val="none"/>
                      <w:u w:val="none"/>
                      <w:lang w:val="en-US" w:eastAsia="zh-CN" w:bidi="ar-SA"/>
                    </w:rPr>
                  </w:pPr>
                  <w:r>
                    <w:rPr>
                      <w:rFonts w:hint="default" w:ascii="Times New Roman" w:hAnsi="Times New Roman" w:eastAsia="宋体" w:cs="Times New Roman"/>
                      <w:b/>
                      <w:bCs/>
                      <w:i w:val="0"/>
                      <w:iCs w:val="0"/>
                      <w:color w:val="auto"/>
                      <w:kern w:val="0"/>
                      <w:sz w:val="21"/>
                      <w:szCs w:val="21"/>
                      <w:highlight w:val="none"/>
                      <w:u w:val="none"/>
                      <w:lang w:val="en-US" w:eastAsia="zh-CN" w:bidi="ar"/>
                    </w:rPr>
                    <w:t>声源名称</w:t>
                  </w:r>
                </w:p>
              </w:tc>
              <w:tc>
                <w:tcPr>
                  <w:tcW w:w="1435" w:type="dxa"/>
                  <w:vMerge w:val="restart"/>
                  <w:tcBorders>
                    <w:tl2br w:val="nil"/>
                    <w:tr2bl w:val="nil"/>
                  </w:tcBorders>
                  <w:noWrap w:val="0"/>
                  <w:vAlign w:val="center"/>
                </w:tcPr>
                <w:p w14:paraId="44724D50">
                  <w:pPr>
                    <w:keepNext w:val="0"/>
                    <w:keepLines w:val="0"/>
                    <w:pageBreakBefore w:val="0"/>
                    <w:widowControl/>
                    <w:suppressLineNumbers w:val="0"/>
                    <w:shd w:val="clear" w:color="auto" w:fill="auto"/>
                    <w:kinsoku/>
                    <w:wordWrap/>
                    <w:overflowPunct/>
                    <w:topLinePunct w:val="0"/>
                    <w:autoSpaceDE/>
                    <w:autoSpaceDN/>
                    <w:bidi w:val="0"/>
                    <w:snapToGrid w:val="0"/>
                    <w:spacing w:line="240" w:lineRule="auto"/>
                    <w:jc w:val="center"/>
                    <w:textAlignment w:val="center"/>
                    <w:rPr>
                      <w:rFonts w:hint="eastAsia" w:ascii="Times New Roman" w:hAnsi="Times New Roman" w:eastAsia="宋体" w:cs="Times New Roman"/>
                      <w:b/>
                      <w:bCs/>
                      <w:i w:val="0"/>
                      <w:iCs w:val="0"/>
                      <w:color w:val="auto"/>
                      <w:kern w:val="2"/>
                      <w:sz w:val="21"/>
                      <w:szCs w:val="21"/>
                      <w:highlight w:val="none"/>
                      <w:u w:val="none"/>
                      <w:lang w:val="en-US" w:eastAsia="zh-CN" w:bidi="ar-SA"/>
                    </w:rPr>
                  </w:pPr>
                  <w:r>
                    <w:rPr>
                      <w:rFonts w:hint="default" w:ascii="Times New Roman" w:hAnsi="Times New Roman" w:eastAsia="宋体" w:cs="Times New Roman"/>
                      <w:b/>
                      <w:bCs/>
                      <w:i w:val="0"/>
                      <w:iCs w:val="0"/>
                      <w:color w:val="auto"/>
                      <w:kern w:val="0"/>
                      <w:sz w:val="21"/>
                      <w:szCs w:val="21"/>
                      <w:highlight w:val="none"/>
                      <w:u w:val="none"/>
                      <w:lang w:val="en-US" w:eastAsia="zh-CN" w:bidi="ar"/>
                    </w:rPr>
                    <w:t>型号</w:t>
                  </w:r>
                </w:p>
              </w:tc>
              <w:tc>
                <w:tcPr>
                  <w:tcW w:w="3161" w:type="dxa"/>
                  <w:gridSpan w:val="3"/>
                  <w:tcBorders>
                    <w:tl2br w:val="nil"/>
                    <w:tr2bl w:val="nil"/>
                  </w:tcBorders>
                  <w:noWrap w:val="0"/>
                  <w:vAlign w:val="center"/>
                </w:tcPr>
                <w:p w14:paraId="0B7822CD">
                  <w:pPr>
                    <w:keepNext w:val="0"/>
                    <w:keepLines w:val="0"/>
                    <w:pageBreakBefore w:val="0"/>
                    <w:kinsoku/>
                    <w:wordWrap/>
                    <w:overflowPunct/>
                    <w:topLinePunct w:val="0"/>
                    <w:autoSpaceDE/>
                    <w:autoSpaceDN/>
                    <w:bidi w:val="0"/>
                    <w:adjustRightInd w:val="0"/>
                    <w:snapToGrid w:val="0"/>
                    <w:spacing w:line="240" w:lineRule="auto"/>
                    <w:jc w:val="center"/>
                    <w:rPr>
                      <w:rFonts w:hint="eastAsia"/>
                      <w:b/>
                      <w:bCs/>
                      <w:color w:val="auto"/>
                      <w:szCs w:val="21"/>
                      <w:vertAlign w:val="baseline"/>
                    </w:rPr>
                  </w:pPr>
                  <w:r>
                    <w:rPr>
                      <w:rFonts w:hint="default" w:ascii="Times New Roman" w:hAnsi="Times New Roman" w:eastAsia="宋体" w:cs="Times New Roman"/>
                      <w:b/>
                      <w:bCs/>
                      <w:i w:val="0"/>
                      <w:iCs w:val="0"/>
                      <w:color w:val="auto"/>
                      <w:kern w:val="0"/>
                      <w:sz w:val="21"/>
                      <w:szCs w:val="21"/>
                      <w:highlight w:val="none"/>
                      <w:u w:val="none"/>
                      <w:lang w:val="en-US" w:eastAsia="zh-CN" w:bidi="ar"/>
                    </w:rPr>
                    <w:t>空间相对位置/m</w:t>
                  </w:r>
                </w:p>
              </w:tc>
              <w:tc>
                <w:tcPr>
                  <w:tcW w:w="1708" w:type="dxa"/>
                  <w:vMerge w:val="restart"/>
                  <w:tcBorders>
                    <w:tl2br w:val="nil"/>
                    <w:tr2bl w:val="nil"/>
                  </w:tcBorders>
                  <w:noWrap w:val="0"/>
                  <w:vAlign w:val="center"/>
                </w:tcPr>
                <w:p w14:paraId="1CFE37C9">
                  <w:pPr>
                    <w:keepNext w:val="0"/>
                    <w:keepLines w:val="0"/>
                    <w:pageBreakBefore w:val="0"/>
                    <w:widowControl/>
                    <w:suppressLineNumbers w:val="0"/>
                    <w:shd w:val="clear" w:color="auto" w:fill="auto"/>
                    <w:kinsoku/>
                    <w:wordWrap/>
                    <w:overflowPunct/>
                    <w:topLinePunct w:val="0"/>
                    <w:autoSpaceDE/>
                    <w:autoSpaceDN/>
                    <w:bidi w:val="0"/>
                    <w:snapToGrid w:val="0"/>
                    <w:spacing w:line="240" w:lineRule="auto"/>
                    <w:jc w:val="center"/>
                    <w:textAlignment w:val="center"/>
                    <w:rPr>
                      <w:rFonts w:hint="eastAsia" w:ascii="Times New Roman" w:hAnsi="Times New Roman" w:eastAsia="宋体" w:cs="Times New Roman"/>
                      <w:b/>
                      <w:bCs/>
                      <w:i w:val="0"/>
                      <w:iCs w:val="0"/>
                      <w:color w:val="auto"/>
                      <w:kern w:val="2"/>
                      <w:sz w:val="21"/>
                      <w:szCs w:val="21"/>
                      <w:highlight w:val="none"/>
                      <w:u w:val="none"/>
                      <w:lang w:val="en-US" w:eastAsia="zh-CN" w:bidi="ar-SA"/>
                    </w:rPr>
                  </w:pPr>
                  <w:r>
                    <w:rPr>
                      <w:rFonts w:hint="default" w:ascii="Times New Roman" w:hAnsi="Times New Roman" w:eastAsia="宋体" w:cs="Times New Roman"/>
                      <w:b/>
                      <w:bCs/>
                      <w:i w:val="0"/>
                      <w:iCs w:val="0"/>
                      <w:color w:val="auto"/>
                      <w:kern w:val="0"/>
                      <w:sz w:val="21"/>
                      <w:szCs w:val="21"/>
                      <w:highlight w:val="none"/>
                      <w:u w:val="none"/>
                      <w:lang w:val="en-US" w:eastAsia="zh-CN" w:bidi="ar"/>
                    </w:rPr>
                    <w:t>声源源强/dB(A)</w:t>
                  </w:r>
                </w:p>
              </w:tc>
              <w:tc>
                <w:tcPr>
                  <w:tcW w:w="2688" w:type="dxa"/>
                  <w:vMerge w:val="restart"/>
                  <w:tcBorders>
                    <w:tl2br w:val="nil"/>
                    <w:tr2bl w:val="nil"/>
                  </w:tcBorders>
                  <w:noWrap w:val="0"/>
                  <w:vAlign w:val="center"/>
                </w:tcPr>
                <w:p w14:paraId="34B5398D">
                  <w:pPr>
                    <w:keepNext w:val="0"/>
                    <w:keepLines w:val="0"/>
                    <w:pageBreakBefore w:val="0"/>
                    <w:widowControl/>
                    <w:suppressLineNumbers w:val="0"/>
                    <w:shd w:val="clear" w:color="auto" w:fill="auto"/>
                    <w:kinsoku/>
                    <w:wordWrap/>
                    <w:overflowPunct/>
                    <w:topLinePunct w:val="0"/>
                    <w:autoSpaceDE/>
                    <w:autoSpaceDN/>
                    <w:bidi w:val="0"/>
                    <w:snapToGrid w:val="0"/>
                    <w:spacing w:line="240" w:lineRule="auto"/>
                    <w:jc w:val="center"/>
                    <w:textAlignment w:val="center"/>
                    <w:rPr>
                      <w:rFonts w:hint="eastAsia" w:ascii="Times New Roman" w:hAnsi="Times New Roman" w:eastAsia="宋体" w:cs="Times New Roman"/>
                      <w:b/>
                      <w:bCs/>
                      <w:i w:val="0"/>
                      <w:iCs w:val="0"/>
                      <w:color w:val="auto"/>
                      <w:kern w:val="2"/>
                      <w:sz w:val="21"/>
                      <w:szCs w:val="21"/>
                      <w:highlight w:val="none"/>
                      <w:u w:val="none"/>
                      <w:lang w:val="en-US" w:eastAsia="zh-CN" w:bidi="ar-SA"/>
                    </w:rPr>
                  </w:pPr>
                  <w:r>
                    <w:rPr>
                      <w:rFonts w:hint="default" w:ascii="Times New Roman" w:hAnsi="Times New Roman" w:eastAsia="宋体" w:cs="Times New Roman"/>
                      <w:b/>
                      <w:bCs/>
                      <w:i w:val="0"/>
                      <w:iCs w:val="0"/>
                      <w:color w:val="auto"/>
                      <w:kern w:val="0"/>
                      <w:sz w:val="21"/>
                      <w:szCs w:val="21"/>
                      <w:highlight w:val="none"/>
                      <w:u w:val="none"/>
                      <w:lang w:val="en-US" w:eastAsia="zh-CN" w:bidi="ar"/>
                    </w:rPr>
                    <w:t>声源控制措施</w:t>
                  </w:r>
                </w:p>
              </w:tc>
              <w:tc>
                <w:tcPr>
                  <w:tcW w:w="1443" w:type="dxa"/>
                  <w:vMerge w:val="restart"/>
                  <w:tcBorders>
                    <w:tl2br w:val="nil"/>
                    <w:tr2bl w:val="nil"/>
                  </w:tcBorders>
                  <w:noWrap w:val="0"/>
                  <w:vAlign w:val="center"/>
                </w:tcPr>
                <w:p w14:paraId="4D44B21F">
                  <w:pPr>
                    <w:keepNext w:val="0"/>
                    <w:keepLines w:val="0"/>
                    <w:pageBreakBefore w:val="0"/>
                    <w:widowControl/>
                    <w:suppressLineNumbers w:val="0"/>
                    <w:shd w:val="clear" w:color="auto" w:fill="auto"/>
                    <w:kinsoku/>
                    <w:wordWrap/>
                    <w:overflowPunct/>
                    <w:topLinePunct w:val="0"/>
                    <w:autoSpaceDE/>
                    <w:autoSpaceDN/>
                    <w:bidi w:val="0"/>
                    <w:snapToGrid w:val="0"/>
                    <w:spacing w:line="240" w:lineRule="auto"/>
                    <w:jc w:val="center"/>
                    <w:textAlignment w:val="center"/>
                    <w:rPr>
                      <w:rFonts w:hint="eastAsia" w:ascii="Times New Roman" w:hAnsi="Times New Roman" w:eastAsia="宋体" w:cs="Times New Roman"/>
                      <w:b/>
                      <w:bCs/>
                      <w:i w:val="0"/>
                      <w:iCs w:val="0"/>
                      <w:color w:val="auto"/>
                      <w:kern w:val="2"/>
                      <w:sz w:val="21"/>
                      <w:szCs w:val="21"/>
                      <w:highlight w:val="none"/>
                      <w:u w:val="none"/>
                      <w:lang w:val="en-US" w:eastAsia="zh-CN" w:bidi="ar-SA"/>
                    </w:rPr>
                  </w:pPr>
                  <w:r>
                    <w:rPr>
                      <w:rFonts w:hint="default" w:ascii="Times New Roman" w:hAnsi="Times New Roman" w:eastAsia="宋体" w:cs="Times New Roman"/>
                      <w:b/>
                      <w:bCs/>
                      <w:i w:val="0"/>
                      <w:iCs w:val="0"/>
                      <w:color w:val="auto"/>
                      <w:kern w:val="0"/>
                      <w:sz w:val="21"/>
                      <w:szCs w:val="21"/>
                      <w:highlight w:val="none"/>
                      <w:u w:val="none"/>
                      <w:lang w:val="en-US" w:eastAsia="zh-CN" w:bidi="ar"/>
                    </w:rPr>
                    <w:t>运行时段</w:t>
                  </w:r>
                </w:p>
              </w:tc>
            </w:tr>
            <w:tr w14:paraId="320F09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0" w:type="dxa"/>
                  <w:vMerge w:val="continue"/>
                  <w:tcBorders>
                    <w:tl2br w:val="nil"/>
                    <w:tr2bl w:val="nil"/>
                  </w:tcBorders>
                  <w:noWrap w:val="0"/>
                  <w:vAlign w:val="center"/>
                </w:tcPr>
                <w:p w14:paraId="62F485D6">
                  <w:pPr>
                    <w:keepNext w:val="0"/>
                    <w:keepLines w:val="0"/>
                    <w:pageBreakBefore w:val="0"/>
                    <w:kinsoku/>
                    <w:wordWrap/>
                    <w:overflowPunct/>
                    <w:topLinePunct w:val="0"/>
                    <w:autoSpaceDE/>
                    <w:autoSpaceDN/>
                    <w:bidi w:val="0"/>
                    <w:adjustRightInd w:val="0"/>
                    <w:snapToGrid w:val="0"/>
                    <w:spacing w:line="240" w:lineRule="auto"/>
                    <w:rPr>
                      <w:rFonts w:hint="eastAsia"/>
                      <w:b/>
                      <w:bCs/>
                      <w:color w:val="auto"/>
                      <w:szCs w:val="21"/>
                      <w:vertAlign w:val="baseline"/>
                    </w:rPr>
                  </w:pPr>
                </w:p>
              </w:tc>
              <w:tc>
                <w:tcPr>
                  <w:tcW w:w="1601" w:type="dxa"/>
                  <w:vMerge w:val="continue"/>
                  <w:tcBorders>
                    <w:tl2br w:val="nil"/>
                    <w:tr2bl w:val="nil"/>
                  </w:tcBorders>
                  <w:noWrap w:val="0"/>
                  <w:vAlign w:val="center"/>
                </w:tcPr>
                <w:p w14:paraId="3D085297">
                  <w:pPr>
                    <w:keepNext w:val="0"/>
                    <w:keepLines w:val="0"/>
                    <w:pageBreakBefore w:val="0"/>
                    <w:kinsoku/>
                    <w:wordWrap/>
                    <w:overflowPunct/>
                    <w:topLinePunct w:val="0"/>
                    <w:autoSpaceDE/>
                    <w:autoSpaceDN/>
                    <w:bidi w:val="0"/>
                    <w:adjustRightInd w:val="0"/>
                    <w:snapToGrid w:val="0"/>
                    <w:spacing w:line="240" w:lineRule="auto"/>
                    <w:rPr>
                      <w:rFonts w:hint="eastAsia"/>
                      <w:b/>
                      <w:bCs/>
                      <w:color w:val="auto"/>
                      <w:szCs w:val="21"/>
                      <w:vertAlign w:val="baseline"/>
                    </w:rPr>
                  </w:pPr>
                </w:p>
              </w:tc>
              <w:tc>
                <w:tcPr>
                  <w:tcW w:w="1435" w:type="dxa"/>
                  <w:vMerge w:val="continue"/>
                  <w:tcBorders>
                    <w:tl2br w:val="nil"/>
                    <w:tr2bl w:val="nil"/>
                  </w:tcBorders>
                  <w:noWrap w:val="0"/>
                  <w:vAlign w:val="center"/>
                </w:tcPr>
                <w:p w14:paraId="2DFEAF1B">
                  <w:pPr>
                    <w:keepNext w:val="0"/>
                    <w:keepLines w:val="0"/>
                    <w:pageBreakBefore w:val="0"/>
                    <w:kinsoku/>
                    <w:wordWrap/>
                    <w:overflowPunct/>
                    <w:topLinePunct w:val="0"/>
                    <w:autoSpaceDE/>
                    <w:autoSpaceDN/>
                    <w:bidi w:val="0"/>
                    <w:adjustRightInd w:val="0"/>
                    <w:snapToGrid w:val="0"/>
                    <w:spacing w:line="240" w:lineRule="auto"/>
                    <w:rPr>
                      <w:rFonts w:hint="eastAsia"/>
                      <w:b/>
                      <w:bCs/>
                      <w:color w:val="auto"/>
                      <w:szCs w:val="21"/>
                      <w:vertAlign w:val="baseline"/>
                    </w:rPr>
                  </w:pPr>
                </w:p>
              </w:tc>
              <w:tc>
                <w:tcPr>
                  <w:tcW w:w="1050" w:type="dxa"/>
                  <w:tcBorders>
                    <w:tl2br w:val="nil"/>
                    <w:tr2bl w:val="nil"/>
                  </w:tcBorders>
                  <w:noWrap w:val="0"/>
                  <w:vAlign w:val="center"/>
                </w:tcPr>
                <w:p w14:paraId="619E6FC6">
                  <w:pPr>
                    <w:keepNext w:val="0"/>
                    <w:keepLines w:val="0"/>
                    <w:pageBreakBefore w:val="0"/>
                    <w:widowControl/>
                    <w:suppressLineNumbers w:val="0"/>
                    <w:shd w:val="clear" w:color="auto" w:fill="auto"/>
                    <w:kinsoku/>
                    <w:wordWrap/>
                    <w:overflowPunct/>
                    <w:topLinePunct w:val="0"/>
                    <w:autoSpaceDE/>
                    <w:autoSpaceDN/>
                    <w:bidi w:val="0"/>
                    <w:snapToGrid w:val="0"/>
                    <w:spacing w:line="240" w:lineRule="auto"/>
                    <w:jc w:val="center"/>
                    <w:textAlignment w:val="center"/>
                    <w:rPr>
                      <w:rFonts w:hint="eastAsia" w:ascii="Times New Roman" w:hAnsi="Times New Roman" w:eastAsia="宋体" w:cs="Times New Roman"/>
                      <w:b/>
                      <w:bCs/>
                      <w:i w:val="0"/>
                      <w:iCs w:val="0"/>
                      <w:color w:val="auto"/>
                      <w:kern w:val="2"/>
                      <w:sz w:val="21"/>
                      <w:szCs w:val="21"/>
                      <w:highlight w:val="none"/>
                      <w:u w:val="none"/>
                      <w:lang w:val="en-US" w:eastAsia="zh-CN" w:bidi="ar-SA"/>
                    </w:rPr>
                  </w:pPr>
                  <w:r>
                    <w:rPr>
                      <w:rFonts w:hint="default" w:ascii="Times New Roman" w:hAnsi="Times New Roman" w:eastAsia="宋体" w:cs="Times New Roman"/>
                      <w:b/>
                      <w:bCs/>
                      <w:i w:val="0"/>
                      <w:iCs w:val="0"/>
                      <w:color w:val="auto"/>
                      <w:kern w:val="0"/>
                      <w:sz w:val="21"/>
                      <w:szCs w:val="21"/>
                      <w:highlight w:val="none"/>
                      <w:u w:val="none"/>
                      <w:lang w:val="en-US" w:eastAsia="zh-CN" w:bidi="ar"/>
                    </w:rPr>
                    <w:t>X</w:t>
                  </w:r>
                </w:p>
              </w:tc>
              <w:tc>
                <w:tcPr>
                  <w:tcW w:w="1050" w:type="dxa"/>
                  <w:tcBorders>
                    <w:tl2br w:val="nil"/>
                    <w:tr2bl w:val="nil"/>
                  </w:tcBorders>
                  <w:noWrap w:val="0"/>
                  <w:vAlign w:val="center"/>
                </w:tcPr>
                <w:p w14:paraId="7A35433E">
                  <w:pPr>
                    <w:keepNext w:val="0"/>
                    <w:keepLines w:val="0"/>
                    <w:pageBreakBefore w:val="0"/>
                    <w:widowControl/>
                    <w:suppressLineNumbers w:val="0"/>
                    <w:shd w:val="clear" w:color="auto" w:fill="auto"/>
                    <w:kinsoku/>
                    <w:wordWrap/>
                    <w:overflowPunct/>
                    <w:topLinePunct w:val="0"/>
                    <w:autoSpaceDE/>
                    <w:autoSpaceDN/>
                    <w:bidi w:val="0"/>
                    <w:snapToGrid w:val="0"/>
                    <w:spacing w:line="240" w:lineRule="auto"/>
                    <w:jc w:val="center"/>
                    <w:textAlignment w:val="center"/>
                    <w:rPr>
                      <w:rFonts w:hint="eastAsia" w:ascii="Times New Roman" w:hAnsi="Times New Roman" w:eastAsia="宋体" w:cs="Times New Roman"/>
                      <w:b/>
                      <w:bCs/>
                      <w:i w:val="0"/>
                      <w:iCs w:val="0"/>
                      <w:color w:val="auto"/>
                      <w:kern w:val="2"/>
                      <w:sz w:val="21"/>
                      <w:szCs w:val="21"/>
                      <w:highlight w:val="none"/>
                      <w:u w:val="none"/>
                      <w:lang w:val="en-US" w:eastAsia="zh-CN" w:bidi="ar-SA"/>
                    </w:rPr>
                  </w:pPr>
                  <w:r>
                    <w:rPr>
                      <w:rFonts w:hint="default" w:ascii="Times New Roman" w:hAnsi="Times New Roman" w:eastAsia="宋体" w:cs="Times New Roman"/>
                      <w:b/>
                      <w:bCs/>
                      <w:i w:val="0"/>
                      <w:iCs w:val="0"/>
                      <w:color w:val="auto"/>
                      <w:kern w:val="0"/>
                      <w:sz w:val="21"/>
                      <w:szCs w:val="21"/>
                      <w:highlight w:val="none"/>
                      <w:u w:val="none"/>
                      <w:lang w:val="en-US" w:eastAsia="zh-CN" w:bidi="ar"/>
                    </w:rPr>
                    <w:t>Y</w:t>
                  </w:r>
                </w:p>
              </w:tc>
              <w:tc>
                <w:tcPr>
                  <w:tcW w:w="1061" w:type="dxa"/>
                  <w:tcBorders>
                    <w:tl2br w:val="nil"/>
                    <w:tr2bl w:val="nil"/>
                  </w:tcBorders>
                  <w:noWrap w:val="0"/>
                  <w:vAlign w:val="center"/>
                </w:tcPr>
                <w:p w14:paraId="2C175467">
                  <w:pPr>
                    <w:keepNext w:val="0"/>
                    <w:keepLines w:val="0"/>
                    <w:pageBreakBefore w:val="0"/>
                    <w:widowControl/>
                    <w:suppressLineNumbers w:val="0"/>
                    <w:shd w:val="clear" w:color="auto" w:fill="auto"/>
                    <w:kinsoku/>
                    <w:wordWrap/>
                    <w:overflowPunct/>
                    <w:topLinePunct w:val="0"/>
                    <w:autoSpaceDE/>
                    <w:autoSpaceDN/>
                    <w:bidi w:val="0"/>
                    <w:snapToGrid w:val="0"/>
                    <w:spacing w:line="240" w:lineRule="auto"/>
                    <w:jc w:val="center"/>
                    <w:textAlignment w:val="center"/>
                    <w:rPr>
                      <w:rFonts w:hint="eastAsia" w:ascii="Times New Roman" w:hAnsi="Times New Roman" w:eastAsia="宋体" w:cs="Times New Roman"/>
                      <w:b/>
                      <w:bCs/>
                      <w:i w:val="0"/>
                      <w:iCs w:val="0"/>
                      <w:color w:val="auto"/>
                      <w:kern w:val="2"/>
                      <w:sz w:val="21"/>
                      <w:szCs w:val="21"/>
                      <w:highlight w:val="none"/>
                      <w:u w:val="none"/>
                      <w:lang w:val="en-US" w:eastAsia="zh-CN" w:bidi="ar-SA"/>
                    </w:rPr>
                  </w:pPr>
                  <w:r>
                    <w:rPr>
                      <w:rFonts w:hint="default" w:ascii="Times New Roman" w:hAnsi="Times New Roman" w:eastAsia="宋体" w:cs="Times New Roman"/>
                      <w:b/>
                      <w:bCs/>
                      <w:i w:val="0"/>
                      <w:iCs w:val="0"/>
                      <w:color w:val="auto"/>
                      <w:kern w:val="0"/>
                      <w:sz w:val="21"/>
                      <w:szCs w:val="21"/>
                      <w:highlight w:val="none"/>
                      <w:u w:val="none"/>
                      <w:lang w:val="en-US" w:eastAsia="zh-CN" w:bidi="ar"/>
                    </w:rPr>
                    <w:t>Z</w:t>
                  </w:r>
                </w:p>
              </w:tc>
              <w:tc>
                <w:tcPr>
                  <w:tcW w:w="1708" w:type="dxa"/>
                  <w:vMerge w:val="continue"/>
                  <w:tcBorders>
                    <w:tl2br w:val="nil"/>
                    <w:tr2bl w:val="nil"/>
                  </w:tcBorders>
                  <w:noWrap w:val="0"/>
                  <w:vAlign w:val="center"/>
                </w:tcPr>
                <w:p w14:paraId="0FDD03F8">
                  <w:pPr>
                    <w:keepNext w:val="0"/>
                    <w:keepLines w:val="0"/>
                    <w:pageBreakBefore w:val="0"/>
                    <w:kinsoku/>
                    <w:wordWrap/>
                    <w:overflowPunct/>
                    <w:topLinePunct w:val="0"/>
                    <w:autoSpaceDE/>
                    <w:autoSpaceDN/>
                    <w:bidi w:val="0"/>
                    <w:adjustRightInd w:val="0"/>
                    <w:snapToGrid w:val="0"/>
                    <w:spacing w:line="240" w:lineRule="auto"/>
                    <w:rPr>
                      <w:rFonts w:hint="eastAsia"/>
                      <w:b/>
                      <w:bCs/>
                      <w:color w:val="auto"/>
                      <w:szCs w:val="21"/>
                      <w:vertAlign w:val="baseline"/>
                    </w:rPr>
                  </w:pPr>
                </w:p>
              </w:tc>
              <w:tc>
                <w:tcPr>
                  <w:tcW w:w="2688" w:type="dxa"/>
                  <w:vMerge w:val="continue"/>
                  <w:tcBorders>
                    <w:tl2br w:val="nil"/>
                    <w:tr2bl w:val="nil"/>
                  </w:tcBorders>
                  <w:noWrap w:val="0"/>
                  <w:vAlign w:val="center"/>
                </w:tcPr>
                <w:p w14:paraId="37654257">
                  <w:pPr>
                    <w:keepNext w:val="0"/>
                    <w:keepLines w:val="0"/>
                    <w:pageBreakBefore w:val="0"/>
                    <w:kinsoku/>
                    <w:wordWrap/>
                    <w:overflowPunct/>
                    <w:topLinePunct w:val="0"/>
                    <w:autoSpaceDE/>
                    <w:autoSpaceDN/>
                    <w:bidi w:val="0"/>
                    <w:adjustRightInd w:val="0"/>
                    <w:snapToGrid w:val="0"/>
                    <w:spacing w:line="240" w:lineRule="auto"/>
                    <w:rPr>
                      <w:rFonts w:hint="eastAsia"/>
                      <w:b/>
                      <w:bCs/>
                      <w:color w:val="auto"/>
                      <w:szCs w:val="21"/>
                      <w:vertAlign w:val="baseline"/>
                    </w:rPr>
                  </w:pPr>
                </w:p>
              </w:tc>
              <w:tc>
                <w:tcPr>
                  <w:tcW w:w="1443" w:type="dxa"/>
                  <w:vMerge w:val="continue"/>
                  <w:tcBorders>
                    <w:tl2br w:val="nil"/>
                    <w:tr2bl w:val="nil"/>
                  </w:tcBorders>
                  <w:noWrap w:val="0"/>
                  <w:vAlign w:val="center"/>
                </w:tcPr>
                <w:p w14:paraId="0566F27B">
                  <w:pPr>
                    <w:keepNext w:val="0"/>
                    <w:keepLines w:val="0"/>
                    <w:pageBreakBefore w:val="0"/>
                    <w:kinsoku/>
                    <w:wordWrap/>
                    <w:overflowPunct/>
                    <w:topLinePunct w:val="0"/>
                    <w:autoSpaceDE/>
                    <w:autoSpaceDN/>
                    <w:bidi w:val="0"/>
                    <w:adjustRightInd w:val="0"/>
                    <w:snapToGrid w:val="0"/>
                    <w:spacing w:line="240" w:lineRule="auto"/>
                    <w:rPr>
                      <w:rFonts w:hint="eastAsia"/>
                      <w:b/>
                      <w:bCs/>
                      <w:color w:val="auto"/>
                      <w:szCs w:val="21"/>
                      <w:vertAlign w:val="baseline"/>
                    </w:rPr>
                  </w:pPr>
                </w:p>
              </w:tc>
            </w:tr>
            <w:tr w14:paraId="058CDE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0" w:type="dxa"/>
                  <w:tcBorders>
                    <w:tl2br w:val="nil"/>
                    <w:tr2bl w:val="nil"/>
                  </w:tcBorders>
                  <w:noWrap w:val="0"/>
                  <w:vAlign w:val="center"/>
                </w:tcPr>
                <w:p w14:paraId="5288A98D">
                  <w:pPr>
                    <w:keepNext w:val="0"/>
                    <w:keepLines w:val="0"/>
                    <w:pageBreakBefore w:val="0"/>
                    <w:kinsoku/>
                    <w:wordWrap/>
                    <w:overflowPunct/>
                    <w:topLinePunct w:val="0"/>
                    <w:autoSpaceDE/>
                    <w:autoSpaceDN/>
                    <w:bidi w:val="0"/>
                    <w:adjustRightInd w:val="0"/>
                    <w:snapToGrid w:val="0"/>
                    <w:spacing w:line="240" w:lineRule="auto"/>
                    <w:jc w:val="center"/>
                    <w:rPr>
                      <w:rFonts w:hint="eastAsia" w:eastAsia="宋体"/>
                      <w:b w:val="0"/>
                      <w:bCs w:val="0"/>
                      <w:color w:val="auto"/>
                      <w:szCs w:val="21"/>
                      <w:vertAlign w:val="baseline"/>
                      <w:lang w:val="en-US" w:eastAsia="zh-CN"/>
                    </w:rPr>
                  </w:pPr>
                  <w:r>
                    <w:rPr>
                      <w:rFonts w:hint="eastAsia"/>
                      <w:b w:val="0"/>
                      <w:bCs w:val="0"/>
                      <w:color w:val="auto"/>
                      <w:szCs w:val="21"/>
                      <w:vertAlign w:val="baseline"/>
                      <w:lang w:val="en-US" w:eastAsia="zh-CN"/>
                    </w:rPr>
                    <w:t>1</w:t>
                  </w:r>
                </w:p>
              </w:tc>
              <w:tc>
                <w:tcPr>
                  <w:tcW w:w="1601" w:type="dxa"/>
                  <w:tcBorders>
                    <w:tl2br w:val="nil"/>
                    <w:tr2bl w:val="nil"/>
                  </w:tcBorders>
                  <w:noWrap w:val="0"/>
                  <w:vAlign w:val="center"/>
                </w:tcPr>
                <w:p w14:paraId="37F0C036">
                  <w:pPr>
                    <w:keepNext w:val="0"/>
                    <w:keepLines w:val="0"/>
                    <w:pageBreakBefore w:val="0"/>
                    <w:kinsoku/>
                    <w:wordWrap/>
                    <w:overflowPunct/>
                    <w:topLinePunct w:val="0"/>
                    <w:autoSpaceDE/>
                    <w:autoSpaceDN/>
                    <w:bidi w:val="0"/>
                    <w:adjustRightInd w:val="0"/>
                    <w:snapToGrid w:val="0"/>
                    <w:spacing w:line="240" w:lineRule="auto"/>
                    <w:jc w:val="center"/>
                    <w:rPr>
                      <w:rFonts w:hint="eastAsia" w:eastAsia="宋体"/>
                      <w:b w:val="0"/>
                      <w:bCs w:val="0"/>
                      <w:color w:val="auto"/>
                      <w:szCs w:val="21"/>
                      <w:vertAlign w:val="baseline"/>
                      <w:lang w:val="en-US" w:eastAsia="zh-CN"/>
                    </w:rPr>
                  </w:pPr>
                  <w:r>
                    <w:rPr>
                      <w:rFonts w:hint="eastAsia"/>
                      <w:b w:val="0"/>
                      <w:bCs w:val="0"/>
                      <w:color w:val="auto"/>
                      <w:szCs w:val="21"/>
                      <w:vertAlign w:val="baseline"/>
                      <w:lang w:val="en-US" w:eastAsia="zh-CN"/>
                    </w:rPr>
                    <w:t>风机</w:t>
                  </w:r>
                </w:p>
              </w:tc>
              <w:tc>
                <w:tcPr>
                  <w:tcW w:w="1435" w:type="dxa"/>
                  <w:tcBorders>
                    <w:tl2br w:val="nil"/>
                    <w:tr2bl w:val="nil"/>
                  </w:tcBorders>
                  <w:noWrap w:val="0"/>
                  <w:vAlign w:val="center"/>
                </w:tcPr>
                <w:p w14:paraId="4D83F45E">
                  <w:pPr>
                    <w:keepNext w:val="0"/>
                    <w:keepLines w:val="0"/>
                    <w:pageBreakBefore w:val="0"/>
                    <w:kinsoku/>
                    <w:wordWrap/>
                    <w:overflowPunct/>
                    <w:topLinePunct w:val="0"/>
                    <w:autoSpaceDE/>
                    <w:autoSpaceDN/>
                    <w:bidi w:val="0"/>
                    <w:adjustRightInd w:val="0"/>
                    <w:snapToGrid w:val="0"/>
                    <w:spacing w:line="240" w:lineRule="auto"/>
                    <w:jc w:val="center"/>
                    <w:rPr>
                      <w:rFonts w:hint="eastAsia" w:eastAsia="宋体"/>
                      <w:b w:val="0"/>
                      <w:bCs w:val="0"/>
                      <w:color w:val="auto"/>
                      <w:szCs w:val="21"/>
                      <w:vertAlign w:val="baseline"/>
                      <w:lang w:val="en-US" w:eastAsia="zh-CN"/>
                    </w:rPr>
                  </w:pPr>
                  <w:r>
                    <w:rPr>
                      <w:rFonts w:hint="eastAsia"/>
                      <w:b w:val="0"/>
                      <w:bCs w:val="0"/>
                      <w:color w:val="auto"/>
                      <w:szCs w:val="21"/>
                      <w:vertAlign w:val="baseline"/>
                      <w:lang w:val="en-US" w:eastAsia="zh-CN"/>
                    </w:rPr>
                    <w:t>/</w:t>
                  </w:r>
                </w:p>
              </w:tc>
              <w:tc>
                <w:tcPr>
                  <w:tcW w:w="1050" w:type="dxa"/>
                  <w:tcBorders>
                    <w:tl2br w:val="nil"/>
                    <w:tr2bl w:val="nil"/>
                  </w:tcBorders>
                  <w:noWrap w:val="0"/>
                  <w:vAlign w:val="center"/>
                </w:tcPr>
                <w:p w14:paraId="6DCA2E9D">
                  <w:pPr>
                    <w:keepNext w:val="0"/>
                    <w:keepLines w:val="0"/>
                    <w:pageBreakBefore w:val="0"/>
                    <w:kinsoku/>
                    <w:wordWrap/>
                    <w:overflowPunct/>
                    <w:topLinePunct w:val="0"/>
                    <w:autoSpaceDE/>
                    <w:autoSpaceDN/>
                    <w:bidi w:val="0"/>
                    <w:adjustRightInd w:val="0"/>
                    <w:snapToGrid w:val="0"/>
                    <w:spacing w:line="240" w:lineRule="auto"/>
                    <w:jc w:val="center"/>
                    <w:rPr>
                      <w:rFonts w:hint="default" w:eastAsia="宋体"/>
                      <w:b w:val="0"/>
                      <w:bCs w:val="0"/>
                      <w:color w:val="auto"/>
                      <w:szCs w:val="21"/>
                      <w:vertAlign w:val="baseline"/>
                      <w:lang w:val="en-US" w:eastAsia="zh-CN"/>
                    </w:rPr>
                  </w:pPr>
                  <w:r>
                    <w:rPr>
                      <w:rFonts w:hint="eastAsia"/>
                      <w:b w:val="0"/>
                      <w:bCs w:val="0"/>
                      <w:color w:val="auto"/>
                      <w:szCs w:val="21"/>
                      <w:vertAlign w:val="baseline"/>
                      <w:lang w:val="en-US" w:eastAsia="zh-CN"/>
                    </w:rPr>
                    <w:t>219</w:t>
                  </w:r>
                </w:p>
              </w:tc>
              <w:tc>
                <w:tcPr>
                  <w:tcW w:w="1050" w:type="dxa"/>
                  <w:tcBorders>
                    <w:tl2br w:val="nil"/>
                    <w:tr2bl w:val="nil"/>
                  </w:tcBorders>
                  <w:noWrap w:val="0"/>
                  <w:vAlign w:val="center"/>
                </w:tcPr>
                <w:p w14:paraId="1503EB72">
                  <w:pPr>
                    <w:keepNext w:val="0"/>
                    <w:keepLines w:val="0"/>
                    <w:pageBreakBefore w:val="0"/>
                    <w:kinsoku/>
                    <w:wordWrap/>
                    <w:overflowPunct/>
                    <w:topLinePunct w:val="0"/>
                    <w:autoSpaceDE/>
                    <w:autoSpaceDN/>
                    <w:bidi w:val="0"/>
                    <w:adjustRightInd w:val="0"/>
                    <w:snapToGrid w:val="0"/>
                    <w:spacing w:line="240" w:lineRule="auto"/>
                    <w:jc w:val="center"/>
                    <w:rPr>
                      <w:rFonts w:hint="default" w:eastAsia="宋体"/>
                      <w:b w:val="0"/>
                      <w:bCs w:val="0"/>
                      <w:color w:val="auto"/>
                      <w:szCs w:val="21"/>
                      <w:vertAlign w:val="baseline"/>
                      <w:lang w:val="en-US" w:eastAsia="zh-CN"/>
                    </w:rPr>
                  </w:pPr>
                  <w:r>
                    <w:rPr>
                      <w:rFonts w:hint="eastAsia"/>
                      <w:b w:val="0"/>
                      <w:bCs w:val="0"/>
                      <w:color w:val="auto"/>
                      <w:szCs w:val="21"/>
                      <w:vertAlign w:val="baseline"/>
                      <w:lang w:val="en-US" w:eastAsia="zh-CN"/>
                    </w:rPr>
                    <w:t>91</w:t>
                  </w:r>
                </w:p>
              </w:tc>
              <w:tc>
                <w:tcPr>
                  <w:tcW w:w="1061" w:type="dxa"/>
                  <w:tcBorders>
                    <w:tl2br w:val="nil"/>
                    <w:tr2bl w:val="nil"/>
                  </w:tcBorders>
                  <w:noWrap w:val="0"/>
                  <w:vAlign w:val="center"/>
                </w:tcPr>
                <w:p w14:paraId="7C5CE57A">
                  <w:pPr>
                    <w:keepNext w:val="0"/>
                    <w:keepLines w:val="0"/>
                    <w:pageBreakBefore w:val="0"/>
                    <w:kinsoku/>
                    <w:wordWrap/>
                    <w:overflowPunct/>
                    <w:topLinePunct w:val="0"/>
                    <w:autoSpaceDE/>
                    <w:autoSpaceDN/>
                    <w:bidi w:val="0"/>
                    <w:adjustRightInd w:val="0"/>
                    <w:snapToGrid w:val="0"/>
                    <w:spacing w:line="240" w:lineRule="auto"/>
                    <w:jc w:val="center"/>
                    <w:rPr>
                      <w:rFonts w:hint="eastAsia" w:eastAsia="宋体"/>
                      <w:b w:val="0"/>
                      <w:bCs w:val="0"/>
                      <w:color w:val="auto"/>
                      <w:szCs w:val="21"/>
                      <w:vertAlign w:val="baseline"/>
                      <w:lang w:val="en-US" w:eastAsia="zh-CN"/>
                    </w:rPr>
                  </w:pPr>
                  <w:r>
                    <w:rPr>
                      <w:rFonts w:hint="eastAsia"/>
                      <w:b w:val="0"/>
                      <w:bCs w:val="0"/>
                      <w:color w:val="auto"/>
                      <w:szCs w:val="21"/>
                      <w:vertAlign w:val="baseline"/>
                      <w:lang w:val="en-US" w:eastAsia="zh-CN"/>
                    </w:rPr>
                    <w:t>1</w:t>
                  </w:r>
                </w:p>
              </w:tc>
              <w:tc>
                <w:tcPr>
                  <w:tcW w:w="1708" w:type="dxa"/>
                  <w:tcBorders>
                    <w:tl2br w:val="nil"/>
                    <w:tr2bl w:val="nil"/>
                  </w:tcBorders>
                  <w:noWrap w:val="0"/>
                  <w:vAlign w:val="center"/>
                </w:tcPr>
                <w:p w14:paraId="7B5CD76A">
                  <w:pPr>
                    <w:keepNext w:val="0"/>
                    <w:keepLines w:val="0"/>
                    <w:pageBreakBefore w:val="0"/>
                    <w:kinsoku/>
                    <w:wordWrap/>
                    <w:overflowPunct/>
                    <w:topLinePunct w:val="0"/>
                    <w:autoSpaceDE/>
                    <w:autoSpaceDN/>
                    <w:bidi w:val="0"/>
                    <w:adjustRightInd w:val="0"/>
                    <w:snapToGrid w:val="0"/>
                    <w:spacing w:line="240" w:lineRule="auto"/>
                    <w:jc w:val="center"/>
                    <w:rPr>
                      <w:rFonts w:hint="default" w:eastAsia="宋体"/>
                      <w:b w:val="0"/>
                      <w:bCs w:val="0"/>
                      <w:color w:val="auto"/>
                      <w:szCs w:val="21"/>
                      <w:vertAlign w:val="baseline"/>
                      <w:lang w:val="en-US" w:eastAsia="zh-CN"/>
                    </w:rPr>
                  </w:pPr>
                  <w:r>
                    <w:rPr>
                      <w:rFonts w:hint="eastAsia"/>
                      <w:b w:val="0"/>
                      <w:bCs w:val="0"/>
                      <w:color w:val="auto"/>
                      <w:szCs w:val="21"/>
                      <w:vertAlign w:val="baseline"/>
                      <w:lang w:val="en-US" w:eastAsia="zh-CN"/>
                    </w:rPr>
                    <w:t>80</w:t>
                  </w:r>
                </w:p>
              </w:tc>
              <w:tc>
                <w:tcPr>
                  <w:tcW w:w="2688" w:type="dxa"/>
                  <w:tcBorders>
                    <w:tl2br w:val="nil"/>
                    <w:tr2bl w:val="nil"/>
                  </w:tcBorders>
                  <w:noWrap w:val="0"/>
                  <w:vAlign w:val="center"/>
                </w:tcPr>
                <w:p w14:paraId="2C592E1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val="0"/>
                      <w:color w:val="auto"/>
                      <w:szCs w:val="21"/>
                      <w:vertAlign w:val="baseline"/>
                    </w:rPr>
                  </w:pPr>
                  <w:r>
                    <w:rPr>
                      <w:rFonts w:hint="default" w:ascii="Times New Roman" w:hAnsi="Times New Roman" w:eastAsia="宋体" w:cs="Times New Roman"/>
                      <w:b w:val="0"/>
                      <w:bCs w:val="0"/>
                      <w:i w:val="0"/>
                      <w:iCs w:val="0"/>
                      <w:color w:val="auto"/>
                      <w:kern w:val="0"/>
                      <w:sz w:val="21"/>
                      <w:szCs w:val="21"/>
                      <w:highlight w:val="none"/>
                      <w:u w:val="none"/>
                      <w:lang w:val="en-US" w:eastAsia="zh-CN" w:bidi="ar"/>
                    </w:rPr>
                    <w:t>选用低噪声设备、加装隔声罩、减震垫</w:t>
                  </w:r>
                  <w:r>
                    <w:rPr>
                      <w:rFonts w:hint="eastAsia" w:cs="Times New Roman"/>
                      <w:b w:val="0"/>
                      <w:bCs w:val="0"/>
                      <w:i w:val="0"/>
                      <w:iCs w:val="0"/>
                      <w:color w:val="auto"/>
                      <w:kern w:val="0"/>
                      <w:sz w:val="21"/>
                      <w:szCs w:val="21"/>
                      <w:highlight w:val="none"/>
                      <w:u w:val="none"/>
                      <w:lang w:val="en-US" w:eastAsia="zh-CN" w:bidi="ar"/>
                    </w:rPr>
                    <w:t>或消音器</w:t>
                  </w:r>
                  <w:r>
                    <w:rPr>
                      <w:rFonts w:hint="default" w:ascii="Times New Roman" w:hAnsi="Times New Roman" w:eastAsia="宋体" w:cs="Times New Roman"/>
                      <w:b w:val="0"/>
                      <w:bCs w:val="0"/>
                      <w:i w:val="0"/>
                      <w:iCs w:val="0"/>
                      <w:color w:val="auto"/>
                      <w:kern w:val="0"/>
                      <w:sz w:val="21"/>
                      <w:szCs w:val="21"/>
                      <w:highlight w:val="none"/>
                      <w:u w:val="none"/>
                      <w:lang w:val="en-US" w:eastAsia="zh-CN" w:bidi="ar"/>
                    </w:rPr>
                    <w:t>等</w:t>
                  </w:r>
                </w:p>
              </w:tc>
              <w:tc>
                <w:tcPr>
                  <w:tcW w:w="1443" w:type="dxa"/>
                  <w:tcBorders>
                    <w:tl2br w:val="nil"/>
                    <w:tr2bl w:val="nil"/>
                  </w:tcBorders>
                  <w:noWrap w:val="0"/>
                  <w:vAlign w:val="center"/>
                </w:tcPr>
                <w:p w14:paraId="1525D00A">
                  <w:pPr>
                    <w:keepNext w:val="0"/>
                    <w:keepLines w:val="0"/>
                    <w:pageBreakBefore w:val="0"/>
                    <w:kinsoku/>
                    <w:wordWrap/>
                    <w:overflowPunct/>
                    <w:topLinePunct w:val="0"/>
                    <w:autoSpaceDE/>
                    <w:autoSpaceDN/>
                    <w:bidi w:val="0"/>
                    <w:adjustRightInd w:val="0"/>
                    <w:snapToGrid w:val="0"/>
                    <w:spacing w:line="240" w:lineRule="auto"/>
                    <w:jc w:val="center"/>
                    <w:rPr>
                      <w:rFonts w:hint="eastAsia" w:eastAsia="宋体"/>
                      <w:b w:val="0"/>
                      <w:bCs w:val="0"/>
                      <w:color w:val="auto"/>
                      <w:szCs w:val="21"/>
                      <w:vertAlign w:val="baseline"/>
                      <w:lang w:val="en-US" w:eastAsia="zh-CN"/>
                    </w:rPr>
                  </w:pPr>
                  <w:r>
                    <w:rPr>
                      <w:rFonts w:hint="default" w:ascii="Times New Roman" w:hAnsi="Times New Roman" w:cs="Times New Roman"/>
                      <w:color w:val="auto"/>
                      <w:lang w:val="en-US" w:eastAsia="zh-CN"/>
                    </w:rPr>
                    <w:t>昼</w:t>
                  </w:r>
                  <w:r>
                    <w:rPr>
                      <w:rFonts w:hint="eastAsia" w:ascii="Times New Roman" w:hAnsi="Times New Roman" w:cs="Times New Roman"/>
                      <w:color w:val="auto"/>
                      <w:lang w:val="en-US" w:eastAsia="zh-CN"/>
                    </w:rPr>
                    <w:t>、夜</w:t>
                  </w:r>
                  <w:r>
                    <w:rPr>
                      <w:rFonts w:hint="default" w:ascii="Times New Roman" w:hAnsi="Times New Roman" w:cs="Times New Roman"/>
                      <w:color w:val="auto"/>
                      <w:lang w:val="en-US" w:eastAsia="zh-CN"/>
                    </w:rPr>
                    <w:t>间</w:t>
                  </w:r>
                </w:p>
              </w:tc>
            </w:tr>
            <w:tr w14:paraId="1FA987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996" w:type="dxa"/>
                  <w:gridSpan w:val="9"/>
                  <w:tcBorders>
                    <w:tl2br w:val="nil"/>
                    <w:tr2bl w:val="nil"/>
                  </w:tcBorders>
                  <w:noWrap w:val="0"/>
                  <w:vAlign w:val="center"/>
                </w:tcPr>
                <w:p w14:paraId="51FC61DC">
                  <w:pPr>
                    <w:keepNext w:val="0"/>
                    <w:keepLines w:val="0"/>
                    <w:pageBreakBefore w:val="0"/>
                    <w:kinsoku/>
                    <w:wordWrap/>
                    <w:overflowPunct/>
                    <w:topLinePunct w:val="0"/>
                    <w:autoSpaceDE/>
                    <w:autoSpaceDN/>
                    <w:bidi w:val="0"/>
                    <w:adjustRightInd w:val="0"/>
                    <w:snapToGrid w:val="0"/>
                    <w:spacing w:line="240" w:lineRule="auto"/>
                    <w:jc w:val="both"/>
                    <w:rPr>
                      <w:rFonts w:hint="eastAsia"/>
                      <w:b w:val="0"/>
                      <w:bCs w:val="0"/>
                      <w:color w:val="auto"/>
                      <w:szCs w:val="21"/>
                      <w:vertAlign w:val="baseline"/>
                      <w:lang w:val="en-US" w:eastAsia="zh-CN"/>
                    </w:rPr>
                  </w:pPr>
                  <w:r>
                    <w:rPr>
                      <w:rFonts w:hint="default" w:ascii="Times New Roman" w:hAnsi="Times New Roman" w:cs="Times New Roman"/>
                      <w:color w:val="auto"/>
                      <w:lang w:val="en-US" w:eastAsia="zh-CN"/>
                    </w:rPr>
                    <w:t>注：</w:t>
                  </w:r>
                  <w:r>
                    <w:rPr>
                      <w:rFonts w:hint="eastAsia"/>
                      <w:kern w:val="0"/>
                    </w:rPr>
                    <w:t>原点坐标为</w:t>
                  </w:r>
                  <w:r>
                    <w:rPr>
                      <w:rFonts w:hint="eastAsia"/>
                      <w:kern w:val="0"/>
                      <w:lang w:val="en-US" w:eastAsia="zh-CN"/>
                    </w:rPr>
                    <w:t>118.769591</w:t>
                  </w:r>
                  <w:r>
                    <w:rPr>
                      <w:kern w:val="0"/>
                    </w:rPr>
                    <w:t>°E</w:t>
                  </w:r>
                  <w:r>
                    <w:rPr>
                      <w:rFonts w:hint="eastAsia"/>
                      <w:kern w:val="0"/>
                    </w:rPr>
                    <w:t>，</w:t>
                  </w:r>
                  <w:r>
                    <w:rPr>
                      <w:rFonts w:hint="eastAsia"/>
                      <w:kern w:val="0"/>
                      <w:lang w:val="en-US" w:eastAsia="zh-CN"/>
                    </w:rPr>
                    <w:t>33.694552</w:t>
                  </w:r>
                  <w:r>
                    <w:rPr>
                      <w:kern w:val="0"/>
                    </w:rPr>
                    <w:t>°N</w:t>
                  </w:r>
                  <w:r>
                    <w:rPr>
                      <w:rFonts w:hint="eastAsia"/>
                      <w:kern w:val="0"/>
                    </w:rPr>
                    <w:t>。</w:t>
                  </w:r>
                </w:p>
              </w:tc>
            </w:tr>
          </w:tbl>
          <w:p w14:paraId="1B47EFAF">
            <w:pPr>
              <w:pStyle w:val="27"/>
              <w:spacing w:before="0" w:beforeAutospacing="0" w:after="0" w:afterAutospacing="0"/>
              <w:jc w:val="center"/>
              <w:rPr>
                <w:rFonts w:ascii="Times New Roman" w:hAnsi="Times New Roman"/>
                <w:snapToGrid w:val="0"/>
                <w:sz w:val="21"/>
                <w:szCs w:val="21"/>
              </w:rPr>
            </w:pPr>
          </w:p>
        </w:tc>
      </w:tr>
    </w:tbl>
    <w:p w14:paraId="12A07E65">
      <w:pPr>
        <w:pStyle w:val="27"/>
        <w:jc w:val="center"/>
        <w:rPr>
          <w:rFonts w:ascii="Times New Roman" w:hAnsi="Times New Roman" w:eastAsia="黑体"/>
          <w:snapToGrid w:val="0"/>
          <w:sz w:val="30"/>
          <w:szCs w:val="30"/>
        </w:rPr>
        <w:sectPr>
          <w:pgSz w:w="16840" w:h="11907" w:orient="landscape"/>
          <w:pgMar w:top="1531" w:right="1701" w:bottom="1531" w:left="2127" w:header="851" w:footer="851" w:gutter="0"/>
          <w:pgBorders>
            <w:top w:val="none" w:sz="0" w:space="0"/>
            <w:left w:val="none" w:sz="0" w:space="0"/>
            <w:bottom w:val="none" w:sz="0" w:space="0"/>
            <w:right w:val="none" w:sz="0" w:space="0"/>
          </w:pgBorders>
          <w:cols w:space="720" w:num="1"/>
          <w:docGrid w:type="lines" w:linePitch="294" w:charSpace="0"/>
        </w:sectPr>
      </w:pPr>
    </w:p>
    <w:tbl>
      <w:tblPr>
        <w:tblStyle w:val="30"/>
        <w:tblW w:w="940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0"/>
        <w:gridCol w:w="8650"/>
      </w:tblGrid>
      <w:tr w14:paraId="10B486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30" w:hRule="atLeast"/>
          <w:jc w:val="center"/>
        </w:trPr>
        <w:tc>
          <w:tcPr>
            <w:tcW w:w="750" w:type="dxa"/>
            <w:tcMar>
              <w:left w:w="28" w:type="dxa"/>
              <w:right w:w="28" w:type="dxa"/>
            </w:tcMar>
            <w:vAlign w:val="center"/>
          </w:tcPr>
          <w:p w14:paraId="61B2F425">
            <w:pPr>
              <w:adjustRightInd w:val="0"/>
              <w:snapToGrid w:val="0"/>
              <w:jc w:val="center"/>
              <w:rPr>
                <w:rFonts w:cs="宋体"/>
                <w:bCs/>
                <w:szCs w:val="21"/>
              </w:rPr>
            </w:pPr>
          </w:p>
        </w:tc>
        <w:tc>
          <w:tcPr>
            <w:tcW w:w="8650" w:type="dxa"/>
          </w:tcPr>
          <w:p w14:paraId="294D2395">
            <w:pPr>
              <w:spacing w:line="360" w:lineRule="auto"/>
              <w:rPr>
                <w:b/>
                <w:bCs/>
                <w:color w:val="auto"/>
                <w:szCs w:val="21"/>
              </w:rPr>
            </w:pPr>
            <w:r>
              <w:rPr>
                <w:rFonts w:hint="eastAsia"/>
                <w:b/>
                <w:bCs/>
                <w:color w:val="auto"/>
                <w:szCs w:val="21"/>
              </w:rPr>
              <w:t>3.2降噪措施</w:t>
            </w:r>
          </w:p>
          <w:p w14:paraId="0F5AD370">
            <w:pPr>
              <w:adjustRightInd w:val="0"/>
              <w:snapToGrid w:val="0"/>
              <w:spacing w:line="360" w:lineRule="auto"/>
              <w:ind w:firstLine="420" w:firstLineChars="200"/>
              <w:rPr>
                <w:color w:val="auto"/>
                <w:szCs w:val="21"/>
              </w:rPr>
            </w:pPr>
            <w:r>
              <w:rPr>
                <w:color w:val="auto"/>
                <w:szCs w:val="21"/>
              </w:rPr>
              <w:t>为降低噪声、改善环境质量，建设单位拟采取隔声、减振等防治措施</w:t>
            </w:r>
            <w:r>
              <w:rPr>
                <w:rFonts w:hint="eastAsia"/>
                <w:color w:val="auto"/>
                <w:szCs w:val="21"/>
              </w:rPr>
              <w:t>，具体如下</w:t>
            </w:r>
            <w:r>
              <w:rPr>
                <w:color w:val="auto"/>
                <w:szCs w:val="21"/>
              </w:rPr>
              <w:t>：</w:t>
            </w:r>
          </w:p>
          <w:p w14:paraId="2A6E2E08">
            <w:pPr>
              <w:numPr>
                <w:ilvl w:val="0"/>
                <w:numId w:val="11"/>
              </w:numPr>
              <w:adjustRightInd w:val="0"/>
              <w:snapToGrid w:val="0"/>
              <w:spacing w:line="360" w:lineRule="auto"/>
              <w:ind w:firstLine="420" w:firstLineChars="200"/>
              <w:rPr>
                <w:color w:val="auto"/>
                <w:szCs w:val="21"/>
              </w:rPr>
            </w:pPr>
            <w:r>
              <w:rPr>
                <w:color w:val="auto"/>
                <w:szCs w:val="21"/>
              </w:rPr>
              <w:t>合理设备选型，尽量选用低噪声设备；</w:t>
            </w:r>
          </w:p>
          <w:p w14:paraId="5FE8A12D">
            <w:pPr>
              <w:numPr>
                <w:ilvl w:val="0"/>
                <w:numId w:val="11"/>
              </w:numPr>
              <w:adjustRightInd w:val="0"/>
              <w:snapToGrid w:val="0"/>
              <w:spacing w:line="360" w:lineRule="auto"/>
              <w:ind w:firstLine="420" w:firstLineChars="200"/>
              <w:rPr>
                <w:color w:val="auto"/>
                <w:szCs w:val="21"/>
              </w:rPr>
            </w:pPr>
            <w:r>
              <w:rPr>
                <w:color w:val="auto"/>
                <w:szCs w:val="21"/>
              </w:rPr>
              <w:t>合理规划设备布局，将高噪声设备置于厂房中间；</w:t>
            </w:r>
          </w:p>
          <w:p w14:paraId="7A7C24FE">
            <w:pPr>
              <w:numPr>
                <w:ilvl w:val="0"/>
                <w:numId w:val="11"/>
              </w:numPr>
              <w:adjustRightInd w:val="0"/>
              <w:snapToGrid w:val="0"/>
              <w:spacing w:line="360" w:lineRule="auto"/>
              <w:ind w:firstLine="420" w:firstLineChars="200"/>
              <w:rPr>
                <w:color w:val="auto"/>
                <w:szCs w:val="21"/>
              </w:rPr>
            </w:pPr>
            <w:r>
              <w:rPr>
                <w:color w:val="auto"/>
                <w:szCs w:val="21"/>
              </w:rPr>
              <w:t>项目主要噪声设备采取基础减震，必要时加设隔声屏障；</w:t>
            </w:r>
          </w:p>
          <w:p w14:paraId="07A428D3">
            <w:pPr>
              <w:numPr>
                <w:ilvl w:val="0"/>
                <w:numId w:val="11"/>
              </w:numPr>
              <w:adjustRightInd w:val="0"/>
              <w:snapToGrid w:val="0"/>
              <w:spacing w:line="360" w:lineRule="auto"/>
              <w:ind w:firstLine="420" w:firstLineChars="200"/>
              <w:rPr>
                <w:color w:val="auto"/>
                <w:szCs w:val="21"/>
              </w:rPr>
            </w:pPr>
            <w:r>
              <w:rPr>
                <w:color w:val="auto"/>
                <w:szCs w:val="21"/>
              </w:rPr>
              <w:t>车间采用实墙隔声、隔震垫；</w:t>
            </w:r>
          </w:p>
          <w:p w14:paraId="3FBEE691">
            <w:pPr>
              <w:numPr>
                <w:ilvl w:val="0"/>
                <w:numId w:val="11"/>
              </w:numPr>
              <w:adjustRightInd w:val="0"/>
              <w:snapToGrid w:val="0"/>
              <w:spacing w:line="360" w:lineRule="auto"/>
              <w:ind w:firstLine="420" w:firstLineChars="200"/>
              <w:rPr>
                <w:color w:val="auto"/>
                <w:szCs w:val="21"/>
              </w:rPr>
            </w:pPr>
            <w:r>
              <w:rPr>
                <w:color w:val="auto"/>
                <w:szCs w:val="21"/>
              </w:rPr>
              <w:t>加强管理，设备定时检修，避免因设备不正常运行产生的噪声。</w:t>
            </w:r>
          </w:p>
          <w:p w14:paraId="19A02032">
            <w:pPr>
              <w:adjustRightInd w:val="0"/>
              <w:snapToGrid w:val="0"/>
              <w:spacing w:line="360" w:lineRule="auto"/>
              <w:ind w:firstLine="420" w:firstLineChars="200"/>
              <w:rPr>
                <w:color w:val="auto"/>
                <w:szCs w:val="21"/>
              </w:rPr>
            </w:pPr>
            <w:r>
              <w:rPr>
                <w:color w:val="auto"/>
                <w:szCs w:val="21"/>
              </w:rPr>
              <w:t>在运营期内加强管理，对设备定期保养，避免设备故障噪声，加强职工</w:t>
            </w:r>
            <w:r>
              <w:rPr>
                <w:rFonts w:hint="eastAsia"/>
                <w:color w:val="auto"/>
                <w:szCs w:val="21"/>
              </w:rPr>
              <w:t>教育，</w:t>
            </w:r>
            <w:r>
              <w:rPr>
                <w:color w:val="auto"/>
                <w:szCs w:val="21"/>
              </w:rPr>
              <w:t>要求职工文明操作。</w:t>
            </w:r>
          </w:p>
          <w:p w14:paraId="2EFFD7A3">
            <w:pPr>
              <w:adjustRightInd w:val="0"/>
              <w:snapToGrid w:val="0"/>
              <w:spacing w:line="360" w:lineRule="auto"/>
              <w:rPr>
                <w:b/>
                <w:bCs/>
                <w:color w:val="auto"/>
                <w:szCs w:val="21"/>
              </w:rPr>
            </w:pPr>
            <w:r>
              <w:rPr>
                <w:rFonts w:hint="eastAsia"/>
                <w:b/>
                <w:bCs/>
                <w:color w:val="auto"/>
                <w:szCs w:val="21"/>
              </w:rPr>
              <w:t>3.3厂界预测及达标情况分析</w:t>
            </w:r>
          </w:p>
          <w:p w14:paraId="280047E8">
            <w:pPr>
              <w:adjustRightInd w:val="0"/>
              <w:snapToGrid w:val="0"/>
              <w:spacing w:line="360" w:lineRule="auto"/>
              <w:ind w:firstLine="420" w:firstLineChars="200"/>
              <w:rPr>
                <w:color w:val="auto"/>
                <w:szCs w:val="21"/>
              </w:rPr>
            </w:pPr>
            <w:r>
              <w:rPr>
                <w:rFonts w:hint="eastAsia"/>
                <w:color w:val="auto"/>
                <w:szCs w:val="21"/>
              </w:rPr>
              <w:t>（1）声环境影响预测模式</w:t>
            </w:r>
          </w:p>
          <w:p w14:paraId="2DD351E5">
            <w:pPr>
              <w:adjustRightInd w:val="0"/>
              <w:snapToGrid w:val="0"/>
              <w:spacing w:line="360" w:lineRule="auto"/>
              <w:ind w:firstLine="420" w:firstLineChars="200"/>
              <w:rPr>
                <w:color w:val="auto"/>
                <w:szCs w:val="21"/>
              </w:rPr>
            </w:pPr>
            <w:r>
              <w:rPr>
                <w:color w:val="auto"/>
                <w:szCs w:val="21"/>
              </w:rPr>
              <w:t>根据《环境影响评价技术导则 声环境》（HJ2.4-2021）的规定，选取预测模式，应用过程中将根据具体情况作必要简化，计算过程如下：</w:t>
            </w:r>
          </w:p>
          <w:p w14:paraId="1EF98407">
            <w:pPr>
              <w:adjustRightInd w:val="0"/>
              <w:snapToGrid w:val="0"/>
              <w:spacing w:line="360" w:lineRule="auto"/>
              <w:ind w:firstLine="420" w:firstLineChars="200"/>
              <w:rPr>
                <w:color w:val="auto"/>
                <w:szCs w:val="21"/>
              </w:rPr>
            </w:pPr>
            <w:r>
              <w:rPr>
                <w:rFonts w:hint="eastAsia"/>
                <w:color w:val="auto"/>
                <w:szCs w:val="21"/>
              </w:rPr>
              <w:t>a.声环境影响预测模式</w:t>
            </w:r>
          </w:p>
          <w:p w14:paraId="654ABF1B">
            <w:pPr>
              <w:adjustRightInd w:val="0"/>
              <w:snapToGrid w:val="0"/>
              <w:spacing w:line="360" w:lineRule="auto"/>
              <w:jc w:val="center"/>
              <w:rPr>
                <w:color w:val="auto"/>
                <w:szCs w:val="21"/>
              </w:rPr>
            </w:pPr>
            <w:r>
              <w:rPr>
                <w:rFonts w:hint="eastAsia"/>
                <w:color w:val="auto"/>
                <w:szCs w:val="21"/>
              </w:rPr>
              <w:drawing>
                <wp:inline distT="0" distB="0" distL="114300" distR="114300">
                  <wp:extent cx="1403985" cy="287020"/>
                  <wp:effectExtent l="0" t="0" r="5715" b="17780"/>
                  <wp:docPr id="2" name="图片 11" descr="QQ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1" descr="QQQ"/>
                          <pic:cNvPicPr>
                            <a:picLocks noChangeAspect="1"/>
                          </pic:cNvPicPr>
                        </pic:nvPicPr>
                        <pic:blipFill>
                          <a:blip r:embed="rId22"/>
                          <a:stretch>
                            <a:fillRect/>
                          </a:stretch>
                        </pic:blipFill>
                        <pic:spPr>
                          <a:xfrm>
                            <a:off x="0" y="0"/>
                            <a:ext cx="1403985" cy="287020"/>
                          </a:xfrm>
                          <a:prstGeom prst="rect">
                            <a:avLst/>
                          </a:prstGeom>
                          <a:noFill/>
                          <a:ln>
                            <a:noFill/>
                          </a:ln>
                        </pic:spPr>
                      </pic:pic>
                    </a:graphicData>
                  </a:graphic>
                </wp:inline>
              </w:drawing>
            </w:r>
          </w:p>
          <w:p w14:paraId="7F926258">
            <w:pPr>
              <w:adjustRightInd w:val="0"/>
              <w:snapToGrid w:val="0"/>
              <w:spacing w:line="360" w:lineRule="auto"/>
              <w:ind w:firstLine="420" w:firstLineChars="200"/>
              <w:rPr>
                <w:color w:val="auto"/>
                <w:szCs w:val="21"/>
              </w:rPr>
            </w:pPr>
            <w:r>
              <w:rPr>
                <w:color w:val="auto"/>
                <w:szCs w:val="21"/>
              </w:rPr>
              <w:t>式中：L</w:t>
            </w:r>
            <w:r>
              <w:rPr>
                <w:rFonts w:hint="eastAsia"/>
                <w:color w:val="auto"/>
                <w:szCs w:val="21"/>
              </w:rPr>
              <w:t>p(</w:t>
            </w:r>
            <w:r>
              <w:rPr>
                <w:color w:val="auto"/>
                <w:szCs w:val="21"/>
              </w:rPr>
              <w:t>r</w:t>
            </w:r>
            <w:r>
              <w:rPr>
                <w:rFonts w:hint="eastAsia"/>
                <w:color w:val="auto"/>
                <w:szCs w:val="21"/>
              </w:rPr>
              <w:t>)</w:t>
            </w:r>
            <w:r>
              <w:rPr>
                <w:color w:val="auto"/>
                <w:szCs w:val="21"/>
              </w:rPr>
              <w:t>——</w:t>
            </w:r>
            <w:r>
              <w:rPr>
                <w:rFonts w:hint="eastAsia"/>
                <w:color w:val="auto"/>
                <w:szCs w:val="21"/>
              </w:rPr>
              <w:t>预测点处声压级，dB；</w:t>
            </w:r>
          </w:p>
          <w:p w14:paraId="2DD3CD9F">
            <w:pPr>
              <w:adjustRightInd w:val="0"/>
              <w:snapToGrid w:val="0"/>
              <w:spacing w:line="360" w:lineRule="auto"/>
              <w:ind w:firstLine="1050" w:firstLineChars="500"/>
              <w:rPr>
                <w:color w:val="auto"/>
                <w:szCs w:val="21"/>
              </w:rPr>
            </w:pPr>
            <w:r>
              <w:rPr>
                <w:color w:val="auto"/>
                <w:szCs w:val="21"/>
              </w:rPr>
              <w:t>L</w:t>
            </w:r>
            <w:r>
              <w:rPr>
                <w:rFonts w:hint="eastAsia"/>
                <w:color w:val="auto"/>
                <w:szCs w:val="21"/>
              </w:rPr>
              <w:t>w</w:t>
            </w:r>
            <w:r>
              <w:rPr>
                <w:color w:val="auto"/>
                <w:szCs w:val="21"/>
              </w:rPr>
              <w:t>——</w:t>
            </w:r>
            <w:r>
              <w:rPr>
                <w:rFonts w:hint="eastAsia"/>
                <w:color w:val="auto"/>
                <w:szCs w:val="21"/>
              </w:rPr>
              <w:t>由点声源产生的倍频带声功率级</w:t>
            </w:r>
            <w:r>
              <w:rPr>
                <w:color w:val="auto"/>
                <w:szCs w:val="21"/>
              </w:rPr>
              <w:t>，dB；</w:t>
            </w:r>
          </w:p>
          <w:p w14:paraId="318405C9">
            <w:pPr>
              <w:adjustRightInd w:val="0"/>
              <w:snapToGrid w:val="0"/>
              <w:spacing w:line="360" w:lineRule="auto"/>
              <w:ind w:firstLine="1050" w:firstLineChars="500"/>
              <w:rPr>
                <w:color w:val="auto"/>
                <w:szCs w:val="21"/>
              </w:rPr>
            </w:pPr>
            <w:r>
              <w:rPr>
                <w:rFonts w:hint="eastAsia"/>
                <w:color w:val="auto"/>
                <w:szCs w:val="21"/>
              </w:rPr>
              <w:t>r</w:t>
            </w:r>
            <w:r>
              <w:rPr>
                <w:color w:val="auto"/>
                <w:szCs w:val="21"/>
              </w:rPr>
              <w:t>——</w:t>
            </w:r>
            <w:r>
              <w:rPr>
                <w:rFonts w:hint="eastAsia"/>
                <w:color w:val="auto"/>
                <w:szCs w:val="21"/>
              </w:rPr>
              <w:t>预测点距声源的距离。</w:t>
            </w:r>
          </w:p>
          <w:p w14:paraId="30DEAC43">
            <w:pPr>
              <w:adjustRightInd w:val="0"/>
              <w:snapToGrid w:val="0"/>
              <w:spacing w:line="360" w:lineRule="auto"/>
              <w:ind w:firstLine="420" w:firstLineChars="200"/>
              <w:rPr>
                <w:color w:val="auto"/>
                <w:szCs w:val="21"/>
              </w:rPr>
            </w:pPr>
            <w:r>
              <w:rPr>
                <w:rFonts w:hint="eastAsia"/>
                <w:color w:val="auto"/>
                <w:szCs w:val="21"/>
              </w:rPr>
              <w:t>b.声源在预测点产生的等效声级贡献值(Leqg)计算公式：</w:t>
            </w:r>
          </w:p>
          <w:p w14:paraId="698361AD">
            <w:pPr>
              <w:adjustRightInd w:val="0"/>
              <w:snapToGrid w:val="0"/>
              <w:spacing w:line="360" w:lineRule="auto"/>
              <w:ind w:firstLine="420" w:firstLineChars="200"/>
              <w:rPr>
                <w:color w:val="auto"/>
                <w:szCs w:val="21"/>
              </w:rPr>
            </w:pPr>
            <w:r>
              <w:rPr>
                <w:rFonts w:hint="eastAsia"/>
                <w:color w:val="auto"/>
                <w:szCs w:val="21"/>
              </w:rPr>
              <w:t>第i个室外声源在预测点产生的A声级为LAi，在T时间内该声源工作时间为ti；第j个等效室外声源在预测点产生的A声级为LAj，在T时间内该声源工作时间为tj，则拟建工程声源对预测点产生的贡献值（Leqg）为</w:t>
            </w:r>
            <w:r>
              <w:rPr>
                <w:color w:val="auto"/>
                <w:szCs w:val="21"/>
              </w:rPr>
              <w:t>：</w:t>
            </w:r>
          </w:p>
          <w:p w14:paraId="704713CB">
            <w:pPr>
              <w:adjustRightInd w:val="0"/>
              <w:snapToGrid w:val="0"/>
              <w:spacing w:line="360" w:lineRule="auto"/>
              <w:jc w:val="center"/>
              <w:rPr>
                <w:color w:val="auto"/>
                <w:szCs w:val="21"/>
              </w:rPr>
            </w:pPr>
            <w:r>
              <w:rPr>
                <w:color w:val="auto"/>
                <w:szCs w:val="21"/>
              </w:rPr>
              <w:object>
                <v:shape id="_x0000_i1027" o:spt="75" type="#_x0000_t75" style="height:31.65pt;width:162pt;" o:ole="t" filled="f" o:preferrelative="t" stroked="f" coordsize="21600,21600">
                  <v:path/>
                  <v:fill on="f" focussize="0,0"/>
                  <v:stroke on="f" joinstyle="miter"/>
                  <v:imagedata r:id="rId24" o:title=""/>
                  <o:lock v:ext="edit" aspectratio="t"/>
                  <w10:wrap type="none"/>
                  <w10:anchorlock/>
                </v:shape>
                <o:OLEObject Type="Embed" ProgID="Equation.KSEE3" ShapeID="_x0000_i1027" DrawAspect="Content" ObjectID="_1468075727" r:id="rId23">
                  <o:LockedField>false</o:LockedField>
                </o:OLEObject>
              </w:object>
            </w:r>
          </w:p>
          <w:p w14:paraId="71CF4CCD">
            <w:pPr>
              <w:adjustRightInd w:val="0"/>
              <w:snapToGrid w:val="0"/>
              <w:spacing w:line="360" w:lineRule="auto"/>
              <w:ind w:firstLine="420" w:firstLineChars="200"/>
              <w:rPr>
                <w:color w:val="auto"/>
                <w:szCs w:val="21"/>
              </w:rPr>
            </w:pPr>
            <w:r>
              <w:rPr>
                <w:color w:val="auto"/>
                <w:szCs w:val="21"/>
              </w:rPr>
              <w:t>式中：</w:t>
            </w:r>
            <w:r>
              <w:rPr>
                <w:rFonts w:hint="eastAsia"/>
                <w:color w:val="auto"/>
                <w:szCs w:val="21"/>
              </w:rPr>
              <w:t>Leqg</w:t>
            </w:r>
            <w:r>
              <w:rPr>
                <w:color w:val="auto"/>
                <w:szCs w:val="21"/>
              </w:rPr>
              <w:t>——</w:t>
            </w:r>
            <w:r>
              <w:rPr>
                <w:rFonts w:hint="eastAsia"/>
                <w:color w:val="auto"/>
                <w:szCs w:val="21"/>
              </w:rPr>
              <w:t>建设项目声源在预测点产生的噪声贡献值，dB；</w:t>
            </w:r>
          </w:p>
          <w:p w14:paraId="38C250A1">
            <w:pPr>
              <w:adjustRightInd w:val="0"/>
              <w:snapToGrid w:val="0"/>
              <w:spacing w:line="360" w:lineRule="auto"/>
              <w:ind w:firstLine="1050" w:firstLineChars="500"/>
              <w:rPr>
                <w:color w:val="auto"/>
                <w:szCs w:val="21"/>
              </w:rPr>
            </w:pPr>
            <w:r>
              <w:rPr>
                <w:color w:val="auto"/>
                <w:szCs w:val="21"/>
              </w:rPr>
              <w:t>T——用于计算等效声级的时间，s；</w:t>
            </w:r>
          </w:p>
          <w:p w14:paraId="119C0995">
            <w:pPr>
              <w:adjustRightInd w:val="0"/>
              <w:snapToGrid w:val="0"/>
              <w:spacing w:line="360" w:lineRule="auto"/>
              <w:ind w:firstLine="1050" w:firstLineChars="500"/>
              <w:rPr>
                <w:color w:val="auto"/>
                <w:szCs w:val="21"/>
              </w:rPr>
            </w:pPr>
            <w:r>
              <w:rPr>
                <w:color w:val="auto"/>
                <w:szCs w:val="21"/>
              </w:rPr>
              <w:t>N——室外声源个数；</w:t>
            </w:r>
          </w:p>
          <w:p w14:paraId="2A284B7B">
            <w:pPr>
              <w:adjustRightInd w:val="0"/>
              <w:snapToGrid w:val="0"/>
              <w:spacing w:line="360" w:lineRule="auto"/>
              <w:ind w:firstLine="1050" w:firstLineChars="500"/>
              <w:rPr>
                <w:color w:val="auto"/>
                <w:szCs w:val="21"/>
              </w:rPr>
            </w:pPr>
            <w:r>
              <w:rPr>
                <w:color w:val="auto"/>
                <w:szCs w:val="21"/>
              </w:rPr>
              <w:t>ti——在T时间内i声源工作时间，s；</w:t>
            </w:r>
          </w:p>
          <w:p w14:paraId="66E489EB">
            <w:pPr>
              <w:adjustRightInd w:val="0"/>
              <w:snapToGrid w:val="0"/>
              <w:spacing w:line="360" w:lineRule="auto"/>
              <w:ind w:firstLine="1050" w:firstLineChars="500"/>
              <w:rPr>
                <w:color w:val="auto"/>
                <w:szCs w:val="21"/>
              </w:rPr>
            </w:pPr>
            <w:r>
              <w:rPr>
                <w:color w:val="auto"/>
                <w:szCs w:val="21"/>
              </w:rPr>
              <w:t>M——等效室外声源个数</w:t>
            </w:r>
            <w:r>
              <w:rPr>
                <w:rFonts w:hint="eastAsia"/>
                <w:color w:val="auto"/>
                <w:szCs w:val="21"/>
              </w:rPr>
              <w:t>；</w:t>
            </w:r>
          </w:p>
          <w:p w14:paraId="688BED36">
            <w:pPr>
              <w:adjustRightInd w:val="0"/>
              <w:snapToGrid w:val="0"/>
              <w:spacing w:line="360" w:lineRule="auto"/>
              <w:ind w:firstLine="1050" w:firstLineChars="500"/>
              <w:rPr>
                <w:color w:val="auto"/>
                <w:szCs w:val="21"/>
              </w:rPr>
            </w:pPr>
            <w:r>
              <w:rPr>
                <w:color w:val="auto"/>
                <w:szCs w:val="21"/>
              </w:rPr>
              <w:t>tj——在T时间内j声源工作时间，s</w:t>
            </w:r>
            <w:r>
              <w:rPr>
                <w:rFonts w:hint="eastAsia"/>
                <w:color w:val="auto"/>
                <w:szCs w:val="21"/>
              </w:rPr>
              <w:t>。</w:t>
            </w:r>
          </w:p>
          <w:p w14:paraId="5B181F96">
            <w:pPr>
              <w:adjustRightInd w:val="0"/>
              <w:snapToGrid w:val="0"/>
              <w:spacing w:line="360" w:lineRule="auto"/>
              <w:ind w:firstLine="420" w:firstLineChars="200"/>
              <w:rPr>
                <w:color w:val="auto"/>
                <w:szCs w:val="21"/>
              </w:rPr>
            </w:pPr>
            <w:r>
              <w:rPr>
                <w:rFonts w:hint="eastAsia"/>
                <w:color w:val="auto"/>
                <w:szCs w:val="21"/>
              </w:rPr>
              <w:t>c.预测点的预测等效声级（Leq）计算公式：</w:t>
            </w:r>
          </w:p>
          <w:p w14:paraId="478097B5">
            <w:pPr>
              <w:adjustRightInd w:val="0"/>
              <w:snapToGrid w:val="0"/>
              <w:spacing w:line="360" w:lineRule="auto"/>
              <w:jc w:val="center"/>
              <w:rPr>
                <w:color w:val="auto"/>
                <w:szCs w:val="21"/>
              </w:rPr>
            </w:pPr>
            <w:r>
              <w:rPr>
                <w:rFonts w:hint="eastAsia"/>
                <w:color w:val="auto"/>
                <w:szCs w:val="21"/>
              </w:rPr>
              <w:object>
                <v:shape id="_x0000_i1028" o:spt="75" type="#_x0000_t75" style="height:21.25pt;width:135.25pt;" o:ole="t" filled="f" o:preferrelative="t" stroked="f" coordsize="21600,21600">
                  <v:path/>
                  <v:fill on="f" focussize="0,0"/>
                  <v:stroke on="f" joinstyle="miter"/>
                  <v:imagedata r:id="rId26" o:title=""/>
                  <o:lock v:ext="edit" aspectratio="t"/>
                  <w10:wrap type="none"/>
                  <w10:anchorlock/>
                </v:shape>
                <o:OLEObject Type="Embed" ProgID="Equation.KSEE3" ShapeID="_x0000_i1028" DrawAspect="Content" ObjectID="_1468075728" r:id="rId25">
                  <o:LockedField>false</o:LockedField>
                </o:OLEObject>
              </w:object>
            </w:r>
          </w:p>
          <w:p w14:paraId="2B48C8E8">
            <w:pPr>
              <w:adjustRightInd w:val="0"/>
              <w:snapToGrid w:val="0"/>
              <w:spacing w:line="360" w:lineRule="auto"/>
              <w:ind w:firstLine="420" w:firstLineChars="200"/>
              <w:rPr>
                <w:color w:val="auto"/>
                <w:szCs w:val="21"/>
              </w:rPr>
            </w:pPr>
            <w:r>
              <w:rPr>
                <w:color w:val="auto"/>
                <w:szCs w:val="21"/>
              </w:rPr>
              <w:t>式中：</w:t>
            </w:r>
            <w:r>
              <w:rPr>
                <w:rFonts w:hint="eastAsia"/>
                <w:color w:val="auto"/>
                <w:szCs w:val="21"/>
              </w:rPr>
              <w:t>Leq</w:t>
            </w:r>
            <w:r>
              <w:rPr>
                <w:color w:val="auto"/>
                <w:szCs w:val="21"/>
              </w:rPr>
              <w:t>——</w:t>
            </w:r>
            <w:r>
              <w:rPr>
                <w:rFonts w:hint="eastAsia"/>
                <w:color w:val="auto"/>
                <w:szCs w:val="21"/>
              </w:rPr>
              <w:t>预测点的噪声预测值，dB</w:t>
            </w:r>
            <w:r>
              <w:rPr>
                <w:color w:val="auto"/>
                <w:szCs w:val="21"/>
              </w:rPr>
              <w:t>；</w:t>
            </w:r>
          </w:p>
          <w:p w14:paraId="22503111">
            <w:pPr>
              <w:adjustRightInd w:val="0"/>
              <w:snapToGrid w:val="0"/>
              <w:spacing w:line="360" w:lineRule="auto"/>
              <w:ind w:firstLine="1050" w:firstLineChars="500"/>
              <w:rPr>
                <w:color w:val="auto"/>
                <w:szCs w:val="21"/>
              </w:rPr>
            </w:pPr>
            <w:r>
              <w:rPr>
                <w:rFonts w:hint="eastAsia"/>
                <w:color w:val="auto"/>
                <w:szCs w:val="21"/>
              </w:rPr>
              <w:t>Leqg</w:t>
            </w:r>
            <w:r>
              <w:rPr>
                <w:color w:val="auto"/>
                <w:szCs w:val="21"/>
              </w:rPr>
              <w:t>——</w:t>
            </w:r>
            <w:r>
              <w:rPr>
                <w:rFonts w:hint="eastAsia"/>
                <w:color w:val="auto"/>
                <w:szCs w:val="21"/>
              </w:rPr>
              <w:t>建设项目声源在预测点产生的噪声贡献值，dB</w:t>
            </w:r>
            <w:r>
              <w:rPr>
                <w:color w:val="auto"/>
                <w:szCs w:val="21"/>
              </w:rPr>
              <w:t>；</w:t>
            </w:r>
          </w:p>
          <w:p w14:paraId="79772945">
            <w:pPr>
              <w:adjustRightInd w:val="0"/>
              <w:snapToGrid w:val="0"/>
              <w:spacing w:line="360" w:lineRule="auto"/>
              <w:ind w:firstLine="1050" w:firstLineChars="500"/>
              <w:rPr>
                <w:color w:val="auto"/>
                <w:szCs w:val="21"/>
              </w:rPr>
            </w:pPr>
            <w:r>
              <w:rPr>
                <w:rFonts w:hint="eastAsia"/>
                <w:color w:val="auto"/>
                <w:szCs w:val="21"/>
              </w:rPr>
              <w:t>Leqb</w:t>
            </w:r>
            <w:r>
              <w:rPr>
                <w:color w:val="auto"/>
                <w:szCs w:val="21"/>
              </w:rPr>
              <w:t>——</w:t>
            </w:r>
            <w:r>
              <w:rPr>
                <w:rFonts w:hint="eastAsia"/>
                <w:color w:val="auto"/>
                <w:szCs w:val="21"/>
              </w:rPr>
              <w:t>预测点的背景噪声值，dB</w:t>
            </w:r>
            <w:r>
              <w:rPr>
                <w:color w:val="auto"/>
                <w:szCs w:val="21"/>
              </w:rPr>
              <w:t>。</w:t>
            </w:r>
          </w:p>
          <w:p w14:paraId="6B7742EF">
            <w:pPr>
              <w:adjustRightInd w:val="0"/>
              <w:snapToGrid w:val="0"/>
              <w:spacing w:line="360" w:lineRule="auto"/>
              <w:ind w:firstLine="420" w:firstLineChars="200"/>
              <w:rPr>
                <w:color w:val="auto"/>
                <w:szCs w:val="21"/>
              </w:rPr>
            </w:pPr>
            <w:r>
              <w:rPr>
                <w:color w:val="auto"/>
                <w:szCs w:val="21"/>
              </w:rPr>
              <w:t>（2）评价标准</w:t>
            </w:r>
          </w:p>
          <w:p w14:paraId="594FC93A">
            <w:pPr>
              <w:adjustRightInd w:val="0"/>
              <w:snapToGrid w:val="0"/>
              <w:spacing w:line="360" w:lineRule="auto"/>
              <w:ind w:firstLine="420" w:firstLineChars="200"/>
              <w:rPr>
                <w:color w:val="auto"/>
                <w:szCs w:val="21"/>
              </w:rPr>
            </w:pPr>
            <w:r>
              <w:rPr>
                <w:color w:val="auto"/>
                <w:szCs w:val="21"/>
              </w:rPr>
              <w:t>厂界噪声执行《工业企业厂界环境噪声排放标准》（GB12348-2008）中3类标准。</w:t>
            </w:r>
          </w:p>
          <w:p w14:paraId="64E7A064">
            <w:pPr>
              <w:adjustRightInd w:val="0"/>
              <w:snapToGrid w:val="0"/>
              <w:spacing w:line="360" w:lineRule="auto"/>
              <w:ind w:firstLine="420" w:firstLineChars="200"/>
              <w:rPr>
                <w:color w:val="auto"/>
                <w:szCs w:val="21"/>
              </w:rPr>
            </w:pPr>
            <w:r>
              <w:rPr>
                <w:rFonts w:hint="eastAsia"/>
                <w:color w:val="auto"/>
                <w:szCs w:val="21"/>
              </w:rPr>
              <w:t>（3）预测结果及评价</w:t>
            </w:r>
          </w:p>
          <w:p w14:paraId="250112DE">
            <w:pPr>
              <w:adjustRightInd w:val="0"/>
              <w:snapToGrid w:val="0"/>
              <w:spacing w:line="360" w:lineRule="auto"/>
              <w:ind w:firstLine="420" w:firstLineChars="200"/>
              <w:rPr>
                <w:color w:val="auto"/>
                <w:szCs w:val="21"/>
              </w:rPr>
            </w:pPr>
            <w:r>
              <w:rPr>
                <w:rFonts w:hint="eastAsia"/>
                <w:color w:val="auto"/>
                <w:szCs w:val="21"/>
              </w:rPr>
              <w:t>针对声源，</w:t>
            </w:r>
            <w:r>
              <w:rPr>
                <w:color w:val="auto"/>
                <w:szCs w:val="21"/>
              </w:rPr>
              <w:t>通过对各产噪单元或设备加装隔声罩、减震垫或消音器等降噪措施，</w:t>
            </w:r>
            <w:r>
              <w:rPr>
                <w:rFonts w:hint="eastAsia"/>
                <w:color w:val="auto"/>
                <w:szCs w:val="21"/>
              </w:rPr>
              <w:t>衰减量按5</w:t>
            </w:r>
            <w:r>
              <w:rPr>
                <w:color w:val="auto"/>
                <w:szCs w:val="21"/>
              </w:rPr>
              <w:t>dB（A）</w:t>
            </w:r>
            <w:r>
              <w:rPr>
                <w:rFonts w:hint="eastAsia"/>
                <w:color w:val="auto"/>
                <w:szCs w:val="21"/>
              </w:rPr>
              <w:t>计；声源衰减后，</w:t>
            </w:r>
            <w:r>
              <w:rPr>
                <w:color w:val="auto"/>
                <w:szCs w:val="21"/>
              </w:rPr>
              <w:t>考虑房屋隔声</w:t>
            </w:r>
            <w:r>
              <w:rPr>
                <w:rFonts w:hint="eastAsia"/>
                <w:color w:val="auto"/>
                <w:szCs w:val="21"/>
              </w:rPr>
              <w:t>条件下</w:t>
            </w:r>
            <w:r>
              <w:rPr>
                <w:color w:val="auto"/>
                <w:szCs w:val="21"/>
              </w:rPr>
              <w:t>，各噪声单元产生的噪声在传播途径上即产生衰减，</w:t>
            </w:r>
            <w:r>
              <w:rPr>
                <w:rFonts w:hint="eastAsia"/>
                <w:color w:val="auto"/>
                <w:szCs w:val="21"/>
              </w:rPr>
              <w:t>车间四侧墙壁为混凝土墙，参照《环境工程手册 环境噪声控制卷》（郑长聚主编，高等教育出版社，2000年），</w:t>
            </w:r>
            <w:r>
              <w:rPr>
                <w:color w:val="auto"/>
                <w:szCs w:val="21"/>
              </w:rPr>
              <w:t>衰减量按</w:t>
            </w:r>
            <w:r>
              <w:rPr>
                <w:rFonts w:hint="eastAsia"/>
                <w:color w:val="auto"/>
                <w:szCs w:val="21"/>
              </w:rPr>
              <w:t>15</w:t>
            </w:r>
            <w:r>
              <w:rPr>
                <w:color w:val="auto"/>
                <w:szCs w:val="21"/>
              </w:rPr>
              <w:t>dB（A）计。为充分估算声源对周围环境的影响，对不满足计算条件的小额正衰减予以忽略，在此基础上进一步计算各预测点的声级。厂界各预测点的噪声预测结果见表4-</w:t>
            </w:r>
            <w:r>
              <w:rPr>
                <w:rFonts w:hint="eastAsia"/>
                <w:color w:val="auto"/>
                <w:szCs w:val="21"/>
                <w:lang w:val="en-US" w:eastAsia="zh-CN"/>
              </w:rPr>
              <w:t>24、表4-25</w:t>
            </w:r>
            <w:r>
              <w:rPr>
                <w:color w:val="auto"/>
                <w:szCs w:val="21"/>
              </w:rPr>
              <w:t>。</w:t>
            </w:r>
          </w:p>
          <w:p w14:paraId="353D8FC3">
            <w:pPr>
              <w:pStyle w:val="10"/>
              <w:spacing w:before="147" w:beforeLines="50" w:after="0" w:line="240" w:lineRule="auto"/>
              <w:ind w:right="0"/>
              <w:jc w:val="center"/>
              <w:rPr>
                <w:b/>
                <w:bCs/>
                <w:color w:val="auto"/>
                <w:sz w:val="21"/>
                <w:szCs w:val="21"/>
              </w:rPr>
            </w:pPr>
            <w:r>
              <w:rPr>
                <w:b/>
                <w:bCs/>
                <w:color w:val="auto"/>
                <w:sz w:val="21"/>
                <w:szCs w:val="21"/>
              </w:rPr>
              <w:t>表4-</w:t>
            </w:r>
            <w:r>
              <w:rPr>
                <w:rFonts w:hint="eastAsia"/>
                <w:b/>
                <w:bCs/>
                <w:color w:val="auto"/>
                <w:sz w:val="21"/>
                <w:szCs w:val="21"/>
                <w:lang w:val="en-US" w:eastAsia="zh-CN"/>
              </w:rPr>
              <w:t>24</w:t>
            </w:r>
            <w:r>
              <w:rPr>
                <w:b/>
                <w:bCs/>
                <w:color w:val="auto"/>
                <w:sz w:val="21"/>
                <w:szCs w:val="21"/>
              </w:rPr>
              <w:t xml:space="preserve"> 设备噪声对厂界周围环境的影响</w:t>
            </w:r>
            <w:r>
              <w:rPr>
                <w:rFonts w:hint="eastAsia"/>
                <w:b/>
                <w:bCs/>
                <w:color w:val="auto"/>
                <w:sz w:val="21"/>
                <w:szCs w:val="21"/>
                <w:lang w:eastAsia="zh-CN"/>
              </w:rPr>
              <w:t>（</w:t>
            </w:r>
            <w:r>
              <w:rPr>
                <w:rFonts w:hint="eastAsia"/>
                <w:b/>
                <w:bCs/>
                <w:color w:val="auto"/>
                <w:sz w:val="21"/>
                <w:szCs w:val="21"/>
                <w:lang w:val="en-US" w:eastAsia="zh-CN"/>
              </w:rPr>
              <w:t>昼间</w:t>
            </w:r>
            <w:r>
              <w:rPr>
                <w:rFonts w:hint="eastAsia"/>
                <w:b/>
                <w:bCs/>
                <w:color w:val="auto"/>
                <w:sz w:val="21"/>
                <w:szCs w:val="21"/>
                <w:lang w:eastAsia="zh-CN"/>
              </w:rPr>
              <w:t>）</w:t>
            </w:r>
            <w:r>
              <w:rPr>
                <w:b/>
                <w:bCs/>
                <w:color w:val="auto"/>
                <w:sz w:val="21"/>
                <w:szCs w:val="21"/>
              </w:rPr>
              <w:t xml:space="preserve"> 单位：dB</w:t>
            </w:r>
            <w:r>
              <w:rPr>
                <w:rFonts w:hint="eastAsia"/>
                <w:b/>
                <w:bCs/>
                <w:color w:val="auto"/>
                <w:sz w:val="21"/>
                <w:szCs w:val="21"/>
              </w:rPr>
              <w:t>（</w:t>
            </w:r>
            <w:r>
              <w:rPr>
                <w:b/>
                <w:bCs/>
                <w:color w:val="auto"/>
                <w:sz w:val="21"/>
                <w:szCs w:val="21"/>
              </w:rPr>
              <w:t>A</w:t>
            </w:r>
            <w:r>
              <w:rPr>
                <w:rFonts w:hint="eastAsia"/>
                <w:b/>
                <w:bCs/>
                <w:color w:val="auto"/>
                <w:sz w:val="21"/>
                <w:szCs w:val="21"/>
              </w:rPr>
              <w:t>）</w:t>
            </w:r>
          </w:p>
          <w:tbl>
            <w:tblPr>
              <w:tblStyle w:val="31"/>
              <w:tblW w:w="494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695"/>
              <w:gridCol w:w="1329"/>
              <w:gridCol w:w="1329"/>
              <w:gridCol w:w="1330"/>
              <w:gridCol w:w="1327"/>
              <w:gridCol w:w="1328"/>
            </w:tblGrid>
            <w:tr w14:paraId="5D507D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16" w:type="pct"/>
                  <w:vMerge w:val="restart"/>
                  <w:vAlign w:val="center"/>
                </w:tcPr>
                <w:p w14:paraId="15C0FFC3">
                  <w:pPr>
                    <w:jc w:val="center"/>
                    <w:rPr>
                      <w:b/>
                      <w:bCs/>
                      <w:color w:val="auto"/>
                      <w:szCs w:val="21"/>
                    </w:rPr>
                  </w:pPr>
                  <w:r>
                    <w:rPr>
                      <w:rFonts w:hint="eastAsia"/>
                      <w:b/>
                      <w:bCs/>
                      <w:color w:val="auto"/>
                      <w:szCs w:val="21"/>
                    </w:rPr>
                    <w:t>预测点</w:t>
                  </w:r>
                </w:p>
              </w:tc>
              <w:tc>
                <w:tcPr>
                  <w:tcW w:w="796" w:type="pct"/>
                  <w:vMerge w:val="restart"/>
                  <w:vAlign w:val="center"/>
                </w:tcPr>
                <w:p w14:paraId="2820A01A">
                  <w:pPr>
                    <w:jc w:val="center"/>
                    <w:rPr>
                      <w:b/>
                      <w:bCs/>
                      <w:color w:val="auto"/>
                      <w:szCs w:val="21"/>
                    </w:rPr>
                  </w:pPr>
                  <w:r>
                    <w:rPr>
                      <w:rFonts w:hint="eastAsia"/>
                      <w:b/>
                      <w:bCs/>
                      <w:color w:val="auto"/>
                      <w:szCs w:val="21"/>
                      <w:lang w:val="en-US" w:eastAsia="zh-CN"/>
                    </w:rPr>
                    <w:t>现状</w:t>
                  </w:r>
                  <w:r>
                    <w:rPr>
                      <w:rFonts w:hint="eastAsia"/>
                      <w:b/>
                      <w:bCs/>
                      <w:color w:val="auto"/>
                      <w:szCs w:val="21"/>
                    </w:rPr>
                    <w:t>值</w:t>
                  </w:r>
                </w:p>
              </w:tc>
              <w:tc>
                <w:tcPr>
                  <w:tcW w:w="796" w:type="pct"/>
                  <w:vMerge w:val="restart"/>
                  <w:vAlign w:val="center"/>
                </w:tcPr>
                <w:p w14:paraId="528C39FA">
                  <w:pPr>
                    <w:jc w:val="center"/>
                    <w:rPr>
                      <w:rFonts w:hint="eastAsia"/>
                      <w:b/>
                      <w:bCs/>
                      <w:color w:val="auto"/>
                      <w:szCs w:val="21"/>
                    </w:rPr>
                  </w:pPr>
                  <w:r>
                    <w:rPr>
                      <w:rFonts w:hint="eastAsia"/>
                      <w:b/>
                      <w:bCs/>
                      <w:color w:val="auto"/>
                      <w:szCs w:val="21"/>
                    </w:rPr>
                    <w:t>贡献值</w:t>
                  </w:r>
                </w:p>
              </w:tc>
              <w:tc>
                <w:tcPr>
                  <w:tcW w:w="797" w:type="pct"/>
                  <w:vMerge w:val="restart"/>
                  <w:vAlign w:val="center"/>
                </w:tcPr>
                <w:p w14:paraId="32AB9B1C">
                  <w:pPr>
                    <w:jc w:val="center"/>
                    <w:rPr>
                      <w:rFonts w:hint="eastAsia" w:eastAsia="宋体"/>
                      <w:b/>
                      <w:bCs/>
                      <w:color w:val="auto"/>
                      <w:szCs w:val="21"/>
                      <w:lang w:val="en-US" w:eastAsia="zh-CN"/>
                    </w:rPr>
                  </w:pPr>
                  <w:r>
                    <w:rPr>
                      <w:rFonts w:hint="eastAsia"/>
                      <w:b/>
                      <w:bCs/>
                      <w:color w:val="auto"/>
                      <w:szCs w:val="21"/>
                      <w:lang w:val="en-US" w:eastAsia="zh-CN"/>
                    </w:rPr>
                    <w:t>预测值</w:t>
                  </w:r>
                </w:p>
              </w:tc>
              <w:tc>
                <w:tcPr>
                  <w:tcW w:w="1592" w:type="pct"/>
                  <w:gridSpan w:val="2"/>
                  <w:vAlign w:val="center"/>
                </w:tcPr>
                <w:p w14:paraId="06AACB22">
                  <w:pPr>
                    <w:jc w:val="center"/>
                    <w:rPr>
                      <w:b/>
                      <w:bCs/>
                      <w:color w:val="auto"/>
                      <w:szCs w:val="21"/>
                    </w:rPr>
                  </w:pPr>
                  <w:r>
                    <w:rPr>
                      <w:rFonts w:hint="eastAsia"/>
                      <w:b/>
                      <w:bCs/>
                      <w:color w:val="auto"/>
                      <w:szCs w:val="21"/>
                    </w:rPr>
                    <w:t>昼间</w:t>
                  </w:r>
                </w:p>
              </w:tc>
            </w:tr>
            <w:tr w14:paraId="134F93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16" w:type="pct"/>
                  <w:vMerge w:val="continue"/>
                  <w:vAlign w:val="center"/>
                </w:tcPr>
                <w:p w14:paraId="73EF597B">
                  <w:pPr>
                    <w:jc w:val="center"/>
                    <w:rPr>
                      <w:b/>
                      <w:bCs/>
                      <w:color w:val="auto"/>
                      <w:szCs w:val="21"/>
                    </w:rPr>
                  </w:pPr>
                </w:p>
              </w:tc>
              <w:tc>
                <w:tcPr>
                  <w:tcW w:w="796" w:type="pct"/>
                  <w:vMerge w:val="continue"/>
                  <w:vAlign w:val="center"/>
                </w:tcPr>
                <w:p w14:paraId="4048AA09">
                  <w:pPr>
                    <w:jc w:val="center"/>
                    <w:rPr>
                      <w:b/>
                      <w:bCs/>
                      <w:color w:val="auto"/>
                      <w:szCs w:val="21"/>
                    </w:rPr>
                  </w:pPr>
                </w:p>
              </w:tc>
              <w:tc>
                <w:tcPr>
                  <w:tcW w:w="796" w:type="pct"/>
                  <w:vMerge w:val="continue"/>
                  <w:vAlign w:val="center"/>
                </w:tcPr>
                <w:p w14:paraId="285048F5">
                  <w:pPr>
                    <w:jc w:val="center"/>
                    <w:rPr>
                      <w:b/>
                      <w:bCs/>
                      <w:color w:val="auto"/>
                      <w:szCs w:val="21"/>
                    </w:rPr>
                  </w:pPr>
                </w:p>
              </w:tc>
              <w:tc>
                <w:tcPr>
                  <w:tcW w:w="797" w:type="pct"/>
                  <w:vMerge w:val="continue"/>
                  <w:vAlign w:val="center"/>
                </w:tcPr>
                <w:p w14:paraId="6F81509C">
                  <w:pPr>
                    <w:jc w:val="center"/>
                    <w:rPr>
                      <w:b/>
                      <w:bCs/>
                      <w:color w:val="auto"/>
                      <w:szCs w:val="21"/>
                    </w:rPr>
                  </w:pPr>
                </w:p>
              </w:tc>
              <w:tc>
                <w:tcPr>
                  <w:tcW w:w="795" w:type="pct"/>
                  <w:vAlign w:val="center"/>
                </w:tcPr>
                <w:p w14:paraId="3EAFF9E8">
                  <w:pPr>
                    <w:jc w:val="center"/>
                    <w:rPr>
                      <w:b/>
                      <w:bCs/>
                      <w:color w:val="auto"/>
                      <w:szCs w:val="21"/>
                    </w:rPr>
                  </w:pPr>
                  <w:r>
                    <w:rPr>
                      <w:rFonts w:hint="eastAsia"/>
                      <w:b/>
                      <w:bCs/>
                      <w:color w:val="auto"/>
                      <w:szCs w:val="21"/>
                    </w:rPr>
                    <w:t>标准值</w:t>
                  </w:r>
                </w:p>
              </w:tc>
              <w:tc>
                <w:tcPr>
                  <w:tcW w:w="796" w:type="pct"/>
                  <w:vAlign w:val="center"/>
                </w:tcPr>
                <w:p w14:paraId="0012FC92">
                  <w:pPr>
                    <w:jc w:val="center"/>
                    <w:rPr>
                      <w:b/>
                      <w:bCs/>
                      <w:color w:val="auto"/>
                      <w:szCs w:val="21"/>
                    </w:rPr>
                  </w:pPr>
                  <w:r>
                    <w:rPr>
                      <w:rFonts w:hint="eastAsia"/>
                      <w:b/>
                      <w:bCs/>
                      <w:color w:val="auto"/>
                      <w:szCs w:val="21"/>
                    </w:rPr>
                    <w:t>达标情况</w:t>
                  </w:r>
                </w:p>
              </w:tc>
            </w:tr>
            <w:tr w14:paraId="571CC4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16" w:type="pct"/>
                  <w:vAlign w:val="center"/>
                </w:tcPr>
                <w:p w14:paraId="6EEC1224">
                  <w:pPr>
                    <w:jc w:val="center"/>
                    <w:rPr>
                      <w:color w:val="auto"/>
                      <w:szCs w:val="21"/>
                    </w:rPr>
                  </w:pPr>
                  <w:r>
                    <w:rPr>
                      <w:rFonts w:hint="eastAsia"/>
                      <w:color w:val="auto"/>
                      <w:szCs w:val="21"/>
                    </w:rPr>
                    <w:t>东厂界</w:t>
                  </w:r>
                </w:p>
              </w:tc>
              <w:tc>
                <w:tcPr>
                  <w:tcW w:w="796" w:type="pct"/>
                  <w:vAlign w:val="center"/>
                </w:tcPr>
                <w:p w14:paraId="7180DDBF">
                  <w:pPr>
                    <w:jc w:val="center"/>
                    <w:rPr>
                      <w:rFonts w:hint="default" w:eastAsia="宋体"/>
                      <w:color w:val="auto"/>
                      <w:szCs w:val="21"/>
                      <w:lang w:val="en-US" w:eastAsia="zh-CN"/>
                    </w:rPr>
                  </w:pPr>
                  <w:r>
                    <w:rPr>
                      <w:rFonts w:hint="eastAsia"/>
                      <w:color w:val="auto"/>
                      <w:szCs w:val="21"/>
                      <w:lang w:val="en-US" w:eastAsia="zh-CN"/>
                    </w:rPr>
                    <w:t>57.1</w:t>
                  </w:r>
                </w:p>
              </w:tc>
              <w:tc>
                <w:tcPr>
                  <w:tcW w:w="796" w:type="pct"/>
                  <w:shd w:val="clear" w:color="auto" w:fill="auto"/>
                  <w:vAlign w:val="center"/>
                </w:tcPr>
                <w:p w14:paraId="6CC04FD2">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38.3</w:t>
                  </w:r>
                </w:p>
              </w:tc>
              <w:tc>
                <w:tcPr>
                  <w:tcW w:w="797" w:type="pct"/>
                  <w:vAlign w:val="center"/>
                </w:tcPr>
                <w:p w14:paraId="6E0DAC2F">
                  <w:pPr>
                    <w:jc w:val="center"/>
                    <w:rPr>
                      <w:rFonts w:hint="default"/>
                      <w:color w:val="auto"/>
                      <w:szCs w:val="21"/>
                      <w:lang w:val="en-US" w:eastAsia="zh-CN"/>
                    </w:rPr>
                  </w:pPr>
                  <w:r>
                    <w:rPr>
                      <w:rFonts w:hint="eastAsia"/>
                      <w:color w:val="auto"/>
                      <w:szCs w:val="21"/>
                      <w:lang w:val="en-US" w:eastAsia="zh-CN"/>
                    </w:rPr>
                    <w:t>57.16</w:t>
                  </w:r>
                </w:p>
              </w:tc>
              <w:tc>
                <w:tcPr>
                  <w:tcW w:w="795" w:type="pct"/>
                  <w:vAlign w:val="center"/>
                </w:tcPr>
                <w:p w14:paraId="77C7CD2A">
                  <w:pPr>
                    <w:jc w:val="center"/>
                    <w:rPr>
                      <w:color w:val="auto"/>
                      <w:szCs w:val="21"/>
                    </w:rPr>
                  </w:pPr>
                  <w:r>
                    <w:rPr>
                      <w:rFonts w:hint="eastAsia"/>
                      <w:color w:val="auto"/>
                      <w:szCs w:val="21"/>
                    </w:rPr>
                    <w:t>65</w:t>
                  </w:r>
                </w:p>
              </w:tc>
              <w:tc>
                <w:tcPr>
                  <w:tcW w:w="796" w:type="pct"/>
                  <w:vAlign w:val="center"/>
                </w:tcPr>
                <w:p w14:paraId="4716A9EF">
                  <w:pPr>
                    <w:jc w:val="center"/>
                    <w:rPr>
                      <w:color w:val="auto"/>
                      <w:szCs w:val="21"/>
                    </w:rPr>
                  </w:pPr>
                  <w:r>
                    <w:rPr>
                      <w:rFonts w:hint="eastAsia"/>
                      <w:color w:val="auto"/>
                      <w:szCs w:val="21"/>
                    </w:rPr>
                    <w:t>达标</w:t>
                  </w:r>
                </w:p>
              </w:tc>
            </w:tr>
            <w:tr w14:paraId="106099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16" w:type="pct"/>
                  <w:vAlign w:val="center"/>
                </w:tcPr>
                <w:p w14:paraId="0598AC9E">
                  <w:pPr>
                    <w:jc w:val="center"/>
                    <w:rPr>
                      <w:color w:val="auto"/>
                      <w:szCs w:val="21"/>
                    </w:rPr>
                  </w:pPr>
                  <w:r>
                    <w:rPr>
                      <w:rFonts w:hint="eastAsia"/>
                      <w:color w:val="auto"/>
                      <w:szCs w:val="21"/>
                    </w:rPr>
                    <w:t>南厂界</w:t>
                  </w:r>
                </w:p>
              </w:tc>
              <w:tc>
                <w:tcPr>
                  <w:tcW w:w="796" w:type="pct"/>
                  <w:vAlign w:val="center"/>
                </w:tcPr>
                <w:p w14:paraId="4D22D0BC">
                  <w:pPr>
                    <w:jc w:val="center"/>
                    <w:rPr>
                      <w:rFonts w:hint="default" w:eastAsia="宋体"/>
                      <w:color w:val="auto"/>
                      <w:szCs w:val="21"/>
                      <w:lang w:val="en-US" w:eastAsia="zh-CN"/>
                    </w:rPr>
                  </w:pPr>
                  <w:r>
                    <w:rPr>
                      <w:rFonts w:hint="eastAsia"/>
                      <w:color w:val="auto"/>
                      <w:szCs w:val="21"/>
                      <w:lang w:val="en-US" w:eastAsia="zh-CN"/>
                    </w:rPr>
                    <w:t>53.5</w:t>
                  </w:r>
                </w:p>
              </w:tc>
              <w:tc>
                <w:tcPr>
                  <w:tcW w:w="796" w:type="pct"/>
                  <w:shd w:val="clear" w:color="auto" w:fill="auto"/>
                  <w:vAlign w:val="center"/>
                </w:tcPr>
                <w:p w14:paraId="7209E485">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32.9</w:t>
                  </w:r>
                </w:p>
              </w:tc>
              <w:tc>
                <w:tcPr>
                  <w:tcW w:w="797" w:type="pct"/>
                  <w:vAlign w:val="center"/>
                </w:tcPr>
                <w:p w14:paraId="3FA4A9B1">
                  <w:pPr>
                    <w:jc w:val="center"/>
                    <w:rPr>
                      <w:rFonts w:hint="default"/>
                      <w:color w:val="auto"/>
                      <w:szCs w:val="21"/>
                      <w:lang w:val="en-US" w:eastAsia="zh-CN"/>
                    </w:rPr>
                  </w:pPr>
                  <w:r>
                    <w:rPr>
                      <w:rFonts w:hint="eastAsia"/>
                      <w:color w:val="auto"/>
                      <w:szCs w:val="21"/>
                      <w:lang w:val="en-US" w:eastAsia="zh-CN"/>
                    </w:rPr>
                    <w:t>53.54</w:t>
                  </w:r>
                </w:p>
              </w:tc>
              <w:tc>
                <w:tcPr>
                  <w:tcW w:w="795" w:type="pct"/>
                  <w:vAlign w:val="center"/>
                </w:tcPr>
                <w:p w14:paraId="4BAEA3FF">
                  <w:pPr>
                    <w:jc w:val="center"/>
                    <w:rPr>
                      <w:color w:val="auto"/>
                      <w:szCs w:val="21"/>
                    </w:rPr>
                  </w:pPr>
                  <w:r>
                    <w:rPr>
                      <w:rFonts w:hint="eastAsia"/>
                      <w:color w:val="auto"/>
                      <w:szCs w:val="21"/>
                    </w:rPr>
                    <w:t>65</w:t>
                  </w:r>
                </w:p>
              </w:tc>
              <w:tc>
                <w:tcPr>
                  <w:tcW w:w="796" w:type="pct"/>
                  <w:vAlign w:val="center"/>
                </w:tcPr>
                <w:p w14:paraId="05D65677">
                  <w:pPr>
                    <w:jc w:val="center"/>
                    <w:rPr>
                      <w:color w:val="auto"/>
                      <w:szCs w:val="21"/>
                    </w:rPr>
                  </w:pPr>
                  <w:r>
                    <w:rPr>
                      <w:rFonts w:hint="eastAsia"/>
                      <w:color w:val="auto"/>
                      <w:szCs w:val="21"/>
                    </w:rPr>
                    <w:t>达标</w:t>
                  </w:r>
                </w:p>
              </w:tc>
            </w:tr>
            <w:tr w14:paraId="6DECF3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16" w:type="pct"/>
                  <w:vAlign w:val="center"/>
                </w:tcPr>
                <w:p w14:paraId="64EF0119">
                  <w:pPr>
                    <w:jc w:val="center"/>
                    <w:rPr>
                      <w:color w:val="auto"/>
                      <w:szCs w:val="21"/>
                    </w:rPr>
                  </w:pPr>
                  <w:r>
                    <w:rPr>
                      <w:rFonts w:hint="eastAsia"/>
                      <w:color w:val="auto"/>
                      <w:szCs w:val="21"/>
                    </w:rPr>
                    <w:t>西厂界</w:t>
                  </w:r>
                </w:p>
              </w:tc>
              <w:tc>
                <w:tcPr>
                  <w:tcW w:w="796" w:type="pct"/>
                  <w:vAlign w:val="center"/>
                </w:tcPr>
                <w:p w14:paraId="4009FE3D">
                  <w:pPr>
                    <w:jc w:val="center"/>
                    <w:rPr>
                      <w:rFonts w:hint="default" w:eastAsia="宋体"/>
                      <w:color w:val="auto"/>
                      <w:szCs w:val="21"/>
                      <w:lang w:val="en-US" w:eastAsia="zh-CN"/>
                    </w:rPr>
                  </w:pPr>
                  <w:r>
                    <w:rPr>
                      <w:rFonts w:hint="eastAsia"/>
                      <w:color w:val="auto"/>
                      <w:szCs w:val="21"/>
                      <w:lang w:val="en-US" w:eastAsia="zh-CN"/>
                    </w:rPr>
                    <w:t>54.4</w:t>
                  </w:r>
                </w:p>
              </w:tc>
              <w:tc>
                <w:tcPr>
                  <w:tcW w:w="796" w:type="pct"/>
                  <w:shd w:val="clear" w:color="auto" w:fill="auto"/>
                  <w:vAlign w:val="center"/>
                </w:tcPr>
                <w:p w14:paraId="0B9E719C">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39.8</w:t>
                  </w:r>
                </w:p>
              </w:tc>
              <w:tc>
                <w:tcPr>
                  <w:tcW w:w="797" w:type="pct"/>
                  <w:vAlign w:val="center"/>
                </w:tcPr>
                <w:p w14:paraId="2F036B05">
                  <w:pPr>
                    <w:jc w:val="center"/>
                    <w:rPr>
                      <w:rFonts w:hint="default"/>
                      <w:color w:val="auto"/>
                      <w:szCs w:val="21"/>
                      <w:lang w:val="en-US" w:eastAsia="zh-CN"/>
                    </w:rPr>
                  </w:pPr>
                  <w:r>
                    <w:rPr>
                      <w:rFonts w:hint="eastAsia"/>
                      <w:color w:val="auto"/>
                      <w:szCs w:val="21"/>
                      <w:lang w:val="en-US" w:eastAsia="zh-CN"/>
                    </w:rPr>
                    <w:t>54.55</w:t>
                  </w:r>
                </w:p>
              </w:tc>
              <w:tc>
                <w:tcPr>
                  <w:tcW w:w="795" w:type="pct"/>
                  <w:vAlign w:val="center"/>
                </w:tcPr>
                <w:p w14:paraId="5A6B420D">
                  <w:pPr>
                    <w:jc w:val="center"/>
                    <w:rPr>
                      <w:color w:val="auto"/>
                      <w:szCs w:val="21"/>
                    </w:rPr>
                  </w:pPr>
                  <w:r>
                    <w:rPr>
                      <w:rFonts w:hint="eastAsia"/>
                      <w:color w:val="auto"/>
                      <w:szCs w:val="21"/>
                    </w:rPr>
                    <w:t>65</w:t>
                  </w:r>
                </w:p>
              </w:tc>
              <w:tc>
                <w:tcPr>
                  <w:tcW w:w="796" w:type="pct"/>
                  <w:vAlign w:val="center"/>
                </w:tcPr>
                <w:p w14:paraId="5FD1C908">
                  <w:pPr>
                    <w:jc w:val="center"/>
                    <w:rPr>
                      <w:color w:val="auto"/>
                      <w:szCs w:val="21"/>
                    </w:rPr>
                  </w:pPr>
                  <w:r>
                    <w:rPr>
                      <w:rFonts w:hint="eastAsia"/>
                      <w:color w:val="auto"/>
                      <w:szCs w:val="21"/>
                    </w:rPr>
                    <w:t>达标</w:t>
                  </w:r>
                </w:p>
              </w:tc>
            </w:tr>
            <w:tr w14:paraId="32E545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16" w:type="pct"/>
                  <w:vAlign w:val="center"/>
                </w:tcPr>
                <w:p w14:paraId="36371D70">
                  <w:pPr>
                    <w:jc w:val="center"/>
                    <w:rPr>
                      <w:color w:val="auto"/>
                      <w:szCs w:val="21"/>
                    </w:rPr>
                  </w:pPr>
                  <w:r>
                    <w:rPr>
                      <w:rFonts w:hint="eastAsia"/>
                      <w:color w:val="auto"/>
                      <w:szCs w:val="21"/>
                    </w:rPr>
                    <w:t>北厂界</w:t>
                  </w:r>
                </w:p>
              </w:tc>
              <w:tc>
                <w:tcPr>
                  <w:tcW w:w="796" w:type="pct"/>
                  <w:vAlign w:val="center"/>
                </w:tcPr>
                <w:p w14:paraId="7B71283A">
                  <w:pPr>
                    <w:jc w:val="center"/>
                    <w:rPr>
                      <w:rFonts w:hint="default" w:eastAsia="宋体"/>
                      <w:color w:val="auto"/>
                      <w:szCs w:val="21"/>
                      <w:lang w:val="en-US" w:eastAsia="zh-CN"/>
                    </w:rPr>
                  </w:pPr>
                  <w:r>
                    <w:rPr>
                      <w:rFonts w:hint="eastAsia"/>
                      <w:color w:val="auto"/>
                      <w:szCs w:val="21"/>
                      <w:lang w:val="en-US" w:eastAsia="zh-CN"/>
                    </w:rPr>
                    <w:t>55.8</w:t>
                  </w:r>
                </w:p>
              </w:tc>
              <w:tc>
                <w:tcPr>
                  <w:tcW w:w="796" w:type="pct"/>
                  <w:shd w:val="clear" w:color="auto" w:fill="auto"/>
                  <w:vAlign w:val="center"/>
                </w:tcPr>
                <w:p w14:paraId="7ADBE9BB">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33.7</w:t>
                  </w:r>
                </w:p>
              </w:tc>
              <w:tc>
                <w:tcPr>
                  <w:tcW w:w="797" w:type="pct"/>
                  <w:vAlign w:val="center"/>
                </w:tcPr>
                <w:p w14:paraId="6EC85D0D">
                  <w:pPr>
                    <w:jc w:val="center"/>
                    <w:rPr>
                      <w:rFonts w:hint="default"/>
                      <w:color w:val="auto"/>
                      <w:szCs w:val="21"/>
                      <w:lang w:val="en-US" w:eastAsia="zh-CN"/>
                    </w:rPr>
                  </w:pPr>
                  <w:r>
                    <w:rPr>
                      <w:rFonts w:hint="eastAsia"/>
                      <w:color w:val="auto"/>
                      <w:szCs w:val="21"/>
                      <w:lang w:val="en-US" w:eastAsia="zh-CN"/>
                    </w:rPr>
                    <w:t>55.83</w:t>
                  </w:r>
                </w:p>
              </w:tc>
              <w:tc>
                <w:tcPr>
                  <w:tcW w:w="795" w:type="pct"/>
                  <w:vAlign w:val="center"/>
                </w:tcPr>
                <w:p w14:paraId="3F213168">
                  <w:pPr>
                    <w:jc w:val="center"/>
                    <w:rPr>
                      <w:color w:val="auto"/>
                      <w:szCs w:val="21"/>
                    </w:rPr>
                  </w:pPr>
                  <w:r>
                    <w:rPr>
                      <w:rFonts w:hint="eastAsia"/>
                      <w:color w:val="auto"/>
                      <w:szCs w:val="21"/>
                    </w:rPr>
                    <w:t>65</w:t>
                  </w:r>
                </w:p>
              </w:tc>
              <w:tc>
                <w:tcPr>
                  <w:tcW w:w="796" w:type="pct"/>
                  <w:vAlign w:val="center"/>
                </w:tcPr>
                <w:p w14:paraId="777131D4">
                  <w:pPr>
                    <w:jc w:val="center"/>
                    <w:rPr>
                      <w:color w:val="auto"/>
                      <w:szCs w:val="21"/>
                    </w:rPr>
                  </w:pPr>
                  <w:r>
                    <w:rPr>
                      <w:rFonts w:hint="eastAsia"/>
                      <w:color w:val="auto"/>
                      <w:szCs w:val="21"/>
                    </w:rPr>
                    <w:t>达标</w:t>
                  </w:r>
                </w:p>
              </w:tc>
            </w:tr>
          </w:tbl>
          <w:p w14:paraId="274382C3">
            <w:pPr>
              <w:pStyle w:val="10"/>
              <w:spacing w:before="147" w:beforeLines="50" w:after="0" w:line="240" w:lineRule="auto"/>
              <w:ind w:right="0"/>
              <w:jc w:val="center"/>
              <w:rPr>
                <w:b/>
                <w:bCs/>
                <w:color w:val="auto"/>
                <w:sz w:val="21"/>
                <w:szCs w:val="21"/>
              </w:rPr>
            </w:pPr>
            <w:r>
              <w:rPr>
                <w:b/>
                <w:bCs/>
                <w:color w:val="auto"/>
                <w:sz w:val="21"/>
                <w:szCs w:val="21"/>
              </w:rPr>
              <w:t>表4-</w:t>
            </w:r>
            <w:r>
              <w:rPr>
                <w:rFonts w:hint="eastAsia"/>
                <w:b/>
                <w:bCs/>
                <w:color w:val="auto"/>
                <w:sz w:val="21"/>
                <w:szCs w:val="21"/>
                <w:lang w:val="en-US" w:eastAsia="zh-CN"/>
              </w:rPr>
              <w:t>25</w:t>
            </w:r>
            <w:r>
              <w:rPr>
                <w:b/>
                <w:bCs/>
                <w:color w:val="auto"/>
                <w:sz w:val="21"/>
                <w:szCs w:val="21"/>
              </w:rPr>
              <w:t xml:space="preserve"> 设备噪声对厂界周围环境的影响</w:t>
            </w:r>
            <w:r>
              <w:rPr>
                <w:rFonts w:hint="eastAsia"/>
                <w:b/>
                <w:bCs/>
                <w:color w:val="auto"/>
                <w:sz w:val="21"/>
                <w:szCs w:val="21"/>
                <w:lang w:eastAsia="zh-CN"/>
              </w:rPr>
              <w:t>（</w:t>
            </w:r>
            <w:r>
              <w:rPr>
                <w:rFonts w:hint="eastAsia"/>
                <w:b/>
                <w:bCs/>
                <w:color w:val="auto"/>
                <w:sz w:val="21"/>
                <w:szCs w:val="21"/>
                <w:lang w:val="en-US" w:eastAsia="zh-CN"/>
              </w:rPr>
              <w:t>夜间</w:t>
            </w:r>
            <w:r>
              <w:rPr>
                <w:rFonts w:hint="eastAsia"/>
                <w:b/>
                <w:bCs/>
                <w:color w:val="auto"/>
                <w:sz w:val="21"/>
                <w:szCs w:val="21"/>
                <w:lang w:eastAsia="zh-CN"/>
              </w:rPr>
              <w:t>）</w:t>
            </w:r>
            <w:r>
              <w:rPr>
                <w:b/>
                <w:bCs/>
                <w:color w:val="auto"/>
                <w:sz w:val="21"/>
                <w:szCs w:val="21"/>
              </w:rPr>
              <w:t xml:space="preserve"> 单位：dB</w:t>
            </w:r>
            <w:r>
              <w:rPr>
                <w:rFonts w:hint="eastAsia"/>
                <w:b/>
                <w:bCs/>
                <w:color w:val="auto"/>
                <w:sz w:val="21"/>
                <w:szCs w:val="21"/>
              </w:rPr>
              <w:t>（</w:t>
            </w:r>
            <w:r>
              <w:rPr>
                <w:b/>
                <w:bCs/>
                <w:color w:val="auto"/>
                <w:sz w:val="21"/>
                <w:szCs w:val="21"/>
              </w:rPr>
              <w:t>A</w:t>
            </w:r>
            <w:r>
              <w:rPr>
                <w:rFonts w:hint="eastAsia"/>
                <w:b/>
                <w:bCs/>
                <w:color w:val="auto"/>
                <w:sz w:val="21"/>
                <w:szCs w:val="21"/>
              </w:rPr>
              <w:t>）</w:t>
            </w:r>
          </w:p>
          <w:tbl>
            <w:tblPr>
              <w:tblStyle w:val="31"/>
              <w:tblW w:w="495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698"/>
              <w:gridCol w:w="1332"/>
              <w:gridCol w:w="1332"/>
              <w:gridCol w:w="1333"/>
              <w:gridCol w:w="1330"/>
              <w:gridCol w:w="1333"/>
            </w:tblGrid>
            <w:tr w14:paraId="5BB43F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15" w:type="pct"/>
                  <w:vMerge w:val="restart"/>
                  <w:vAlign w:val="center"/>
                </w:tcPr>
                <w:p w14:paraId="6CAB6C5F">
                  <w:pPr>
                    <w:jc w:val="center"/>
                    <w:rPr>
                      <w:b/>
                      <w:bCs/>
                      <w:color w:val="auto"/>
                      <w:szCs w:val="21"/>
                    </w:rPr>
                  </w:pPr>
                  <w:r>
                    <w:rPr>
                      <w:rFonts w:hint="eastAsia"/>
                      <w:b/>
                      <w:bCs/>
                      <w:color w:val="auto"/>
                      <w:szCs w:val="21"/>
                    </w:rPr>
                    <w:t>预测点</w:t>
                  </w:r>
                </w:p>
              </w:tc>
              <w:tc>
                <w:tcPr>
                  <w:tcW w:w="796" w:type="pct"/>
                  <w:vMerge w:val="restart"/>
                  <w:vAlign w:val="center"/>
                </w:tcPr>
                <w:p w14:paraId="3A157A51">
                  <w:pPr>
                    <w:jc w:val="center"/>
                    <w:rPr>
                      <w:b/>
                      <w:bCs/>
                      <w:color w:val="auto"/>
                      <w:szCs w:val="21"/>
                    </w:rPr>
                  </w:pPr>
                  <w:r>
                    <w:rPr>
                      <w:rFonts w:hint="eastAsia"/>
                      <w:b/>
                      <w:bCs/>
                      <w:color w:val="auto"/>
                      <w:szCs w:val="21"/>
                      <w:lang w:val="en-US" w:eastAsia="zh-CN"/>
                    </w:rPr>
                    <w:t>现状</w:t>
                  </w:r>
                  <w:r>
                    <w:rPr>
                      <w:rFonts w:hint="eastAsia"/>
                      <w:b/>
                      <w:bCs/>
                      <w:color w:val="auto"/>
                      <w:szCs w:val="21"/>
                    </w:rPr>
                    <w:t>值</w:t>
                  </w:r>
                </w:p>
              </w:tc>
              <w:tc>
                <w:tcPr>
                  <w:tcW w:w="796" w:type="pct"/>
                  <w:vMerge w:val="restart"/>
                  <w:vAlign w:val="center"/>
                </w:tcPr>
                <w:p w14:paraId="195A9F6D">
                  <w:pPr>
                    <w:jc w:val="center"/>
                    <w:rPr>
                      <w:rFonts w:hint="eastAsia"/>
                      <w:b/>
                      <w:bCs/>
                      <w:color w:val="auto"/>
                      <w:szCs w:val="21"/>
                    </w:rPr>
                  </w:pPr>
                  <w:r>
                    <w:rPr>
                      <w:rFonts w:hint="eastAsia"/>
                      <w:b/>
                      <w:bCs/>
                      <w:color w:val="auto"/>
                      <w:szCs w:val="21"/>
                    </w:rPr>
                    <w:t>贡献值</w:t>
                  </w:r>
                </w:p>
              </w:tc>
              <w:tc>
                <w:tcPr>
                  <w:tcW w:w="797" w:type="pct"/>
                  <w:vMerge w:val="restart"/>
                  <w:vAlign w:val="center"/>
                </w:tcPr>
                <w:p w14:paraId="7CCD5040">
                  <w:pPr>
                    <w:jc w:val="center"/>
                    <w:rPr>
                      <w:rFonts w:hint="eastAsia" w:eastAsia="宋体"/>
                      <w:b/>
                      <w:bCs/>
                      <w:color w:val="auto"/>
                      <w:szCs w:val="21"/>
                      <w:lang w:val="en-US" w:eastAsia="zh-CN"/>
                    </w:rPr>
                  </w:pPr>
                  <w:r>
                    <w:rPr>
                      <w:rFonts w:hint="eastAsia"/>
                      <w:b/>
                      <w:bCs/>
                      <w:color w:val="auto"/>
                      <w:szCs w:val="21"/>
                      <w:lang w:val="en-US" w:eastAsia="zh-CN"/>
                    </w:rPr>
                    <w:t>预测值</w:t>
                  </w:r>
                </w:p>
              </w:tc>
              <w:tc>
                <w:tcPr>
                  <w:tcW w:w="1593" w:type="pct"/>
                  <w:gridSpan w:val="2"/>
                  <w:vAlign w:val="center"/>
                </w:tcPr>
                <w:p w14:paraId="0137E820">
                  <w:pPr>
                    <w:jc w:val="center"/>
                    <w:rPr>
                      <w:b/>
                      <w:bCs/>
                      <w:color w:val="auto"/>
                      <w:szCs w:val="21"/>
                    </w:rPr>
                  </w:pPr>
                  <w:r>
                    <w:rPr>
                      <w:rFonts w:hint="eastAsia"/>
                      <w:b/>
                      <w:bCs/>
                      <w:color w:val="auto"/>
                      <w:szCs w:val="21"/>
                    </w:rPr>
                    <w:t>夜间</w:t>
                  </w:r>
                </w:p>
              </w:tc>
            </w:tr>
            <w:tr w14:paraId="5B3417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15" w:type="pct"/>
                  <w:vMerge w:val="continue"/>
                  <w:vAlign w:val="center"/>
                </w:tcPr>
                <w:p w14:paraId="3FF5E573">
                  <w:pPr>
                    <w:jc w:val="center"/>
                    <w:rPr>
                      <w:b/>
                      <w:bCs/>
                      <w:color w:val="auto"/>
                      <w:szCs w:val="21"/>
                    </w:rPr>
                  </w:pPr>
                </w:p>
              </w:tc>
              <w:tc>
                <w:tcPr>
                  <w:tcW w:w="796" w:type="pct"/>
                  <w:vMerge w:val="continue"/>
                  <w:vAlign w:val="center"/>
                </w:tcPr>
                <w:p w14:paraId="2B8C9E12">
                  <w:pPr>
                    <w:jc w:val="center"/>
                    <w:rPr>
                      <w:b/>
                      <w:bCs/>
                      <w:color w:val="auto"/>
                      <w:szCs w:val="21"/>
                    </w:rPr>
                  </w:pPr>
                </w:p>
              </w:tc>
              <w:tc>
                <w:tcPr>
                  <w:tcW w:w="796" w:type="pct"/>
                  <w:vMerge w:val="continue"/>
                  <w:vAlign w:val="center"/>
                </w:tcPr>
                <w:p w14:paraId="263723BA">
                  <w:pPr>
                    <w:jc w:val="center"/>
                    <w:rPr>
                      <w:b/>
                      <w:bCs/>
                      <w:color w:val="auto"/>
                      <w:szCs w:val="21"/>
                    </w:rPr>
                  </w:pPr>
                </w:p>
              </w:tc>
              <w:tc>
                <w:tcPr>
                  <w:tcW w:w="797" w:type="pct"/>
                  <w:vMerge w:val="continue"/>
                  <w:vAlign w:val="center"/>
                </w:tcPr>
                <w:p w14:paraId="0DA2359C">
                  <w:pPr>
                    <w:jc w:val="center"/>
                    <w:rPr>
                      <w:b/>
                      <w:bCs/>
                      <w:color w:val="auto"/>
                      <w:szCs w:val="21"/>
                    </w:rPr>
                  </w:pPr>
                </w:p>
              </w:tc>
              <w:tc>
                <w:tcPr>
                  <w:tcW w:w="795" w:type="pct"/>
                  <w:vAlign w:val="center"/>
                </w:tcPr>
                <w:p w14:paraId="03A829F7">
                  <w:pPr>
                    <w:jc w:val="center"/>
                    <w:rPr>
                      <w:b/>
                      <w:bCs/>
                      <w:color w:val="auto"/>
                      <w:szCs w:val="21"/>
                    </w:rPr>
                  </w:pPr>
                  <w:r>
                    <w:rPr>
                      <w:rFonts w:hint="eastAsia"/>
                      <w:b/>
                      <w:bCs/>
                      <w:color w:val="auto"/>
                      <w:szCs w:val="21"/>
                    </w:rPr>
                    <w:t>标准值</w:t>
                  </w:r>
                </w:p>
              </w:tc>
              <w:tc>
                <w:tcPr>
                  <w:tcW w:w="797" w:type="pct"/>
                  <w:vAlign w:val="center"/>
                </w:tcPr>
                <w:p w14:paraId="588DFAE1">
                  <w:pPr>
                    <w:jc w:val="center"/>
                    <w:rPr>
                      <w:b/>
                      <w:bCs/>
                      <w:color w:val="auto"/>
                      <w:szCs w:val="21"/>
                    </w:rPr>
                  </w:pPr>
                  <w:r>
                    <w:rPr>
                      <w:rFonts w:hint="eastAsia"/>
                      <w:b/>
                      <w:bCs/>
                      <w:color w:val="auto"/>
                      <w:szCs w:val="21"/>
                    </w:rPr>
                    <w:t>达标情况</w:t>
                  </w:r>
                </w:p>
              </w:tc>
            </w:tr>
            <w:tr w14:paraId="77E2AD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15" w:type="pct"/>
                  <w:vAlign w:val="center"/>
                </w:tcPr>
                <w:p w14:paraId="61A654A0">
                  <w:pPr>
                    <w:jc w:val="center"/>
                    <w:rPr>
                      <w:color w:val="auto"/>
                      <w:szCs w:val="21"/>
                    </w:rPr>
                  </w:pPr>
                  <w:r>
                    <w:rPr>
                      <w:rFonts w:hint="eastAsia"/>
                      <w:color w:val="auto"/>
                      <w:szCs w:val="21"/>
                    </w:rPr>
                    <w:t>东厂界</w:t>
                  </w:r>
                </w:p>
              </w:tc>
              <w:tc>
                <w:tcPr>
                  <w:tcW w:w="796" w:type="pct"/>
                  <w:vAlign w:val="center"/>
                </w:tcPr>
                <w:p w14:paraId="4342F4F8">
                  <w:pPr>
                    <w:jc w:val="center"/>
                    <w:rPr>
                      <w:rFonts w:hint="default" w:eastAsia="宋体"/>
                      <w:color w:val="auto"/>
                      <w:szCs w:val="21"/>
                      <w:lang w:val="en-US" w:eastAsia="zh-CN"/>
                    </w:rPr>
                  </w:pPr>
                  <w:r>
                    <w:rPr>
                      <w:rFonts w:hint="eastAsia" w:eastAsia="宋体"/>
                      <w:color w:val="auto"/>
                      <w:szCs w:val="21"/>
                      <w:lang w:val="en-US" w:eastAsia="zh-CN"/>
                    </w:rPr>
                    <w:t>51.8</w:t>
                  </w:r>
                </w:p>
              </w:tc>
              <w:tc>
                <w:tcPr>
                  <w:tcW w:w="796" w:type="pct"/>
                  <w:shd w:val="clear" w:color="auto" w:fill="auto"/>
                  <w:vAlign w:val="center"/>
                </w:tcPr>
                <w:p w14:paraId="288F998E">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38.3</w:t>
                  </w:r>
                </w:p>
              </w:tc>
              <w:tc>
                <w:tcPr>
                  <w:tcW w:w="797" w:type="pct"/>
                  <w:vAlign w:val="center"/>
                </w:tcPr>
                <w:p w14:paraId="6431F4EC">
                  <w:pPr>
                    <w:jc w:val="center"/>
                    <w:rPr>
                      <w:rFonts w:hint="default"/>
                      <w:color w:val="auto"/>
                      <w:szCs w:val="21"/>
                      <w:lang w:val="en-US" w:eastAsia="zh-CN"/>
                    </w:rPr>
                  </w:pPr>
                  <w:r>
                    <w:rPr>
                      <w:rFonts w:hint="eastAsia"/>
                      <w:color w:val="auto"/>
                      <w:szCs w:val="21"/>
                      <w:lang w:val="en-US" w:eastAsia="zh-CN"/>
                    </w:rPr>
                    <w:t>51.99</w:t>
                  </w:r>
                </w:p>
              </w:tc>
              <w:tc>
                <w:tcPr>
                  <w:tcW w:w="795" w:type="pct"/>
                  <w:vAlign w:val="center"/>
                </w:tcPr>
                <w:p w14:paraId="25C24312">
                  <w:pPr>
                    <w:jc w:val="center"/>
                    <w:rPr>
                      <w:color w:val="auto"/>
                      <w:szCs w:val="21"/>
                    </w:rPr>
                  </w:pPr>
                  <w:r>
                    <w:rPr>
                      <w:rFonts w:hint="eastAsia"/>
                      <w:color w:val="auto"/>
                      <w:szCs w:val="21"/>
                    </w:rPr>
                    <w:t>55</w:t>
                  </w:r>
                </w:p>
              </w:tc>
              <w:tc>
                <w:tcPr>
                  <w:tcW w:w="797" w:type="pct"/>
                  <w:vAlign w:val="center"/>
                </w:tcPr>
                <w:p w14:paraId="07B3CFD7">
                  <w:pPr>
                    <w:jc w:val="center"/>
                    <w:rPr>
                      <w:color w:val="auto"/>
                      <w:szCs w:val="21"/>
                    </w:rPr>
                  </w:pPr>
                  <w:r>
                    <w:rPr>
                      <w:rFonts w:hint="eastAsia"/>
                      <w:color w:val="auto"/>
                      <w:szCs w:val="21"/>
                    </w:rPr>
                    <w:t>达标</w:t>
                  </w:r>
                </w:p>
              </w:tc>
            </w:tr>
            <w:tr w14:paraId="491C13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15" w:type="pct"/>
                  <w:vAlign w:val="center"/>
                </w:tcPr>
                <w:p w14:paraId="49902B91">
                  <w:pPr>
                    <w:jc w:val="center"/>
                    <w:rPr>
                      <w:color w:val="auto"/>
                      <w:szCs w:val="21"/>
                    </w:rPr>
                  </w:pPr>
                  <w:r>
                    <w:rPr>
                      <w:rFonts w:hint="eastAsia"/>
                      <w:color w:val="auto"/>
                      <w:szCs w:val="21"/>
                    </w:rPr>
                    <w:t>南厂界</w:t>
                  </w:r>
                </w:p>
              </w:tc>
              <w:tc>
                <w:tcPr>
                  <w:tcW w:w="796" w:type="pct"/>
                  <w:vAlign w:val="center"/>
                </w:tcPr>
                <w:p w14:paraId="2E95AA65">
                  <w:pPr>
                    <w:jc w:val="center"/>
                    <w:rPr>
                      <w:rFonts w:hint="default" w:eastAsia="宋体"/>
                      <w:color w:val="auto"/>
                      <w:szCs w:val="21"/>
                      <w:lang w:val="en-US" w:eastAsia="zh-CN"/>
                    </w:rPr>
                  </w:pPr>
                  <w:r>
                    <w:rPr>
                      <w:rFonts w:hint="eastAsia" w:eastAsia="宋体"/>
                      <w:color w:val="auto"/>
                      <w:szCs w:val="21"/>
                      <w:lang w:val="en-US" w:eastAsia="zh-CN"/>
                    </w:rPr>
                    <w:t>48.2</w:t>
                  </w:r>
                </w:p>
              </w:tc>
              <w:tc>
                <w:tcPr>
                  <w:tcW w:w="796" w:type="pct"/>
                  <w:shd w:val="clear" w:color="auto" w:fill="auto"/>
                  <w:vAlign w:val="center"/>
                </w:tcPr>
                <w:p w14:paraId="0B82BEEA">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32.9</w:t>
                  </w:r>
                </w:p>
              </w:tc>
              <w:tc>
                <w:tcPr>
                  <w:tcW w:w="797" w:type="pct"/>
                  <w:vAlign w:val="center"/>
                </w:tcPr>
                <w:p w14:paraId="31BF6DA5">
                  <w:pPr>
                    <w:jc w:val="center"/>
                    <w:rPr>
                      <w:rFonts w:hint="default"/>
                      <w:color w:val="auto"/>
                      <w:szCs w:val="21"/>
                      <w:lang w:val="en-US" w:eastAsia="zh-CN"/>
                    </w:rPr>
                  </w:pPr>
                  <w:r>
                    <w:rPr>
                      <w:rFonts w:hint="eastAsia"/>
                      <w:color w:val="auto"/>
                      <w:szCs w:val="21"/>
                      <w:lang w:val="en-US" w:eastAsia="zh-CN"/>
                    </w:rPr>
                    <w:t>48.33</w:t>
                  </w:r>
                </w:p>
              </w:tc>
              <w:tc>
                <w:tcPr>
                  <w:tcW w:w="795" w:type="pct"/>
                  <w:vAlign w:val="center"/>
                </w:tcPr>
                <w:p w14:paraId="3193023E">
                  <w:pPr>
                    <w:jc w:val="center"/>
                    <w:rPr>
                      <w:color w:val="auto"/>
                      <w:szCs w:val="21"/>
                    </w:rPr>
                  </w:pPr>
                  <w:r>
                    <w:rPr>
                      <w:rFonts w:hint="eastAsia"/>
                      <w:color w:val="auto"/>
                      <w:szCs w:val="21"/>
                    </w:rPr>
                    <w:t>55</w:t>
                  </w:r>
                </w:p>
              </w:tc>
              <w:tc>
                <w:tcPr>
                  <w:tcW w:w="797" w:type="pct"/>
                  <w:vAlign w:val="center"/>
                </w:tcPr>
                <w:p w14:paraId="616D975A">
                  <w:pPr>
                    <w:jc w:val="center"/>
                    <w:rPr>
                      <w:color w:val="auto"/>
                      <w:szCs w:val="21"/>
                    </w:rPr>
                  </w:pPr>
                  <w:r>
                    <w:rPr>
                      <w:rFonts w:hint="eastAsia"/>
                      <w:color w:val="auto"/>
                      <w:szCs w:val="21"/>
                    </w:rPr>
                    <w:t>达标</w:t>
                  </w:r>
                </w:p>
              </w:tc>
            </w:tr>
            <w:tr w14:paraId="698CD5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15" w:type="pct"/>
                  <w:vAlign w:val="center"/>
                </w:tcPr>
                <w:p w14:paraId="25ED1447">
                  <w:pPr>
                    <w:jc w:val="center"/>
                    <w:rPr>
                      <w:color w:val="auto"/>
                      <w:szCs w:val="21"/>
                    </w:rPr>
                  </w:pPr>
                  <w:r>
                    <w:rPr>
                      <w:rFonts w:hint="eastAsia"/>
                      <w:color w:val="auto"/>
                      <w:szCs w:val="21"/>
                    </w:rPr>
                    <w:t>西厂界</w:t>
                  </w:r>
                </w:p>
              </w:tc>
              <w:tc>
                <w:tcPr>
                  <w:tcW w:w="796" w:type="pct"/>
                  <w:vAlign w:val="center"/>
                </w:tcPr>
                <w:p w14:paraId="18BEF577">
                  <w:pPr>
                    <w:jc w:val="center"/>
                    <w:rPr>
                      <w:rFonts w:hint="default" w:eastAsia="宋体"/>
                      <w:color w:val="auto"/>
                      <w:szCs w:val="21"/>
                      <w:lang w:val="en-US" w:eastAsia="zh-CN"/>
                    </w:rPr>
                  </w:pPr>
                  <w:r>
                    <w:rPr>
                      <w:rFonts w:hint="eastAsia" w:eastAsia="宋体"/>
                      <w:color w:val="auto"/>
                      <w:szCs w:val="21"/>
                      <w:lang w:val="en-US" w:eastAsia="zh-CN"/>
                    </w:rPr>
                    <w:t>49.1</w:t>
                  </w:r>
                </w:p>
              </w:tc>
              <w:tc>
                <w:tcPr>
                  <w:tcW w:w="796" w:type="pct"/>
                  <w:shd w:val="clear" w:color="auto" w:fill="auto"/>
                  <w:vAlign w:val="center"/>
                </w:tcPr>
                <w:p w14:paraId="61F752AB">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39.8</w:t>
                  </w:r>
                </w:p>
              </w:tc>
              <w:tc>
                <w:tcPr>
                  <w:tcW w:w="797" w:type="pct"/>
                  <w:vAlign w:val="center"/>
                </w:tcPr>
                <w:p w14:paraId="311EFE14">
                  <w:pPr>
                    <w:jc w:val="center"/>
                    <w:rPr>
                      <w:rFonts w:hint="default"/>
                      <w:color w:val="auto"/>
                      <w:szCs w:val="21"/>
                      <w:lang w:val="en-US" w:eastAsia="zh-CN"/>
                    </w:rPr>
                  </w:pPr>
                  <w:r>
                    <w:rPr>
                      <w:rFonts w:hint="eastAsia"/>
                      <w:color w:val="auto"/>
                      <w:szCs w:val="21"/>
                      <w:lang w:val="en-US" w:eastAsia="zh-CN"/>
                    </w:rPr>
                    <w:t>49.58</w:t>
                  </w:r>
                </w:p>
              </w:tc>
              <w:tc>
                <w:tcPr>
                  <w:tcW w:w="795" w:type="pct"/>
                  <w:vAlign w:val="center"/>
                </w:tcPr>
                <w:p w14:paraId="2DB27F96">
                  <w:pPr>
                    <w:jc w:val="center"/>
                    <w:rPr>
                      <w:color w:val="auto"/>
                      <w:szCs w:val="21"/>
                    </w:rPr>
                  </w:pPr>
                  <w:r>
                    <w:rPr>
                      <w:rFonts w:hint="eastAsia"/>
                      <w:color w:val="auto"/>
                      <w:szCs w:val="21"/>
                    </w:rPr>
                    <w:t>55</w:t>
                  </w:r>
                </w:p>
              </w:tc>
              <w:tc>
                <w:tcPr>
                  <w:tcW w:w="797" w:type="pct"/>
                  <w:vAlign w:val="center"/>
                </w:tcPr>
                <w:p w14:paraId="3494DC41">
                  <w:pPr>
                    <w:jc w:val="center"/>
                    <w:rPr>
                      <w:color w:val="auto"/>
                      <w:szCs w:val="21"/>
                    </w:rPr>
                  </w:pPr>
                  <w:r>
                    <w:rPr>
                      <w:rFonts w:hint="eastAsia"/>
                      <w:color w:val="auto"/>
                      <w:szCs w:val="21"/>
                    </w:rPr>
                    <w:t>达标</w:t>
                  </w:r>
                </w:p>
              </w:tc>
            </w:tr>
            <w:tr w14:paraId="00B87F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15" w:type="pct"/>
                  <w:vAlign w:val="center"/>
                </w:tcPr>
                <w:p w14:paraId="1D69781E">
                  <w:pPr>
                    <w:jc w:val="center"/>
                    <w:rPr>
                      <w:color w:val="auto"/>
                      <w:szCs w:val="21"/>
                    </w:rPr>
                  </w:pPr>
                  <w:r>
                    <w:rPr>
                      <w:rFonts w:hint="eastAsia"/>
                      <w:color w:val="auto"/>
                      <w:szCs w:val="21"/>
                    </w:rPr>
                    <w:t>北厂界</w:t>
                  </w:r>
                </w:p>
              </w:tc>
              <w:tc>
                <w:tcPr>
                  <w:tcW w:w="796" w:type="pct"/>
                  <w:vAlign w:val="center"/>
                </w:tcPr>
                <w:p w14:paraId="73CF9CCA">
                  <w:pPr>
                    <w:jc w:val="center"/>
                    <w:rPr>
                      <w:rFonts w:hint="default" w:eastAsia="宋体"/>
                      <w:color w:val="auto"/>
                      <w:szCs w:val="21"/>
                      <w:lang w:val="en-US" w:eastAsia="zh-CN"/>
                    </w:rPr>
                  </w:pPr>
                  <w:r>
                    <w:rPr>
                      <w:rFonts w:hint="eastAsia" w:eastAsia="宋体"/>
                      <w:color w:val="auto"/>
                      <w:szCs w:val="21"/>
                      <w:lang w:val="en-US" w:eastAsia="zh-CN"/>
                    </w:rPr>
                    <w:t>51.9</w:t>
                  </w:r>
                </w:p>
              </w:tc>
              <w:tc>
                <w:tcPr>
                  <w:tcW w:w="796" w:type="pct"/>
                  <w:shd w:val="clear" w:color="auto" w:fill="auto"/>
                  <w:vAlign w:val="center"/>
                </w:tcPr>
                <w:p w14:paraId="5D5E156E">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33.7</w:t>
                  </w:r>
                </w:p>
              </w:tc>
              <w:tc>
                <w:tcPr>
                  <w:tcW w:w="797" w:type="pct"/>
                  <w:vAlign w:val="center"/>
                </w:tcPr>
                <w:p w14:paraId="5E0AD5E6">
                  <w:pPr>
                    <w:jc w:val="center"/>
                    <w:rPr>
                      <w:rFonts w:hint="default"/>
                      <w:color w:val="auto"/>
                      <w:szCs w:val="21"/>
                      <w:lang w:val="en-US" w:eastAsia="zh-CN"/>
                    </w:rPr>
                  </w:pPr>
                  <w:r>
                    <w:rPr>
                      <w:rFonts w:hint="eastAsia"/>
                      <w:color w:val="auto"/>
                      <w:szCs w:val="21"/>
                      <w:lang w:val="en-US" w:eastAsia="zh-CN"/>
                    </w:rPr>
                    <w:t>51.97</w:t>
                  </w:r>
                </w:p>
              </w:tc>
              <w:tc>
                <w:tcPr>
                  <w:tcW w:w="795" w:type="pct"/>
                  <w:vAlign w:val="center"/>
                </w:tcPr>
                <w:p w14:paraId="1B1DE3E8">
                  <w:pPr>
                    <w:jc w:val="center"/>
                    <w:rPr>
                      <w:color w:val="auto"/>
                      <w:szCs w:val="21"/>
                    </w:rPr>
                  </w:pPr>
                  <w:r>
                    <w:rPr>
                      <w:rFonts w:hint="eastAsia"/>
                      <w:color w:val="auto"/>
                      <w:szCs w:val="21"/>
                    </w:rPr>
                    <w:t>55</w:t>
                  </w:r>
                </w:p>
              </w:tc>
              <w:tc>
                <w:tcPr>
                  <w:tcW w:w="797" w:type="pct"/>
                  <w:vAlign w:val="center"/>
                </w:tcPr>
                <w:p w14:paraId="284EB988">
                  <w:pPr>
                    <w:jc w:val="center"/>
                    <w:rPr>
                      <w:color w:val="auto"/>
                      <w:szCs w:val="21"/>
                    </w:rPr>
                  </w:pPr>
                  <w:r>
                    <w:rPr>
                      <w:rFonts w:hint="eastAsia"/>
                      <w:color w:val="auto"/>
                      <w:szCs w:val="21"/>
                    </w:rPr>
                    <w:t>达标</w:t>
                  </w:r>
                </w:p>
              </w:tc>
            </w:tr>
          </w:tbl>
          <w:p w14:paraId="209E7428">
            <w:pPr>
              <w:adjustRightInd w:val="0"/>
              <w:snapToGrid w:val="0"/>
              <w:spacing w:before="147" w:beforeLines="50" w:line="360" w:lineRule="auto"/>
              <w:ind w:firstLine="420" w:firstLineChars="200"/>
              <w:rPr>
                <w:color w:val="auto"/>
                <w:szCs w:val="21"/>
              </w:rPr>
            </w:pPr>
            <w:r>
              <w:rPr>
                <w:color w:val="auto"/>
                <w:szCs w:val="21"/>
              </w:rPr>
              <w:t>由表4-</w:t>
            </w:r>
            <w:r>
              <w:rPr>
                <w:rFonts w:hint="eastAsia"/>
                <w:color w:val="auto"/>
                <w:szCs w:val="21"/>
                <w:lang w:val="en-US" w:eastAsia="zh-CN"/>
              </w:rPr>
              <w:t>24和表4-25</w:t>
            </w:r>
            <w:r>
              <w:rPr>
                <w:color w:val="auto"/>
                <w:szCs w:val="21"/>
              </w:rPr>
              <w:t>可见，建设项目的高噪声经厂房隔声和减震衰减后，对东、南、西、北厂界的噪声贡献值满足《工业企业厂界环境噪声排放标准》（GB12348-2008）中</w:t>
            </w:r>
            <w:r>
              <w:rPr>
                <w:rFonts w:hint="eastAsia"/>
                <w:color w:val="auto"/>
                <w:szCs w:val="21"/>
              </w:rPr>
              <w:t>3</w:t>
            </w:r>
            <w:r>
              <w:rPr>
                <w:color w:val="auto"/>
                <w:szCs w:val="21"/>
              </w:rPr>
              <w:t>类标准，昼间≤6</w:t>
            </w:r>
            <w:r>
              <w:rPr>
                <w:rFonts w:hint="eastAsia"/>
                <w:color w:val="auto"/>
                <w:szCs w:val="21"/>
              </w:rPr>
              <w:t>5</w:t>
            </w:r>
            <w:r>
              <w:rPr>
                <w:color w:val="auto"/>
                <w:szCs w:val="21"/>
              </w:rPr>
              <w:t>dB(A)，夜间≤5</w:t>
            </w:r>
            <w:r>
              <w:rPr>
                <w:rFonts w:hint="eastAsia"/>
                <w:color w:val="auto"/>
                <w:szCs w:val="21"/>
              </w:rPr>
              <w:t>5</w:t>
            </w:r>
            <w:r>
              <w:rPr>
                <w:color w:val="auto"/>
                <w:szCs w:val="21"/>
              </w:rPr>
              <w:t>dB(A)</w:t>
            </w:r>
            <w:r>
              <w:rPr>
                <w:rFonts w:hint="eastAsia"/>
                <w:color w:val="auto"/>
                <w:szCs w:val="21"/>
              </w:rPr>
              <w:t>。</w:t>
            </w:r>
          </w:p>
          <w:p w14:paraId="79DAD614">
            <w:pPr>
              <w:adjustRightInd w:val="0"/>
              <w:snapToGrid w:val="0"/>
              <w:spacing w:line="360" w:lineRule="auto"/>
              <w:ind w:firstLine="420" w:firstLineChars="200"/>
              <w:rPr>
                <w:color w:val="auto"/>
                <w:szCs w:val="21"/>
              </w:rPr>
            </w:pPr>
            <w:r>
              <w:rPr>
                <w:rFonts w:hint="eastAsia"/>
                <w:color w:val="auto"/>
                <w:szCs w:val="21"/>
              </w:rPr>
              <w:t>综上所述，本项目噪声排放对周围环境影响较小，噪声防治措施可行。</w:t>
            </w:r>
          </w:p>
          <w:p w14:paraId="5B53BC45">
            <w:pPr>
              <w:adjustRightInd w:val="0"/>
              <w:snapToGrid w:val="0"/>
              <w:spacing w:line="360" w:lineRule="auto"/>
              <w:rPr>
                <w:b/>
                <w:bCs/>
                <w:color w:val="auto"/>
                <w:szCs w:val="21"/>
              </w:rPr>
            </w:pPr>
            <w:r>
              <w:rPr>
                <w:rFonts w:hint="eastAsia"/>
                <w:b/>
                <w:bCs/>
                <w:color w:val="auto"/>
                <w:szCs w:val="21"/>
              </w:rPr>
              <w:t>3.4监测计划</w:t>
            </w:r>
          </w:p>
          <w:p w14:paraId="366A7869">
            <w:pPr>
              <w:adjustRightInd w:val="0"/>
              <w:snapToGrid w:val="0"/>
              <w:spacing w:line="360" w:lineRule="auto"/>
              <w:ind w:firstLine="420" w:firstLineChars="200"/>
              <w:rPr>
                <w:color w:val="auto"/>
                <w:szCs w:val="21"/>
              </w:rPr>
            </w:pPr>
            <w:r>
              <w:rPr>
                <w:rFonts w:hint="eastAsia"/>
                <w:color w:val="auto"/>
                <w:szCs w:val="21"/>
              </w:rPr>
              <w:t>项目运营期间的监测要求见表4</w:t>
            </w:r>
            <w:r>
              <w:rPr>
                <w:rFonts w:hint="eastAsia"/>
                <w:color w:val="auto"/>
                <w:szCs w:val="21"/>
                <w:lang w:val="en-US" w:eastAsia="zh-CN"/>
              </w:rPr>
              <w:t>-26</w:t>
            </w:r>
            <w:r>
              <w:rPr>
                <w:rFonts w:hint="eastAsia"/>
                <w:color w:val="auto"/>
                <w:szCs w:val="21"/>
              </w:rPr>
              <w:t>。</w:t>
            </w:r>
          </w:p>
          <w:p w14:paraId="2D9A29B7">
            <w:pPr>
              <w:pStyle w:val="105"/>
              <w:spacing w:before="147" w:beforeLines="50" w:line="240" w:lineRule="auto"/>
              <w:ind w:firstLine="0"/>
              <w:rPr>
                <w:rFonts w:hint="eastAsia"/>
                <w:color w:val="auto"/>
                <w:szCs w:val="21"/>
                <w:lang w:val="en-US"/>
              </w:rPr>
            </w:pPr>
            <w:r>
              <w:rPr>
                <w:color w:val="auto"/>
                <w:szCs w:val="21"/>
                <w:lang w:val="en-US"/>
              </w:rPr>
              <w:t>表</w:t>
            </w:r>
            <w:r>
              <w:rPr>
                <w:rFonts w:ascii="Times New Roman" w:hAnsi="Times New Roman"/>
                <w:color w:val="auto"/>
                <w:szCs w:val="21"/>
                <w:lang w:val="en-US"/>
              </w:rPr>
              <w:t>4-</w:t>
            </w:r>
            <w:r>
              <w:rPr>
                <w:rFonts w:hint="eastAsia" w:ascii="Times New Roman" w:hAnsi="Times New Roman"/>
                <w:color w:val="auto"/>
                <w:szCs w:val="21"/>
                <w:lang w:val="en-US" w:eastAsia="zh-CN"/>
              </w:rPr>
              <w:t>26</w:t>
            </w:r>
            <w:r>
              <w:rPr>
                <w:rFonts w:hint="eastAsia" w:ascii="Times New Roman" w:hAnsi="Times New Roman"/>
                <w:color w:val="auto"/>
                <w:szCs w:val="21"/>
                <w:lang w:val="en-US"/>
              </w:rPr>
              <w:t xml:space="preserve"> </w:t>
            </w:r>
            <w:r>
              <w:rPr>
                <w:color w:val="auto"/>
                <w:szCs w:val="21"/>
                <w:lang w:val="en-US"/>
              </w:rPr>
              <w:t>噪声监测计划表</w:t>
            </w:r>
          </w:p>
          <w:tbl>
            <w:tblPr>
              <w:tblStyle w:val="30"/>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28" w:type="dxa"/>
                <w:bottom w:w="0" w:type="dxa"/>
                <w:right w:w="28" w:type="dxa"/>
              </w:tblCellMar>
            </w:tblPr>
            <w:tblGrid>
              <w:gridCol w:w="1055"/>
              <w:gridCol w:w="2356"/>
              <w:gridCol w:w="1244"/>
              <w:gridCol w:w="3779"/>
            </w:tblGrid>
            <w:tr w14:paraId="6D60B1A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40" w:hRule="atLeast"/>
                <w:jc w:val="center"/>
              </w:trPr>
              <w:tc>
                <w:tcPr>
                  <w:tcW w:w="1055" w:type="dxa"/>
                  <w:vAlign w:val="center"/>
                </w:tcPr>
                <w:p w14:paraId="0E3F1598">
                  <w:pPr>
                    <w:pStyle w:val="106"/>
                    <w:widowControl/>
                    <w:adjustRightInd w:val="0"/>
                    <w:snapToGrid w:val="0"/>
                    <w:spacing w:line="240" w:lineRule="auto"/>
                    <w:ind w:firstLine="0" w:firstLineChars="0"/>
                    <w:jc w:val="center"/>
                    <w:rPr>
                      <w:b/>
                      <w:bCs/>
                      <w:color w:val="auto"/>
                      <w:szCs w:val="21"/>
                    </w:rPr>
                  </w:pPr>
                  <w:r>
                    <w:rPr>
                      <w:b/>
                      <w:bCs/>
                      <w:color w:val="auto"/>
                      <w:szCs w:val="21"/>
                    </w:rPr>
                    <w:t>监测点位</w:t>
                  </w:r>
                </w:p>
              </w:tc>
              <w:tc>
                <w:tcPr>
                  <w:tcW w:w="2356" w:type="dxa"/>
                  <w:vAlign w:val="center"/>
                </w:tcPr>
                <w:p w14:paraId="252C1FF8">
                  <w:pPr>
                    <w:pStyle w:val="106"/>
                    <w:widowControl/>
                    <w:adjustRightInd w:val="0"/>
                    <w:snapToGrid w:val="0"/>
                    <w:spacing w:line="240" w:lineRule="auto"/>
                    <w:ind w:firstLine="0" w:firstLineChars="0"/>
                    <w:jc w:val="center"/>
                    <w:rPr>
                      <w:b/>
                      <w:bCs/>
                      <w:color w:val="auto"/>
                      <w:szCs w:val="21"/>
                    </w:rPr>
                  </w:pPr>
                  <w:r>
                    <w:rPr>
                      <w:b/>
                      <w:bCs/>
                      <w:color w:val="auto"/>
                      <w:szCs w:val="21"/>
                    </w:rPr>
                    <w:t>监测指标</w:t>
                  </w:r>
                </w:p>
              </w:tc>
              <w:tc>
                <w:tcPr>
                  <w:tcW w:w="1244" w:type="dxa"/>
                  <w:vAlign w:val="center"/>
                </w:tcPr>
                <w:p w14:paraId="28D325F7">
                  <w:pPr>
                    <w:pStyle w:val="106"/>
                    <w:widowControl/>
                    <w:adjustRightInd w:val="0"/>
                    <w:snapToGrid w:val="0"/>
                    <w:spacing w:line="240" w:lineRule="auto"/>
                    <w:ind w:firstLine="0" w:firstLineChars="0"/>
                    <w:jc w:val="center"/>
                    <w:rPr>
                      <w:b/>
                      <w:bCs/>
                      <w:color w:val="auto"/>
                      <w:szCs w:val="21"/>
                    </w:rPr>
                  </w:pPr>
                  <w:r>
                    <w:rPr>
                      <w:b/>
                      <w:bCs/>
                      <w:color w:val="auto"/>
                      <w:szCs w:val="21"/>
                    </w:rPr>
                    <w:t>监测频次</w:t>
                  </w:r>
                </w:p>
              </w:tc>
              <w:tc>
                <w:tcPr>
                  <w:tcW w:w="3779" w:type="dxa"/>
                  <w:vAlign w:val="center"/>
                </w:tcPr>
                <w:p w14:paraId="47644966">
                  <w:pPr>
                    <w:pStyle w:val="106"/>
                    <w:widowControl/>
                    <w:adjustRightInd w:val="0"/>
                    <w:snapToGrid w:val="0"/>
                    <w:spacing w:line="240" w:lineRule="auto"/>
                    <w:ind w:firstLine="527" w:firstLineChars="250"/>
                    <w:jc w:val="center"/>
                    <w:rPr>
                      <w:b/>
                      <w:bCs/>
                      <w:color w:val="auto"/>
                      <w:szCs w:val="21"/>
                    </w:rPr>
                  </w:pPr>
                  <w:r>
                    <w:rPr>
                      <w:b/>
                      <w:bCs/>
                      <w:color w:val="auto"/>
                      <w:szCs w:val="21"/>
                    </w:rPr>
                    <w:t>执行排放标准</w:t>
                  </w:r>
                </w:p>
              </w:tc>
            </w:tr>
            <w:tr w14:paraId="21B789D9">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97" w:hRule="atLeast"/>
                <w:jc w:val="center"/>
              </w:trPr>
              <w:tc>
                <w:tcPr>
                  <w:tcW w:w="1055" w:type="dxa"/>
                  <w:vAlign w:val="center"/>
                </w:tcPr>
                <w:p w14:paraId="318B7D0D">
                  <w:pPr>
                    <w:pStyle w:val="106"/>
                    <w:widowControl/>
                    <w:adjustRightInd w:val="0"/>
                    <w:snapToGrid w:val="0"/>
                    <w:spacing w:line="240" w:lineRule="auto"/>
                    <w:ind w:firstLine="0" w:firstLineChars="0"/>
                    <w:jc w:val="center"/>
                    <w:rPr>
                      <w:color w:val="auto"/>
                      <w:szCs w:val="21"/>
                    </w:rPr>
                  </w:pPr>
                  <w:r>
                    <w:rPr>
                      <w:color w:val="auto"/>
                      <w:szCs w:val="21"/>
                    </w:rPr>
                    <w:t>厂界</w:t>
                  </w:r>
                  <w:r>
                    <w:rPr>
                      <w:rFonts w:hint="eastAsia"/>
                      <w:color w:val="auto"/>
                      <w:szCs w:val="21"/>
                    </w:rPr>
                    <w:t>四周</w:t>
                  </w:r>
                </w:p>
              </w:tc>
              <w:tc>
                <w:tcPr>
                  <w:tcW w:w="2356" w:type="dxa"/>
                  <w:vAlign w:val="center"/>
                </w:tcPr>
                <w:p w14:paraId="4F493676">
                  <w:pPr>
                    <w:pStyle w:val="106"/>
                    <w:widowControl/>
                    <w:adjustRightInd w:val="0"/>
                    <w:snapToGrid w:val="0"/>
                    <w:spacing w:line="240" w:lineRule="auto"/>
                    <w:ind w:firstLine="0" w:firstLineChars="0"/>
                    <w:jc w:val="center"/>
                    <w:rPr>
                      <w:color w:val="auto"/>
                      <w:szCs w:val="21"/>
                    </w:rPr>
                  </w:pPr>
                  <w:r>
                    <w:rPr>
                      <w:color w:val="auto"/>
                      <w:szCs w:val="21"/>
                    </w:rPr>
                    <w:t>昼</w:t>
                  </w:r>
                  <w:r>
                    <w:rPr>
                      <w:rFonts w:hint="eastAsia"/>
                      <w:color w:val="auto"/>
                      <w:szCs w:val="21"/>
                    </w:rPr>
                    <w:t>夜</w:t>
                  </w:r>
                  <w:r>
                    <w:rPr>
                      <w:color w:val="auto"/>
                      <w:szCs w:val="21"/>
                    </w:rPr>
                    <w:t>间连续等效A声级</w:t>
                  </w:r>
                </w:p>
              </w:tc>
              <w:tc>
                <w:tcPr>
                  <w:tcW w:w="1244" w:type="dxa"/>
                  <w:vAlign w:val="center"/>
                </w:tcPr>
                <w:p w14:paraId="46BB256F">
                  <w:pPr>
                    <w:pStyle w:val="106"/>
                    <w:widowControl/>
                    <w:adjustRightInd w:val="0"/>
                    <w:snapToGrid w:val="0"/>
                    <w:spacing w:line="240" w:lineRule="auto"/>
                    <w:ind w:firstLine="0" w:firstLineChars="0"/>
                    <w:jc w:val="center"/>
                    <w:rPr>
                      <w:color w:val="auto"/>
                      <w:szCs w:val="21"/>
                    </w:rPr>
                  </w:pPr>
                  <w:r>
                    <w:rPr>
                      <w:rFonts w:hint="eastAsia"/>
                      <w:color w:val="auto"/>
                      <w:szCs w:val="21"/>
                    </w:rPr>
                    <w:t>1次/</w:t>
                  </w:r>
                  <w:r>
                    <w:rPr>
                      <w:color w:val="auto"/>
                      <w:szCs w:val="21"/>
                    </w:rPr>
                    <w:t>季度</w:t>
                  </w:r>
                </w:p>
              </w:tc>
              <w:tc>
                <w:tcPr>
                  <w:tcW w:w="3779" w:type="dxa"/>
                  <w:vAlign w:val="center"/>
                </w:tcPr>
                <w:p w14:paraId="1497E1A1">
                  <w:pPr>
                    <w:pStyle w:val="106"/>
                    <w:widowControl/>
                    <w:adjustRightInd w:val="0"/>
                    <w:snapToGrid w:val="0"/>
                    <w:spacing w:line="240" w:lineRule="auto"/>
                    <w:ind w:firstLine="0" w:firstLineChars="0"/>
                    <w:jc w:val="center"/>
                    <w:rPr>
                      <w:color w:val="auto"/>
                      <w:szCs w:val="21"/>
                    </w:rPr>
                  </w:pPr>
                  <w:r>
                    <w:rPr>
                      <w:color w:val="auto"/>
                      <w:szCs w:val="21"/>
                    </w:rPr>
                    <w:t>《工业企业厂界环境噪声排放标准》（GB12348-2008）3类标准限值</w:t>
                  </w:r>
                </w:p>
              </w:tc>
            </w:tr>
          </w:tbl>
          <w:p w14:paraId="193011B1">
            <w:pPr>
              <w:numPr>
                <w:ilvl w:val="0"/>
                <w:numId w:val="0"/>
              </w:numPr>
              <w:adjustRightInd w:val="0"/>
              <w:snapToGrid w:val="0"/>
              <w:spacing w:before="147" w:beforeLines="50" w:line="360" w:lineRule="auto"/>
              <w:rPr>
                <w:b/>
                <w:bCs/>
                <w:color w:val="auto"/>
                <w:szCs w:val="21"/>
              </w:rPr>
            </w:pPr>
            <w:r>
              <w:rPr>
                <w:rFonts w:hint="default" w:ascii="Times New Roman" w:hAnsi="Times New Roman" w:eastAsia="宋体" w:cs="Times New Roman"/>
                <w:b/>
                <w:bCs/>
                <w:color w:val="auto"/>
                <w:kern w:val="2"/>
                <w:sz w:val="21"/>
                <w:szCs w:val="21"/>
                <w:lang w:val="en-US" w:eastAsia="zh-CN" w:bidi="ar-SA"/>
              </w:rPr>
              <w:t>4、</w:t>
            </w:r>
            <w:r>
              <w:rPr>
                <w:rFonts w:hint="eastAsia"/>
                <w:b/>
                <w:bCs/>
                <w:color w:val="auto"/>
                <w:szCs w:val="21"/>
              </w:rPr>
              <w:t>固体废物</w:t>
            </w:r>
          </w:p>
          <w:p w14:paraId="64236E31">
            <w:pPr>
              <w:keepNext w:val="0"/>
              <w:keepLines w:val="0"/>
              <w:pageBreakBefore w:val="0"/>
              <w:widowControl/>
              <w:kinsoku/>
              <w:wordWrap/>
              <w:overflowPunct/>
              <w:topLinePunct w:val="0"/>
              <w:autoSpaceDE/>
              <w:autoSpaceDN/>
              <w:bidi w:val="0"/>
              <w:adjustRightInd/>
              <w:snapToGrid w:val="0"/>
              <w:spacing w:line="360" w:lineRule="auto"/>
              <w:textAlignment w:val="auto"/>
              <w:rPr>
                <w:b/>
                <w:bCs/>
                <w:color w:val="auto"/>
                <w:szCs w:val="21"/>
              </w:rPr>
            </w:pPr>
            <w:r>
              <w:rPr>
                <w:b/>
                <w:bCs/>
                <w:color w:val="auto"/>
                <w:szCs w:val="21"/>
              </w:rPr>
              <w:t>4.1固体废物产生及处置情况</w:t>
            </w:r>
          </w:p>
          <w:p w14:paraId="3E474529">
            <w:pPr>
              <w:spacing w:line="360" w:lineRule="auto"/>
              <w:ind w:firstLine="420" w:firstLineChars="200"/>
              <w:rPr>
                <w:rFonts w:hint="default" w:eastAsia="宋体"/>
                <w:color w:val="auto"/>
                <w:szCs w:val="21"/>
                <w:lang w:val="en-US" w:eastAsia="zh-CN"/>
              </w:rPr>
            </w:pPr>
            <w:r>
              <w:rPr>
                <w:rFonts w:hint="eastAsia"/>
                <w:color w:val="auto"/>
                <w:szCs w:val="21"/>
                <w:lang w:val="en-US" w:eastAsia="zh-CN"/>
              </w:rPr>
              <w:t>本</w:t>
            </w:r>
            <w:r>
              <w:rPr>
                <w:color w:val="auto"/>
                <w:szCs w:val="21"/>
              </w:rPr>
              <w:t>项目</w:t>
            </w:r>
            <w:r>
              <w:rPr>
                <w:rFonts w:hint="eastAsia"/>
                <w:color w:val="auto"/>
                <w:szCs w:val="21"/>
                <w:lang w:val="en-US" w:eastAsia="zh-CN"/>
              </w:rPr>
              <w:t>营运期产生的副产物主要有：</w:t>
            </w:r>
          </w:p>
          <w:p w14:paraId="40DC06AE">
            <w:pPr>
              <w:spacing w:line="360" w:lineRule="auto"/>
              <w:ind w:firstLine="420" w:firstLineChars="200"/>
              <w:rPr>
                <w:rFonts w:hint="default" w:ascii="Times New Roman" w:hAnsi="Times New Roman" w:eastAsia="宋体" w:cs="Times New Roman"/>
                <w:color w:val="auto"/>
                <w:kern w:val="24"/>
                <w:sz w:val="21"/>
                <w:szCs w:val="21"/>
                <w:lang w:val="en-US" w:eastAsia="zh-CN" w:bidi="ar-SA"/>
              </w:rPr>
            </w:pPr>
            <w:r>
              <w:rPr>
                <w:rFonts w:hint="eastAsia" w:ascii="Times New Roman" w:hAnsi="Times New Roman" w:eastAsia="宋体" w:cs="Times New Roman"/>
                <w:color w:val="auto"/>
                <w:kern w:val="24"/>
                <w:sz w:val="21"/>
                <w:szCs w:val="21"/>
                <w:lang w:val="en-US" w:eastAsia="zh-CN" w:bidi="ar-SA"/>
              </w:rPr>
              <w:t>（1）生活垃圾：</w:t>
            </w:r>
            <w:r>
              <w:rPr>
                <w:rFonts w:hint="eastAsia"/>
                <w:bCs/>
                <w:color w:val="auto"/>
                <w:szCs w:val="21"/>
              </w:rPr>
              <w:t>本</w:t>
            </w:r>
            <w:r>
              <w:rPr>
                <w:color w:val="auto"/>
                <w:szCs w:val="21"/>
              </w:rPr>
              <w:t>项目</w:t>
            </w:r>
            <w:r>
              <w:rPr>
                <w:rFonts w:hint="eastAsia"/>
                <w:color w:val="auto"/>
                <w:szCs w:val="21"/>
              </w:rPr>
              <w:t>新增劳动定员</w:t>
            </w:r>
            <w:r>
              <w:rPr>
                <w:rFonts w:hint="eastAsia"/>
                <w:color w:val="auto"/>
                <w:szCs w:val="21"/>
                <w:lang w:val="en-US" w:eastAsia="zh-CN"/>
              </w:rPr>
              <w:t>48</w:t>
            </w:r>
            <w:r>
              <w:rPr>
                <w:color w:val="auto"/>
                <w:szCs w:val="21"/>
              </w:rPr>
              <w:t>人，年工作</w:t>
            </w:r>
            <w:r>
              <w:rPr>
                <w:rFonts w:hint="eastAsia"/>
                <w:color w:val="auto"/>
                <w:szCs w:val="21"/>
              </w:rPr>
              <w:t>300天，</w:t>
            </w:r>
            <w:r>
              <w:rPr>
                <w:color w:val="auto"/>
                <w:szCs w:val="21"/>
              </w:rPr>
              <w:t>生活垃圾以0.5kg</w:t>
            </w:r>
            <w:r>
              <w:rPr>
                <w:rFonts w:hint="eastAsia"/>
                <w:color w:val="auto"/>
                <w:szCs w:val="21"/>
              </w:rPr>
              <w:t>/d</w:t>
            </w:r>
            <w:r>
              <w:rPr>
                <w:rFonts w:hint="eastAsia" w:ascii="宋体" w:hAnsi="宋体" w:cs="宋体"/>
                <w:color w:val="auto"/>
                <w:szCs w:val="21"/>
              </w:rPr>
              <w:t>·人</w:t>
            </w:r>
            <w:r>
              <w:rPr>
                <w:color w:val="auto"/>
                <w:szCs w:val="21"/>
              </w:rPr>
              <w:t>计，则生活垃圾产生量为</w:t>
            </w:r>
            <w:r>
              <w:rPr>
                <w:rFonts w:hint="eastAsia"/>
                <w:color w:val="auto"/>
                <w:szCs w:val="21"/>
                <w:lang w:val="en-US" w:eastAsia="zh-CN"/>
              </w:rPr>
              <w:t>7.2</w:t>
            </w:r>
            <w:r>
              <w:rPr>
                <w:color w:val="auto"/>
                <w:szCs w:val="21"/>
              </w:rPr>
              <w:t>t/a。生活垃圾由当地环卫部门统一清运。</w:t>
            </w:r>
          </w:p>
          <w:p w14:paraId="43B1B990">
            <w:pPr>
              <w:spacing w:line="360" w:lineRule="auto"/>
              <w:ind w:firstLine="420" w:firstLineChars="200"/>
              <w:rPr>
                <w:color w:val="auto"/>
                <w:kern w:val="24"/>
                <w:szCs w:val="21"/>
              </w:rPr>
            </w:pPr>
            <w:r>
              <w:rPr>
                <w:rFonts w:ascii="Times New Roman" w:hAnsi="Times New Roman" w:eastAsia="宋体" w:cs="Times New Roman"/>
                <w:color w:val="auto"/>
                <w:kern w:val="24"/>
                <w:sz w:val="21"/>
                <w:szCs w:val="21"/>
                <w:lang w:val="en-US" w:eastAsia="zh-CN" w:bidi="ar-SA"/>
              </w:rPr>
              <w:t>（</w:t>
            </w:r>
            <w:r>
              <w:rPr>
                <w:rFonts w:hint="eastAsia" w:ascii="Times New Roman" w:hAnsi="Times New Roman" w:eastAsia="宋体" w:cs="Times New Roman"/>
                <w:color w:val="auto"/>
                <w:kern w:val="24"/>
                <w:sz w:val="21"/>
                <w:szCs w:val="21"/>
                <w:lang w:val="en-US" w:eastAsia="zh-CN" w:bidi="ar-SA"/>
              </w:rPr>
              <w:t>2</w:t>
            </w:r>
            <w:r>
              <w:rPr>
                <w:rFonts w:ascii="Times New Roman" w:hAnsi="Times New Roman" w:eastAsia="宋体" w:cs="Times New Roman"/>
                <w:color w:val="auto"/>
                <w:kern w:val="24"/>
                <w:sz w:val="21"/>
                <w:szCs w:val="21"/>
                <w:lang w:val="en-US" w:eastAsia="zh-CN" w:bidi="ar-SA"/>
              </w:rPr>
              <w:t>）</w:t>
            </w:r>
            <w:r>
              <w:rPr>
                <w:rFonts w:hint="eastAsia"/>
                <w:color w:val="auto"/>
                <w:kern w:val="24"/>
                <w:szCs w:val="21"/>
                <w:lang w:val="en-US" w:eastAsia="zh-CN"/>
              </w:rPr>
              <w:t>废包装材料：</w:t>
            </w:r>
            <w:r>
              <w:rPr>
                <w:rFonts w:hint="default" w:ascii="Times New Roman" w:hAnsi="Times New Roman" w:eastAsia="宋体" w:cs="Times New Roman"/>
                <w:b w:val="0"/>
                <w:bCs w:val="0"/>
                <w:color w:val="auto"/>
                <w:kern w:val="24"/>
                <w:sz w:val="21"/>
                <w:szCs w:val="21"/>
                <w:lang w:val="en-US" w:eastAsia="zh-CN"/>
              </w:rPr>
              <w:t>项目生产过程中会产生一些废包装</w:t>
            </w:r>
            <w:r>
              <w:rPr>
                <w:rFonts w:hint="eastAsia" w:ascii="Times New Roman" w:hAnsi="Times New Roman" w:eastAsia="宋体" w:cs="Times New Roman"/>
                <w:b w:val="0"/>
                <w:bCs w:val="0"/>
                <w:color w:val="auto"/>
                <w:kern w:val="24"/>
                <w:sz w:val="21"/>
                <w:szCs w:val="21"/>
                <w:lang w:val="en-US" w:eastAsia="zh-CN"/>
              </w:rPr>
              <w:t>材料</w:t>
            </w:r>
            <w:r>
              <w:rPr>
                <w:rFonts w:hint="default" w:ascii="Times New Roman" w:hAnsi="Times New Roman" w:eastAsia="宋体" w:cs="Times New Roman"/>
                <w:b w:val="0"/>
                <w:bCs w:val="0"/>
                <w:color w:val="auto"/>
                <w:kern w:val="24"/>
                <w:sz w:val="21"/>
                <w:szCs w:val="21"/>
                <w:lang w:val="en-US" w:eastAsia="zh-CN"/>
              </w:rPr>
              <w:t>约为</w:t>
            </w:r>
            <w:r>
              <w:rPr>
                <w:rFonts w:hint="eastAsia" w:ascii="Times New Roman" w:hAnsi="Times New Roman" w:eastAsia="宋体" w:cs="Times New Roman"/>
                <w:b w:val="0"/>
                <w:bCs w:val="0"/>
                <w:color w:val="auto"/>
                <w:kern w:val="24"/>
                <w:sz w:val="21"/>
                <w:szCs w:val="21"/>
                <w:lang w:val="en-US" w:eastAsia="zh-CN"/>
              </w:rPr>
              <w:t>1</w:t>
            </w:r>
            <w:r>
              <w:rPr>
                <w:rFonts w:hint="default" w:ascii="Times New Roman" w:hAnsi="Times New Roman" w:eastAsia="宋体" w:cs="Times New Roman"/>
                <w:b w:val="0"/>
                <w:bCs w:val="0"/>
                <w:color w:val="auto"/>
                <w:kern w:val="24"/>
                <w:sz w:val="21"/>
                <w:szCs w:val="21"/>
              </w:rPr>
              <w:t>t/a</w:t>
            </w:r>
            <w:r>
              <w:rPr>
                <w:rFonts w:hint="default" w:ascii="Times New Roman" w:hAnsi="Times New Roman" w:eastAsia="宋体" w:cs="Times New Roman"/>
                <w:b w:val="0"/>
                <w:bCs w:val="0"/>
                <w:color w:val="auto"/>
                <w:kern w:val="24"/>
                <w:sz w:val="21"/>
                <w:szCs w:val="21"/>
                <w:lang w:eastAsia="zh-CN"/>
              </w:rPr>
              <w:t>，</w:t>
            </w:r>
            <w:r>
              <w:rPr>
                <w:rFonts w:hint="default" w:ascii="Times New Roman" w:hAnsi="Times New Roman" w:eastAsia="宋体" w:cs="Times New Roman"/>
                <w:b w:val="0"/>
                <w:bCs w:val="0"/>
                <w:color w:val="auto"/>
                <w:kern w:val="24"/>
                <w:sz w:val="21"/>
                <w:szCs w:val="21"/>
                <w:lang w:val="en-US" w:eastAsia="zh-CN"/>
              </w:rPr>
              <w:t>收集后外售</w:t>
            </w:r>
            <w:r>
              <w:rPr>
                <w:rFonts w:hint="default" w:ascii="Times New Roman" w:hAnsi="Times New Roman" w:eastAsia="宋体" w:cs="Times New Roman"/>
                <w:b w:val="0"/>
                <w:bCs w:val="0"/>
                <w:color w:val="auto"/>
                <w:kern w:val="24"/>
                <w:sz w:val="21"/>
                <w:szCs w:val="21"/>
              </w:rPr>
              <w:t>。</w:t>
            </w:r>
          </w:p>
          <w:p w14:paraId="736A1EF8">
            <w:pPr>
              <w:spacing w:line="360" w:lineRule="auto"/>
              <w:ind w:firstLine="420" w:firstLineChars="200"/>
              <w:rPr>
                <w:rFonts w:hint="default" w:eastAsia="宋体"/>
                <w:color w:val="auto"/>
                <w:kern w:val="24"/>
                <w:szCs w:val="21"/>
                <w:lang w:val="en-US" w:eastAsia="zh-CN"/>
              </w:rPr>
            </w:pPr>
            <w:r>
              <w:rPr>
                <w:rFonts w:ascii="Times New Roman" w:hAnsi="Times New Roman" w:eastAsia="宋体" w:cs="Times New Roman"/>
                <w:color w:val="auto"/>
                <w:kern w:val="24"/>
                <w:sz w:val="21"/>
                <w:szCs w:val="21"/>
                <w:lang w:val="en-US" w:eastAsia="zh-CN" w:bidi="ar-SA"/>
              </w:rPr>
              <w:t>（</w:t>
            </w:r>
            <w:r>
              <w:rPr>
                <w:rFonts w:hint="eastAsia" w:cs="Times New Roman"/>
                <w:color w:val="auto"/>
                <w:kern w:val="24"/>
                <w:sz w:val="21"/>
                <w:szCs w:val="21"/>
                <w:lang w:val="en-US" w:eastAsia="zh-CN" w:bidi="ar-SA"/>
              </w:rPr>
              <w:t>3</w:t>
            </w:r>
            <w:r>
              <w:rPr>
                <w:rFonts w:ascii="Times New Roman" w:hAnsi="Times New Roman" w:eastAsia="宋体" w:cs="Times New Roman"/>
                <w:color w:val="auto"/>
                <w:kern w:val="24"/>
                <w:sz w:val="21"/>
                <w:szCs w:val="21"/>
                <w:lang w:val="en-US" w:eastAsia="zh-CN" w:bidi="ar-SA"/>
              </w:rPr>
              <w:t>）</w:t>
            </w:r>
            <w:r>
              <w:rPr>
                <w:rFonts w:hint="eastAsia"/>
                <w:color w:val="auto"/>
                <w:szCs w:val="21"/>
                <w:lang w:val="en-US" w:eastAsia="zh-CN"/>
              </w:rPr>
              <w:t>不合格品：项目检验过程中会产生不合格品，根据企业经验及同类企业类比，不合格品产生量约10t/a，收集后交由相关单位处理。</w:t>
            </w:r>
          </w:p>
          <w:p w14:paraId="493310F8">
            <w:pPr>
              <w:numPr>
                <w:ilvl w:val="0"/>
                <w:numId w:val="0"/>
              </w:numPr>
              <w:adjustRightInd w:val="0"/>
              <w:spacing w:line="360" w:lineRule="auto"/>
              <w:ind w:firstLine="420" w:firstLineChars="200"/>
              <w:textAlignment w:val="baseline"/>
              <w:rPr>
                <w:rFonts w:hint="eastAsia" w:eastAsia="宋体"/>
                <w:color w:val="auto"/>
                <w:kern w:val="24"/>
                <w:szCs w:val="21"/>
                <w:lang w:eastAsia="zh-CN"/>
              </w:rPr>
            </w:pPr>
            <w:r>
              <w:rPr>
                <w:rFonts w:ascii="Times New Roman" w:hAnsi="Times New Roman" w:eastAsia="宋体" w:cs="Times New Roman"/>
                <w:color w:val="auto"/>
                <w:kern w:val="24"/>
                <w:sz w:val="21"/>
                <w:szCs w:val="21"/>
                <w:lang w:val="en-US" w:eastAsia="zh-CN" w:bidi="ar-SA"/>
              </w:rPr>
              <w:t>（</w:t>
            </w:r>
            <w:r>
              <w:rPr>
                <w:rFonts w:hint="eastAsia" w:cs="Times New Roman"/>
                <w:color w:val="auto"/>
                <w:kern w:val="24"/>
                <w:sz w:val="21"/>
                <w:szCs w:val="21"/>
                <w:lang w:val="en-US" w:eastAsia="zh-CN" w:bidi="ar-SA"/>
              </w:rPr>
              <w:t>4</w:t>
            </w:r>
            <w:r>
              <w:rPr>
                <w:rFonts w:ascii="Times New Roman" w:hAnsi="Times New Roman" w:eastAsia="宋体" w:cs="Times New Roman"/>
                <w:color w:val="auto"/>
                <w:kern w:val="24"/>
                <w:sz w:val="21"/>
                <w:szCs w:val="21"/>
                <w:lang w:val="en-US" w:eastAsia="zh-CN" w:bidi="ar-SA"/>
              </w:rPr>
              <w:t>）</w:t>
            </w:r>
            <w:r>
              <w:rPr>
                <w:rFonts w:hint="eastAsia"/>
                <w:color w:val="auto"/>
                <w:szCs w:val="21"/>
                <w:lang w:val="en-US" w:eastAsia="zh-CN"/>
              </w:rPr>
              <w:t>废油墨桶：</w:t>
            </w:r>
            <w:r>
              <w:rPr>
                <w:rFonts w:hint="eastAsia" w:ascii="Times New Roman" w:hAnsi="Times New Roman" w:eastAsia="宋体" w:cs="Times New Roman"/>
                <w:color w:val="auto"/>
                <w:lang w:val="en-US" w:eastAsia="zh-CN"/>
              </w:rPr>
              <w:t>项目油墨使用后会留下空桶，产生量约0.08t/a，委托有资质单位处理。</w:t>
            </w:r>
          </w:p>
          <w:p w14:paraId="5AEFD107">
            <w:pPr>
              <w:adjustRightInd w:val="0"/>
              <w:spacing w:line="360" w:lineRule="auto"/>
              <w:ind w:firstLine="420" w:firstLineChars="200"/>
              <w:textAlignment w:val="baseline"/>
              <w:rPr>
                <w:rFonts w:hint="default"/>
                <w:color w:val="auto"/>
                <w:lang w:val="en-US" w:eastAsia="zh-CN"/>
              </w:rPr>
            </w:pPr>
            <w:r>
              <w:rPr>
                <w:rFonts w:ascii="Times New Roman" w:hAnsi="Times New Roman" w:eastAsia="宋体" w:cs="Times New Roman"/>
                <w:color w:val="auto"/>
                <w:kern w:val="24"/>
                <w:sz w:val="21"/>
                <w:szCs w:val="21"/>
                <w:lang w:val="en-US" w:eastAsia="zh-CN" w:bidi="ar-SA"/>
              </w:rPr>
              <w:t>（</w:t>
            </w:r>
            <w:r>
              <w:rPr>
                <w:rFonts w:hint="eastAsia" w:cs="Times New Roman"/>
                <w:color w:val="auto"/>
                <w:kern w:val="24"/>
                <w:sz w:val="21"/>
                <w:szCs w:val="21"/>
                <w:lang w:val="en-US" w:eastAsia="zh-CN" w:bidi="ar-SA"/>
              </w:rPr>
              <w:t>5</w:t>
            </w:r>
            <w:r>
              <w:rPr>
                <w:rFonts w:ascii="Times New Roman" w:hAnsi="Times New Roman" w:eastAsia="宋体" w:cs="Times New Roman"/>
                <w:color w:val="auto"/>
                <w:kern w:val="24"/>
                <w:sz w:val="21"/>
                <w:szCs w:val="21"/>
                <w:lang w:val="en-US" w:eastAsia="zh-CN" w:bidi="ar-SA"/>
              </w:rPr>
              <w:t>）</w:t>
            </w:r>
            <w:r>
              <w:rPr>
                <w:rFonts w:hint="eastAsia"/>
                <w:color w:val="auto"/>
                <w:szCs w:val="21"/>
                <w:lang w:val="en-US" w:eastAsia="zh-CN"/>
              </w:rPr>
              <w:t>废抹布、手套：</w:t>
            </w:r>
            <w:r>
              <w:rPr>
                <w:rFonts w:hint="eastAsia" w:ascii="Times New Roman" w:hAnsi="Times New Roman"/>
                <w:color w:val="auto"/>
                <w:lang w:val="en-US" w:eastAsia="zh-CN"/>
              </w:rPr>
              <w:t>直印机、移印机使用后会进行擦拭，此过程会产生废抹布、手套，产生量约为0.002t/a，委托有资质单位处置。</w:t>
            </w:r>
          </w:p>
          <w:p w14:paraId="2A442122">
            <w:pPr>
              <w:numPr>
                <w:ilvl w:val="0"/>
                <w:numId w:val="0"/>
              </w:numPr>
              <w:adjustRightInd w:val="0"/>
              <w:spacing w:line="360" w:lineRule="auto"/>
              <w:ind w:firstLine="420" w:firstLineChars="200"/>
              <w:textAlignment w:val="baseline"/>
              <w:rPr>
                <w:rFonts w:hint="eastAsia" w:cs="Times New Roman"/>
                <w:color w:val="auto"/>
                <w:kern w:val="24"/>
                <w:sz w:val="21"/>
                <w:szCs w:val="21"/>
                <w:lang w:val="en-US" w:eastAsia="zh-CN" w:bidi="ar-SA"/>
              </w:rPr>
            </w:pPr>
            <w:r>
              <w:rPr>
                <w:rFonts w:hint="eastAsia"/>
                <w:color w:val="auto"/>
                <w:szCs w:val="21"/>
                <w:lang w:val="en-US" w:eastAsia="zh-CN"/>
              </w:rPr>
              <w:t>（6）</w:t>
            </w:r>
            <w:r>
              <w:rPr>
                <w:rFonts w:hint="eastAsia" w:cs="Times New Roman"/>
                <w:color w:val="auto"/>
                <w:kern w:val="24"/>
                <w:sz w:val="21"/>
                <w:szCs w:val="21"/>
                <w:lang w:val="en-US" w:eastAsia="zh-CN" w:bidi="ar-SA"/>
              </w:rPr>
              <w:t>空酸桶：项目生产过程中会产生空酸桶，由厂家送货时回收，约0.1t/a。</w:t>
            </w:r>
          </w:p>
          <w:p w14:paraId="58076D95">
            <w:pPr>
              <w:numPr>
                <w:ilvl w:val="0"/>
                <w:numId w:val="0"/>
              </w:numPr>
              <w:adjustRightInd w:val="0"/>
              <w:spacing w:line="360" w:lineRule="auto"/>
              <w:ind w:firstLine="420" w:firstLineChars="200"/>
              <w:textAlignment w:val="baseline"/>
              <w:rPr>
                <w:rFonts w:hint="default" w:cs="Times New Roman"/>
                <w:color w:val="auto"/>
                <w:kern w:val="24"/>
                <w:sz w:val="21"/>
                <w:szCs w:val="21"/>
                <w:lang w:val="en-US" w:eastAsia="zh-CN" w:bidi="ar-SA"/>
              </w:rPr>
            </w:pPr>
            <w:r>
              <w:rPr>
                <w:rFonts w:hint="eastAsia" w:cs="Times New Roman"/>
                <w:color w:val="auto"/>
                <w:kern w:val="24"/>
                <w:sz w:val="21"/>
                <w:szCs w:val="21"/>
                <w:lang w:val="en-US" w:eastAsia="zh-CN" w:bidi="ar-SA"/>
              </w:rPr>
              <w:t>（7）含氟污泥：本项目污水处理会产生含氟污泥。主要为投加石灰与水中氟离子反应生成难溶的氟化钙（CaF2）沉淀，产生量约为5t/a。</w:t>
            </w:r>
            <w:r>
              <w:rPr>
                <w:rFonts w:hint="eastAsia" w:ascii="Times New Roman" w:hAnsi="Times New Roman" w:cs="Times New Roman"/>
                <w:color w:val="auto"/>
                <w:szCs w:val="21"/>
                <w:lang w:val="en-US" w:eastAsia="zh-CN"/>
              </w:rPr>
              <w:t>收集后</w:t>
            </w:r>
            <w:r>
              <w:rPr>
                <w:rFonts w:hint="eastAsia"/>
                <w:color w:val="auto"/>
                <w:szCs w:val="21"/>
                <w:lang w:val="en-US" w:eastAsia="zh-CN"/>
              </w:rPr>
              <w:t>交由相关单位处理</w:t>
            </w:r>
            <w:r>
              <w:rPr>
                <w:rFonts w:hint="eastAsia" w:ascii="Times New Roman" w:hAnsi="Times New Roman" w:cs="Times New Roman"/>
                <w:color w:val="auto"/>
                <w:szCs w:val="21"/>
                <w:lang w:val="en-US" w:eastAsia="zh-CN"/>
              </w:rPr>
              <w:t>。</w:t>
            </w:r>
          </w:p>
          <w:p w14:paraId="05B1D098">
            <w:pPr>
              <w:numPr>
                <w:ilvl w:val="0"/>
                <w:numId w:val="0"/>
              </w:numPr>
              <w:adjustRightInd w:val="0"/>
              <w:spacing w:line="360" w:lineRule="auto"/>
              <w:ind w:firstLine="420" w:firstLineChars="200"/>
              <w:textAlignment w:val="baseline"/>
              <w:rPr>
                <w:rFonts w:hint="eastAsia" w:ascii="Times New Roman" w:hAnsi="Times New Roman" w:cs="Times New Roman"/>
                <w:color w:val="auto"/>
                <w:szCs w:val="21"/>
                <w:lang w:val="en-US" w:eastAsia="zh-CN"/>
              </w:rPr>
            </w:pPr>
            <w:r>
              <w:rPr>
                <w:rFonts w:hint="eastAsia" w:cs="Times New Roman"/>
                <w:color w:val="auto"/>
                <w:kern w:val="24"/>
                <w:sz w:val="21"/>
                <w:szCs w:val="21"/>
                <w:lang w:val="en-US" w:eastAsia="zh-CN" w:bidi="ar-SA"/>
              </w:rPr>
              <w:t>（8）</w:t>
            </w:r>
            <w:r>
              <w:rPr>
                <w:rFonts w:hint="default" w:ascii="Times New Roman" w:hAnsi="Times New Roman" w:cs="Times New Roman"/>
                <w:color w:val="auto"/>
                <w:szCs w:val="21"/>
                <w:lang w:val="en-US" w:eastAsia="zh-CN"/>
              </w:rPr>
              <w:t>废石英砂</w:t>
            </w:r>
            <w:r>
              <w:rPr>
                <w:rFonts w:hint="eastAsia" w:cs="Times New Roman"/>
                <w:color w:val="auto"/>
                <w:kern w:val="24"/>
                <w:sz w:val="21"/>
                <w:szCs w:val="21"/>
                <w:lang w:val="en-US" w:eastAsia="zh-CN" w:bidi="ar-SA"/>
              </w:rPr>
              <w:t>：</w:t>
            </w:r>
            <w:r>
              <w:rPr>
                <w:rFonts w:hint="default" w:ascii="Times New Roman" w:hAnsi="Times New Roman" w:cs="Times New Roman"/>
                <w:color w:val="auto"/>
                <w:szCs w:val="21"/>
                <w:lang w:val="en-US" w:eastAsia="zh-CN"/>
              </w:rPr>
              <w:t>本项目污水处理高效过滤工艺会产生废石英砂，根据企业提供资料</w:t>
            </w:r>
            <w:r>
              <w:rPr>
                <w:rFonts w:hint="eastAsia" w:cs="Times New Roman"/>
                <w:color w:val="auto"/>
                <w:szCs w:val="21"/>
                <w:lang w:val="en-US" w:eastAsia="zh-CN"/>
              </w:rPr>
              <w:t>，废石英砂更换周期为3年/次</w:t>
            </w:r>
            <w:r>
              <w:rPr>
                <w:rFonts w:hint="default" w:ascii="Times New Roman" w:hAnsi="Times New Roman" w:cs="Times New Roman"/>
                <w:color w:val="auto"/>
                <w:szCs w:val="21"/>
                <w:lang w:val="en-US" w:eastAsia="zh-CN"/>
              </w:rPr>
              <w:t>，废石英砂</w:t>
            </w:r>
            <w:r>
              <w:rPr>
                <w:rFonts w:hint="eastAsia" w:ascii="Times New Roman" w:hAnsi="Times New Roman" w:cs="Times New Roman"/>
                <w:color w:val="auto"/>
                <w:szCs w:val="21"/>
                <w:lang w:val="en-US" w:eastAsia="zh-CN"/>
              </w:rPr>
              <w:t>（包含截留污染物的量）</w:t>
            </w:r>
            <w:r>
              <w:rPr>
                <w:rFonts w:hint="default" w:ascii="Times New Roman" w:hAnsi="Times New Roman" w:cs="Times New Roman"/>
                <w:color w:val="auto"/>
                <w:szCs w:val="21"/>
                <w:lang w:val="en-US" w:eastAsia="zh-CN"/>
              </w:rPr>
              <w:t>产生量约为</w:t>
            </w:r>
            <w:r>
              <w:rPr>
                <w:rFonts w:hint="eastAsia" w:cs="Times New Roman"/>
                <w:color w:val="auto"/>
                <w:szCs w:val="21"/>
                <w:lang w:val="en-US" w:eastAsia="zh-CN"/>
              </w:rPr>
              <w:t>0.5</w:t>
            </w:r>
            <w:r>
              <w:rPr>
                <w:rFonts w:hint="default" w:ascii="Times New Roman" w:hAnsi="Times New Roman" w:cs="Times New Roman"/>
                <w:color w:val="auto"/>
                <w:szCs w:val="21"/>
                <w:lang w:val="en-US" w:eastAsia="zh-CN"/>
              </w:rPr>
              <w:t>t/</w:t>
            </w:r>
            <w:r>
              <w:rPr>
                <w:rFonts w:hint="eastAsia" w:cs="Times New Roman"/>
                <w:color w:val="auto"/>
                <w:szCs w:val="21"/>
                <w:lang w:val="en-US" w:eastAsia="zh-CN"/>
              </w:rPr>
              <w:t>3</w:t>
            </w:r>
            <w:r>
              <w:rPr>
                <w:rFonts w:hint="default" w:ascii="Times New Roman" w:hAnsi="Times New Roman" w:cs="Times New Roman"/>
                <w:color w:val="auto"/>
                <w:szCs w:val="21"/>
                <w:lang w:val="en-US" w:eastAsia="zh-CN"/>
              </w:rPr>
              <w:t>a</w:t>
            </w:r>
            <w:r>
              <w:rPr>
                <w:rFonts w:hint="eastAsia"/>
                <w:color w:val="auto"/>
                <w:szCs w:val="21"/>
              </w:rPr>
              <w:t>，</w:t>
            </w:r>
            <w:r>
              <w:rPr>
                <w:rFonts w:hint="eastAsia" w:ascii="Times New Roman" w:hAnsi="Times New Roman" w:cs="Times New Roman"/>
                <w:color w:val="auto"/>
                <w:szCs w:val="21"/>
                <w:lang w:val="en-US" w:eastAsia="zh-CN"/>
              </w:rPr>
              <w:t>收集后</w:t>
            </w:r>
            <w:r>
              <w:rPr>
                <w:rFonts w:hint="default" w:ascii="Times New Roman" w:hAnsi="Times New Roman" w:cs="Times New Roman"/>
                <w:color w:val="auto"/>
                <w:kern w:val="0"/>
                <w:sz w:val="21"/>
                <w:szCs w:val="21"/>
                <w:highlight w:val="none"/>
                <w:lang w:val="en-US" w:eastAsia="zh-CN"/>
              </w:rPr>
              <w:t>委托有资质单位处置</w:t>
            </w:r>
            <w:r>
              <w:rPr>
                <w:rFonts w:hint="eastAsia" w:ascii="Times New Roman" w:hAnsi="Times New Roman" w:cs="Times New Roman"/>
                <w:color w:val="auto"/>
                <w:szCs w:val="21"/>
                <w:lang w:val="en-US" w:eastAsia="zh-CN"/>
              </w:rPr>
              <w:t>。</w:t>
            </w:r>
          </w:p>
          <w:p w14:paraId="27175A1E">
            <w:pPr>
              <w:numPr>
                <w:ilvl w:val="0"/>
                <w:numId w:val="0"/>
              </w:numPr>
              <w:adjustRightInd w:val="0"/>
              <w:spacing w:line="360" w:lineRule="auto"/>
              <w:ind w:firstLine="420" w:firstLineChars="200"/>
              <w:textAlignment w:val="baseline"/>
              <w:rPr>
                <w:rFonts w:hint="eastAsia" w:ascii="Times New Roman" w:hAnsi="Times New Roman" w:cs="Times New Roman"/>
                <w:color w:val="auto"/>
                <w:szCs w:val="21"/>
                <w:lang w:val="en-US" w:eastAsia="zh-CN"/>
              </w:rPr>
            </w:pPr>
            <w:r>
              <w:rPr>
                <w:rFonts w:hint="eastAsia" w:cs="Times New Roman"/>
                <w:color w:val="auto"/>
                <w:szCs w:val="21"/>
                <w:lang w:val="en-US" w:eastAsia="zh-CN"/>
              </w:rPr>
              <w:t>（9）废活性炭（废水处理）：</w:t>
            </w:r>
            <w:r>
              <w:rPr>
                <w:rFonts w:hint="default" w:ascii="Times New Roman" w:hAnsi="Times New Roman" w:cs="Times New Roman"/>
                <w:color w:val="auto"/>
                <w:szCs w:val="21"/>
                <w:lang w:val="en-US" w:eastAsia="zh-CN"/>
              </w:rPr>
              <w:t>本项目污水处理高效过滤工艺会产生废活性炭，根据企业提供资料，</w:t>
            </w:r>
            <w:r>
              <w:rPr>
                <w:rFonts w:hint="eastAsia" w:cs="Times New Roman"/>
                <w:color w:val="auto"/>
                <w:szCs w:val="21"/>
                <w:lang w:val="en-US" w:eastAsia="zh-CN"/>
              </w:rPr>
              <w:t>废活性炭更换周期为1.5年/次，</w:t>
            </w:r>
            <w:r>
              <w:rPr>
                <w:rFonts w:hint="default" w:ascii="Times New Roman" w:hAnsi="Times New Roman" w:cs="Times New Roman"/>
                <w:color w:val="auto"/>
                <w:szCs w:val="21"/>
                <w:lang w:val="en-US" w:eastAsia="zh-CN"/>
              </w:rPr>
              <w:t>废活性炭</w:t>
            </w:r>
            <w:r>
              <w:rPr>
                <w:rFonts w:hint="eastAsia" w:ascii="Times New Roman" w:hAnsi="Times New Roman" w:cs="Times New Roman"/>
                <w:color w:val="auto"/>
                <w:szCs w:val="21"/>
                <w:lang w:val="en-US" w:eastAsia="zh-CN"/>
              </w:rPr>
              <w:t>（包含截留污染物的量）</w:t>
            </w:r>
            <w:r>
              <w:rPr>
                <w:rFonts w:hint="default" w:ascii="Times New Roman" w:hAnsi="Times New Roman" w:cs="Times New Roman"/>
                <w:color w:val="auto"/>
                <w:szCs w:val="21"/>
                <w:lang w:val="en-US" w:eastAsia="zh-CN"/>
              </w:rPr>
              <w:t>产生量约为</w:t>
            </w:r>
            <w:r>
              <w:rPr>
                <w:rFonts w:hint="eastAsia" w:cs="Times New Roman"/>
                <w:color w:val="auto"/>
                <w:szCs w:val="21"/>
                <w:lang w:val="en-US" w:eastAsia="zh-CN"/>
              </w:rPr>
              <w:t>0.25</w:t>
            </w:r>
            <w:r>
              <w:rPr>
                <w:rFonts w:hint="default" w:ascii="Times New Roman" w:hAnsi="Times New Roman" w:cs="Times New Roman"/>
                <w:color w:val="auto"/>
                <w:szCs w:val="21"/>
                <w:lang w:val="en-US" w:eastAsia="zh-CN"/>
              </w:rPr>
              <w:t>t/</w:t>
            </w:r>
            <w:r>
              <w:rPr>
                <w:rFonts w:hint="eastAsia" w:cs="Times New Roman"/>
                <w:color w:val="auto"/>
                <w:szCs w:val="21"/>
                <w:lang w:val="en-US" w:eastAsia="zh-CN"/>
              </w:rPr>
              <w:t>1.5</w:t>
            </w:r>
            <w:r>
              <w:rPr>
                <w:rFonts w:hint="default" w:ascii="Times New Roman" w:hAnsi="Times New Roman" w:cs="Times New Roman"/>
                <w:color w:val="auto"/>
                <w:szCs w:val="21"/>
                <w:lang w:val="en-US" w:eastAsia="zh-CN"/>
              </w:rPr>
              <w:t>a</w:t>
            </w:r>
            <w:r>
              <w:rPr>
                <w:rFonts w:hint="eastAsia" w:cs="Times New Roman"/>
                <w:color w:val="auto"/>
                <w:szCs w:val="21"/>
                <w:lang w:val="en-US" w:eastAsia="zh-CN"/>
              </w:rPr>
              <w:t>，</w:t>
            </w:r>
            <w:r>
              <w:rPr>
                <w:rFonts w:hint="eastAsia" w:ascii="Times New Roman" w:hAnsi="Times New Roman" w:cs="Times New Roman"/>
                <w:color w:val="auto"/>
                <w:szCs w:val="21"/>
                <w:lang w:val="en-US" w:eastAsia="zh-CN"/>
              </w:rPr>
              <w:t>收集后</w:t>
            </w:r>
            <w:r>
              <w:rPr>
                <w:rFonts w:hint="default" w:ascii="Times New Roman" w:hAnsi="Times New Roman" w:cs="Times New Roman"/>
                <w:color w:val="auto"/>
                <w:kern w:val="0"/>
                <w:sz w:val="21"/>
                <w:szCs w:val="21"/>
                <w:highlight w:val="none"/>
                <w:lang w:val="en-US" w:eastAsia="zh-CN"/>
              </w:rPr>
              <w:t>委托有资质单位处置</w:t>
            </w:r>
            <w:r>
              <w:rPr>
                <w:rFonts w:hint="eastAsia" w:ascii="Times New Roman" w:hAnsi="Times New Roman" w:cs="Times New Roman"/>
                <w:color w:val="auto"/>
                <w:szCs w:val="21"/>
                <w:lang w:val="en-US" w:eastAsia="zh-CN"/>
              </w:rPr>
              <w:t>。</w:t>
            </w:r>
          </w:p>
          <w:p w14:paraId="2606E739">
            <w:pPr>
              <w:pageBreakBefore w:val="0"/>
              <w:kinsoku/>
              <w:wordWrap/>
              <w:overflowPunct/>
              <w:topLinePunct w:val="0"/>
              <w:bidi w:val="0"/>
              <w:snapToGrid w:val="0"/>
              <w:spacing w:line="360" w:lineRule="auto"/>
              <w:ind w:firstLine="420" w:firstLineChars="200"/>
              <w:rPr>
                <w:color w:val="auto"/>
                <w:szCs w:val="21"/>
              </w:rPr>
            </w:pPr>
            <w:r>
              <w:rPr>
                <w:rFonts w:hint="eastAsia" w:cs="Times New Roman"/>
                <w:color w:val="auto"/>
                <w:sz w:val="21"/>
                <w:szCs w:val="21"/>
                <w:lang w:val="en-US" w:eastAsia="zh-CN"/>
              </w:rPr>
              <w:t>（10）废活性炭（废气处理）：本项目4#厂房印刷废气采用二级活性炭</w:t>
            </w:r>
            <w:r>
              <w:rPr>
                <w:rFonts w:hint="eastAsia"/>
                <w:color w:val="auto"/>
                <w:szCs w:val="21"/>
              </w:rPr>
              <w:t>吸附装置进行处理，活性炭定期更换，更换周期计算公式如下：</w:t>
            </w:r>
          </w:p>
          <w:p w14:paraId="00CA80C3">
            <w:pPr>
              <w:pageBreakBefore w:val="0"/>
              <w:kinsoku/>
              <w:wordWrap/>
              <w:overflowPunct/>
              <w:topLinePunct w:val="0"/>
              <w:bidi w:val="0"/>
              <w:snapToGrid w:val="0"/>
              <w:spacing w:line="360" w:lineRule="auto"/>
              <w:ind w:firstLine="420" w:firstLineChars="200"/>
              <w:jc w:val="center"/>
              <w:rPr>
                <w:color w:val="auto"/>
                <w:szCs w:val="21"/>
              </w:rPr>
            </w:pPr>
            <w:r>
              <w:rPr>
                <w:rFonts w:hint="eastAsia"/>
                <w:color w:val="auto"/>
                <w:szCs w:val="21"/>
              </w:rPr>
              <w:object>
                <v:shape id="_x0000_i1029" o:spt="75" type="#_x0000_t75" style="height:18pt;width:122.25pt;" o:ole="t" filled="f" o:preferrelative="t" stroked="f" coordsize="21600,21600">
                  <v:path/>
                  <v:fill on="f" focussize="0,0"/>
                  <v:stroke on="f" joinstyle="miter"/>
                  <v:imagedata r:id="rId28" o:title=""/>
                  <o:lock v:ext="edit" aspectratio="t"/>
                  <w10:wrap type="none"/>
                  <w10:anchorlock/>
                </v:shape>
                <o:OLEObject Type="Embed" ProgID="Equation.3" ShapeID="_x0000_i1029" DrawAspect="Content" ObjectID="_1468075729" r:id="rId27">
                  <o:LockedField>false</o:LockedField>
                </o:OLEObject>
              </w:object>
            </w:r>
          </w:p>
          <w:p w14:paraId="3A0F3C81">
            <w:pPr>
              <w:pageBreakBefore w:val="0"/>
              <w:kinsoku/>
              <w:wordWrap/>
              <w:overflowPunct/>
              <w:topLinePunct w:val="0"/>
              <w:bidi w:val="0"/>
              <w:snapToGrid w:val="0"/>
              <w:spacing w:line="360" w:lineRule="auto"/>
              <w:ind w:firstLine="420" w:firstLineChars="200"/>
              <w:rPr>
                <w:color w:val="auto"/>
                <w:szCs w:val="21"/>
              </w:rPr>
            </w:pPr>
            <w:r>
              <w:rPr>
                <w:rFonts w:hint="eastAsia"/>
                <w:color w:val="auto"/>
                <w:szCs w:val="21"/>
              </w:rPr>
              <w:t>式中：</w:t>
            </w:r>
          </w:p>
          <w:p w14:paraId="439FB9D7">
            <w:pPr>
              <w:pageBreakBefore w:val="0"/>
              <w:kinsoku/>
              <w:wordWrap/>
              <w:overflowPunct/>
              <w:topLinePunct w:val="0"/>
              <w:bidi w:val="0"/>
              <w:snapToGrid w:val="0"/>
              <w:spacing w:line="360" w:lineRule="auto"/>
              <w:ind w:firstLine="420" w:firstLineChars="200"/>
              <w:rPr>
                <w:color w:val="auto"/>
                <w:szCs w:val="21"/>
              </w:rPr>
            </w:pPr>
            <w:r>
              <w:rPr>
                <w:rFonts w:hint="eastAsia"/>
                <w:color w:val="auto"/>
                <w:szCs w:val="21"/>
              </w:rPr>
              <w:t>T—更换周期，天；</w:t>
            </w:r>
          </w:p>
          <w:p w14:paraId="7C734E6B">
            <w:pPr>
              <w:pageBreakBefore w:val="0"/>
              <w:kinsoku/>
              <w:wordWrap/>
              <w:overflowPunct/>
              <w:topLinePunct w:val="0"/>
              <w:bidi w:val="0"/>
              <w:snapToGrid w:val="0"/>
              <w:spacing w:line="360" w:lineRule="auto"/>
              <w:ind w:firstLine="420" w:firstLineChars="200"/>
              <w:rPr>
                <w:color w:val="auto"/>
                <w:szCs w:val="21"/>
              </w:rPr>
            </w:pPr>
            <w:r>
              <w:rPr>
                <w:rFonts w:hint="eastAsia"/>
                <w:color w:val="auto"/>
                <w:szCs w:val="21"/>
              </w:rPr>
              <w:t>m—活性炭的用量，kg；（本项目活性炭的用量m为</w:t>
            </w:r>
            <w:r>
              <w:rPr>
                <w:rFonts w:hint="eastAsia"/>
                <w:color w:val="auto"/>
                <w:szCs w:val="21"/>
                <w:lang w:val="en-US" w:eastAsia="zh-CN"/>
              </w:rPr>
              <w:t>5</w:t>
            </w:r>
            <w:r>
              <w:rPr>
                <w:rFonts w:hint="eastAsia"/>
                <w:color w:val="auto"/>
                <w:szCs w:val="21"/>
              </w:rPr>
              <w:t>0）</w:t>
            </w:r>
          </w:p>
          <w:p w14:paraId="1D85586D">
            <w:pPr>
              <w:pageBreakBefore w:val="0"/>
              <w:kinsoku/>
              <w:wordWrap/>
              <w:overflowPunct/>
              <w:topLinePunct w:val="0"/>
              <w:bidi w:val="0"/>
              <w:snapToGrid w:val="0"/>
              <w:spacing w:line="360" w:lineRule="auto"/>
              <w:ind w:firstLine="420" w:firstLineChars="200"/>
              <w:rPr>
                <w:color w:val="auto"/>
                <w:szCs w:val="21"/>
              </w:rPr>
            </w:pPr>
            <w:r>
              <w:rPr>
                <w:rFonts w:hint="eastAsia"/>
                <w:color w:val="auto"/>
                <w:szCs w:val="21"/>
              </w:rPr>
              <w:t>s—动态吸附量，%；（一般取值10%）</w:t>
            </w:r>
          </w:p>
          <w:p w14:paraId="475B4BD1">
            <w:pPr>
              <w:pageBreakBefore w:val="0"/>
              <w:kinsoku/>
              <w:wordWrap/>
              <w:overflowPunct/>
              <w:topLinePunct w:val="0"/>
              <w:bidi w:val="0"/>
              <w:snapToGrid w:val="0"/>
              <w:spacing w:line="360" w:lineRule="auto"/>
              <w:ind w:firstLine="420" w:firstLineChars="200"/>
              <w:rPr>
                <w:color w:val="auto"/>
                <w:szCs w:val="21"/>
              </w:rPr>
            </w:pPr>
            <w:r>
              <w:rPr>
                <w:rFonts w:hint="eastAsia"/>
                <w:color w:val="auto"/>
                <w:szCs w:val="21"/>
              </w:rPr>
              <w:t>c—活性炭削减的VOCs浓度，mg/m</w:t>
            </w:r>
            <w:r>
              <w:rPr>
                <w:rFonts w:hint="eastAsia"/>
                <w:color w:val="auto"/>
                <w:szCs w:val="21"/>
                <w:vertAlign w:val="superscript"/>
              </w:rPr>
              <w:t>3</w:t>
            </w:r>
            <w:r>
              <w:rPr>
                <w:rFonts w:hint="eastAsia"/>
                <w:color w:val="auto"/>
                <w:szCs w:val="21"/>
              </w:rPr>
              <w:t>；（本项目c为</w:t>
            </w:r>
            <w:r>
              <w:rPr>
                <w:rFonts w:hint="eastAsia"/>
                <w:color w:val="auto"/>
                <w:szCs w:val="21"/>
                <w:lang w:val="en-US" w:eastAsia="zh-CN"/>
              </w:rPr>
              <w:t>0.54</w:t>
            </w:r>
            <w:r>
              <w:rPr>
                <w:rFonts w:hint="eastAsia"/>
                <w:color w:val="auto"/>
                <w:szCs w:val="21"/>
              </w:rPr>
              <w:t>）</w:t>
            </w:r>
          </w:p>
          <w:p w14:paraId="2278CA40">
            <w:pPr>
              <w:pageBreakBefore w:val="0"/>
              <w:kinsoku/>
              <w:wordWrap/>
              <w:overflowPunct/>
              <w:topLinePunct w:val="0"/>
              <w:bidi w:val="0"/>
              <w:snapToGrid w:val="0"/>
              <w:spacing w:line="360" w:lineRule="auto"/>
              <w:ind w:firstLine="420" w:firstLineChars="200"/>
              <w:rPr>
                <w:color w:val="auto"/>
                <w:szCs w:val="21"/>
              </w:rPr>
            </w:pPr>
            <w:r>
              <w:rPr>
                <w:rFonts w:hint="eastAsia"/>
                <w:color w:val="auto"/>
                <w:szCs w:val="21"/>
              </w:rPr>
              <w:t>Q—风量，单位m</w:t>
            </w:r>
            <w:r>
              <w:rPr>
                <w:rFonts w:hint="eastAsia"/>
                <w:color w:val="auto"/>
                <w:szCs w:val="21"/>
                <w:vertAlign w:val="superscript"/>
              </w:rPr>
              <w:t>3</w:t>
            </w:r>
            <w:r>
              <w:rPr>
                <w:rFonts w:hint="eastAsia"/>
                <w:color w:val="auto"/>
                <w:szCs w:val="21"/>
              </w:rPr>
              <w:t>/h；（本项目Q为5000）</w:t>
            </w:r>
          </w:p>
          <w:p w14:paraId="47EF2442">
            <w:pPr>
              <w:pageBreakBefore w:val="0"/>
              <w:kinsoku/>
              <w:wordWrap/>
              <w:overflowPunct/>
              <w:topLinePunct w:val="0"/>
              <w:bidi w:val="0"/>
              <w:snapToGrid w:val="0"/>
              <w:spacing w:line="360" w:lineRule="auto"/>
              <w:ind w:firstLine="420" w:firstLineChars="200"/>
              <w:rPr>
                <w:color w:val="auto"/>
                <w:sz w:val="21"/>
                <w:szCs w:val="21"/>
              </w:rPr>
            </w:pPr>
            <w:r>
              <w:rPr>
                <w:rFonts w:hint="eastAsia"/>
                <w:color w:val="auto"/>
                <w:sz w:val="21"/>
                <w:szCs w:val="21"/>
              </w:rPr>
              <w:t>t—运行时间，单位h/d。（本项目t为</w:t>
            </w:r>
            <w:r>
              <w:rPr>
                <w:rFonts w:hint="eastAsia"/>
                <w:color w:val="auto"/>
                <w:sz w:val="21"/>
                <w:szCs w:val="21"/>
                <w:lang w:val="en-US" w:eastAsia="zh-CN"/>
              </w:rPr>
              <w:t>24</w:t>
            </w:r>
            <w:r>
              <w:rPr>
                <w:rFonts w:hint="eastAsia"/>
                <w:color w:val="auto"/>
                <w:sz w:val="21"/>
                <w:szCs w:val="21"/>
              </w:rPr>
              <w:t>）</w:t>
            </w:r>
          </w:p>
          <w:p w14:paraId="105FA403">
            <w:pPr>
              <w:pStyle w:val="10"/>
              <w:keepNext w:val="0"/>
              <w:keepLines w:val="0"/>
              <w:pageBreakBefore w:val="0"/>
              <w:widowControl/>
              <w:kinsoku/>
              <w:wordWrap/>
              <w:overflowPunct/>
              <w:topLinePunct w:val="0"/>
              <w:autoSpaceDE/>
              <w:autoSpaceDN/>
              <w:bidi w:val="0"/>
              <w:adjustRightInd/>
              <w:snapToGrid w:val="0"/>
              <w:spacing w:before="0" w:after="0" w:line="360" w:lineRule="auto"/>
              <w:ind w:right="0" w:firstLine="420" w:firstLineChars="200"/>
              <w:textAlignment w:val="auto"/>
              <w:rPr>
                <w:rFonts w:hint="default"/>
                <w:sz w:val="21"/>
                <w:szCs w:val="21"/>
                <w:lang w:val="en-US" w:eastAsia="zh-CN"/>
              </w:rPr>
            </w:pPr>
            <w:r>
              <w:rPr>
                <w:rFonts w:hint="eastAsia"/>
                <w:color w:val="auto"/>
                <w:sz w:val="21"/>
                <w:szCs w:val="21"/>
              </w:rPr>
              <w:t>计算得更换周期为</w:t>
            </w:r>
            <w:r>
              <w:rPr>
                <w:rFonts w:hint="eastAsia"/>
                <w:color w:val="auto"/>
                <w:sz w:val="21"/>
                <w:szCs w:val="21"/>
                <w:lang w:val="en-US" w:eastAsia="zh-CN"/>
              </w:rPr>
              <w:t>77</w:t>
            </w:r>
            <w:r>
              <w:rPr>
                <w:rFonts w:hint="eastAsia"/>
                <w:color w:val="auto"/>
                <w:sz w:val="21"/>
                <w:szCs w:val="21"/>
              </w:rPr>
              <w:t>天，根据《省生态环境厅关于深入开展涉VOCs治理工作核查的通知》（苏环办〔2022〕218号）要求活性炭更换周期一般不应超过累计运行500</w:t>
            </w:r>
            <w:r>
              <w:rPr>
                <w:rFonts w:hint="eastAsia" w:ascii="Times New Roman" w:hAnsi="Times New Roman" w:eastAsia="宋体" w:cs="Times New Roman"/>
                <w:color w:val="auto"/>
                <w:sz w:val="21"/>
                <w:szCs w:val="21"/>
              </w:rPr>
              <w:t>小时或3个月，本项目活性炭更换周期定为</w:t>
            </w:r>
            <w:r>
              <w:rPr>
                <w:rFonts w:hint="eastAsia" w:ascii="Times New Roman" w:hAnsi="Times New Roman" w:cs="Times New Roman"/>
                <w:color w:val="auto"/>
                <w:sz w:val="21"/>
                <w:szCs w:val="21"/>
                <w:lang w:val="en-US" w:eastAsia="zh-CN"/>
              </w:rPr>
              <w:t>2</w:t>
            </w:r>
            <w:r>
              <w:rPr>
                <w:rFonts w:hint="eastAsia" w:ascii="Times New Roman" w:hAnsi="Times New Roman" w:eastAsia="宋体" w:cs="Times New Roman"/>
                <w:color w:val="auto"/>
                <w:sz w:val="21"/>
                <w:szCs w:val="21"/>
                <w:lang w:val="en-US" w:eastAsia="zh-CN"/>
              </w:rPr>
              <w:t>0天</w:t>
            </w:r>
            <w:r>
              <w:rPr>
                <w:rFonts w:hint="eastAsia" w:ascii="Times New Roman" w:hAnsi="Times New Roman" w:eastAsia="宋体" w:cs="Times New Roman"/>
                <w:color w:val="auto"/>
                <w:sz w:val="21"/>
                <w:szCs w:val="21"/>
              </w:rPr>
              <w:t>。则1年活性炭更换次数</w:t>
            </w:r>
            <w:r>
              <w:rPr>
                <w:rFonts w:hint="eastAsia" w:ascii="Times New Roman" w:hAnsi="Times New Roman" w:cs="Times New Roman"/>
                <w:color w:val="auto"/>
                <w:sz w:val="21"/>
                <w:szCs w:val="21"/>
                <w:lang w:val="en-US" w:eastAsia="zh-CN"/>
              </w:rPr>
              <w:t>1</w:t>
            </w:r>
            <w:r>
              <w:rPr>
                <w:rFonts w:hint="eastAsia" w:ascii="Times New Roman" w:hAnsi="Times New Roman" w:eastAsia="宋体" w:cs="Times New Roman"/>
                <w:color w:val="auto"/>
                <w:sz w:val="21"/>
                <w:szCs w:val="21"/>
                <w:lang w:val="en-US" w:eastAsia="zh-CN"/>
              </w:rPr>
              <w:t>5</w:t>
            </w:r>
            <w:r>
              <w:rPr>
                <w:rFonts w:hint="eastAsia" w:ascii="Times New Roman" w:hAnsi="Times New Roman" w:eastAsia="宋体" w:cs="Times New Roman"/>
                <w:color w:val="auto"/>
                <w:sz w:val="21"/>
                <w:szCs w:val="21"/>
              </w:rPr>
              <w:t>次，用量约为</w:t>
            </w:r>
            <w:r>
              <w:rPr>
                <w:rFonts w:hint="eastAsia" w:ascii="Times New Roman" w:hAnsi="Times New Roman" w:cs="Times New Roman"/>
                <w:color w:val="auto"/>
                <w:sz w:val="21"/>
                <w:szCs w:val="21"/>
                <w:lang w:val="en-US" w:eastAsia="zh-CN"/>
              </w:rPr>
              <w:t>0.75</w:t>
            </w:r>
            <w:r>
              <w:rPr>
                <w:rFonts w:hint="eastAsia" w:ascii="Times New Roman" w:hAnsi="Times New Roman" w:eastAsia="宋体" w:cs="Times New Roman"/>
                <w:color w:val="auto"/>
                <w:sz w:val="21"/>
                <w:szCs w:val="21"/>
              </w:rPr>
              <w:t>t/a，处理有机废气量约为</w:t>
            </w:r>
            <w:r>
              <w:rPr>
                <w:rFonts w:hint="eastAsia" w:ascii="Times New Roman" w:hAnsi="Times New Roman" w:eastAsia="宋体" w:cs="Times New Roman"/>
                <w:color w:val="auto"/>
                <w:sz w:val="21"/>
                <w:szCs w:val="21"/>
                <w:lang w:val="en-US" w:eastAsia="zh-CN"/>
              </w:rPr>
              <w:t>0.</w:t>
            </w:r>
            <w:r>
              <w:rPr>
                <w:rFonts w:hint="eastAsia" w:ascii="Times New Roman" w:hAnsi="Times New Roman" w:cs="Times New Roman"/>
                <w:color w:val="auto"/>
                <w:sz w:val="21"/>
                <w:szCs w:val="21"/>
                <w:lang w:val="en-US" w:eastAsia="zh-CN"/>
              </w:rPr>
              <w:t>02</w:t>
            </w:r>
            <w:r>
              <w:rPr>
                <w:rFonts w:hint="eastAsia" w:ascii="Times New Roman" w:hAnsi="Times New Roman" w:eastAsia="宋体" w:cs="Times New Roman"/>
                <w:color w:val="auto"/>
                <w:sz w:val="21"/>
                <w:szCs w:val="21"/>
              </w:rPr>
              <w:t>t/a。则废活性炭产生量约为</w:t>
            </w:r>
            <w:r>
              <w:rPr>
                <w:rFonts w:hint="eastAsia" w:ascii="Times New Roman" w:hAnsi="Times New Roman" w:cs="Times New Roman"/>
                <w:color w:val="auto"/>
                <w:sz w:val="21"/>
                <w:szCs w:val="21"/>
                <w:lang w:val="en-US" w:eastAsia="zh-CN"/>
              </w:rPr>
              <w:t>0.77</w:t>
            </w:r>
            <w:r>
              <w:rPr>
                <w:rFonts w:hint="eastAsia" w:ascii="Times New Roman" w:hAnsi="Times New Roman" w:eastAsia="宋体" w:cs="Times New Roman"/>
                <w:color w:val="auto"/>
                <w:sz w:val="21"/>
                <w:szCs w:val="21"/>
              </w:rPr>
              <w:t>t/a。</w:t>
            </w:r>
            <w:r>
              <w:rPr>
                <w:rFonts w:hint="eastAsia"/>
                <w:color w:val="auto"/>
                <w:sz w:val="21"/>
                <w:szCs w:val="21"/>
              </w:rPr>
              <w:t>根据《国家危险废物名录》（202</w:t>
            </w:r>
            <w:r>
              <w:rPr>
                <w:rFonts w:hint="eastAsia"/>
                <w:color w:val="auto"/>
                <w:sz w:val="21"/>
                <w:szCs w:val="21"/>
                <w:lang w:val="en-US" w:eastAsia="zh-CN"/>
              </w:rPr>
              <w:t>5</w:t>
            </w:r>
            <w:r>
              <w:rPr>
                <w:rFonts w:hint="eastAsia"/>
                <w:color w:val="auto"/>
                <w:sz w:val="21"/>
                <w:szCs w:val="21"/>
              </w:rPr>
              <w:t>年</w:t>
            </w:r>
            <w:r>
              <w:rPr>
                <w:rFonts w:hint="eastAsia"/>
                <w:color w:val="auto"/>
                <w:sz w:val="21"/>
                <w:szCs w:val="21"/>
                <w:highlight w:val="none"/>
                <w:lang w:val="en-US" w:eastAsia="zh-CN"/>
              </w:rPr>
              <w:t>版</w:t>
            </w:r>
            <w:r>
              <w:rPr>
                <w:rFonts w:hint="eastAsia"/>
                <w:color w:val="auto"/>
                <w:sz w:val="21"/>
                <w:szCs w:val="21"/>
              </w:rPr>
              <w:t>），废活性炭属于“HW49”类危险废物，废物代码900-039-49，建设单位收集在厂区危废暂存间暂存后定期委托有资质单位处理，企业需建立台账记录制度，台账录保存期限不少于5年。</w:t>
            </w:r>
          </w:p>
          <w:p w14:paraId="34DEA24B">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color w:val="auto"/>
                <w:szCs w:val="21"/>
              </w:rPr>
            </w:pPr>
            <w:r>
              <w:rPr>
                <w:rFonts w:hint="eastAsia"/>
                <w:color w:val="auto"/>
                <w:szCs w:val="21"/>
              </w:rPr>
              <w:t>根据《固体废物鉴别标准 通则》（</w:t>
            </w:r>
            <w:r>
              <w:rPr>
                <w:color w:val="auto"/>
                <w:szCs w:val="21"/>
              </w:rPr>
              <w:t>GB34330-2017），</w:t>
            </w:r>
            <w:r>
              <w:rPr>
                <w:rFonts w:hint="eastAsia"/>
                <w:color w:val="auto"/>
                <w:kern w:val="0"/>
                <w:szCs w:val="21"/>
                <w:lang w:bidi="ar"/>
              </w:rPr>
              <w:t>对项目副产物进行</w:t>
            </w:r>
            <w:r>
              <w:rPr>
                <w:color w:val="auto"/>
                <w:kern w:val="0"/>
                <w:szCs w:val="21"/>
                <w:lang w:bidi="ar"/>
              </w:rPr>
              <w:t>判定</w:t>
            </w:r>
            <w:r>
              <w:rPr>
                <w:color w:val="auto"/>
                <w:szCs w:val="21"/>
              </w:rPr>
              <w:t>，</w:t>
            </w:r>
            <w:r>
              <w:rPr>
                <w:rFonts w:hint="eastAsia"/>
                <w:color w:val="auto"/>
                <w:szCs w:val="21"/>
                <w:lang w:val="en-US" w:eastAsia="zh-CN"/>
              </w:rPr>
              <w:t>判定情况</w:t>
            </w:r>
            <w:r>
              <w:rPr>
                <w:color w:val="auto"/>
                <w:szCs w:val="21"/>
              </w:rPr>
              <w:t>见表4-</w:t>
            </w:r>
            <w:r>
              <w:rPr>
                <w:rFonts w:hint="eastAsia"/>
                <w:color w:val="auto"/>
                <w:szCs w:val="21"/>
                <w:lang w:val="en-US" w:eastAsia="zh-CN"/>
              </w:rPr>
              <w:t>27</w:t>
            </w:r>
            <w:r>
              <w:rPr>
                <w:color w:val="auto"/>
                <w:szCs w:val="21"/>
              </w:rPr>
              <w:t>。固体废弃物分析结果汇总见表4</w:t>
            </w:r>
            <w:r>
              <w:rPr>
                <w:rFonts w:hint="eastAsia"/>
                <w:color w:val="auto"/>
                <w:szCs w:val="21"/>
              </w:rPr>
              <w:t>-</w:t>
            </w:r>
            <w:r>
              <w:rPr>
                <w:rFonts w:hint="eastAsia"/>
                <w:color w:val="auto"/>
                <w:szCs w:val="21"/>
                <w:lang w:val="en-US" w:eastAsia="zh-CN"/>
              </w:rPr>
              <w:t>28</w:t>
            </w:r>
            <w:r>
              <w:rPr>
                <w:color w:val="auto"/>
                <w:szCs w:val="21"/>
              </w:rPr>
              <w:t>，危险废物分析结果汇总见表4-</w:t>
            </w:r>
            <w:r>
              <w:rPr>
                <w:rFonts w:hint="eastAsia"/>
                <w:color w:val="auto"/>
                <w:szCs w:val="21"/>
                <w:lang w:val="en-US" w:eastAsia="zh-CN"/>
              </w:rPr>
              <w:t>29</w:t>
            </w:r>
            <w:r>
              <w:rPr>
                <w:color w:val="auto"/>
                <w:szCs w:val="21"/>
              </w:rPr>
              <w:t>，</w:t>
            </w:r>
            <w:r>
              <w:rPr>
                <w:rFonts w:hint="eastAsia"/>
                <w:color w:val="auto"/>
                <w:szCs w:val="21"/>
              </w:rPr>
              <w:t>本项目建成后</w:t>
            </w:r>
            <w:r>
              <w:rPr>
                <w:color w:val="auto"/>
                <w:szCs w:val="21"/>
              </w:rPr>
              <w:t>全厂危险废物</w:t>
            </w:r>
            <w:r>
              <w:rPr>
                <w:rFonts w:hint="eastAsia"/>
                <w:color w:val="auto"/>
                <w:szCs w:val="21"/>
              </w:rPr>
              <w:t>汇总</w:t>
            </w:r>
            <w:r>
              <w:rPr>
                <w:color w:val="auto"/>
                <w:szCs w:val="21"/>
              </w:rPr>
              <w:t>结果及相关参数见表4-</w:t>
            </w:r>
            <w:r>
              <w:rPr>
                <w:rFonts w:hint="eastAsia"/>
                <w:color w:val="auto"/>
                <w:szCs w:val="21"/>
                <w:lang w:val="en-US" w:eastAsia="zh-CN"/>
              </w:rPr>
              <w:t>30</w:t>
            </w:r>
            <w:r>
              <w:rPr>
                <w:rFonts w:hint="eastAsia"/>
                <w:color w:val="auto"/>
                <w:szCs w:val="21"/>
              </w:rPr>
              <w:t>。</w:t>
            </w:r>
          </w:p>
          <w:p w14:paraId="5C04EA44">
            <w:pPr>
              <w:widowControl/>
              <w:adjustRightInd w:val="0"/>
              <w:snapToGrid w:val="0"/>
              <w:spacing w:before="147" w:beforeLines="50"/>
              <w:jc w:val="center"/>
              <w:rPr>
                <w:b/>
                <w:bCs/>
                <w:color w:val="auto"/>
                <w:szCs w:val="21"/>
              </w:rPr>
            </w:pPr>
            <w:r>
              <w:rPr>
                <w:b/>
                <w:bCs/>
                <w:color w:val="auto"/>
                <w:szCs w:val="21"/>
              </w:rPr>
              <w:t>表</w:t>
            </w:r>
            <w:r>
              <w:rPr>
                <w:rFonts w:hint="eastAsia"/>
                <w:b/>
                <w:bCs/>
                <w:color w:val="auto"/>
                <w:szCs w:val="21"/>
              </w:rPr>
              <w:t>4</w:t>
            </w:r>
            <w:r>
              <w:rPr>
                <w:b/>
                <w:bCs/>
                <w:color w:val="auto"/>
                <w:szCs w:val="21"/>
              </w:rPr>
              <w:t>-</w:t>
            </w:r>
            <w:r>
              <w:rPr>
                <w:rFonts w:hint="eastAsia"/>
                <w:b/>
                <w:bCs/>
                <w:color w:val="auto"/>
                <w:szCs w:val="21"/>
                <w:lang w:val="en-US" w:eastAsia="zh-CN"/>
              </w:rPr>
              <w:t>27</w:t>
            </w:r>
            <w:r>
              <w:rPr>
                <w:rFonts w:hint="eastAsia"/>
                <w:b/>
                <w:bCs/>
                <w:color w:val="auto"/>
                <w:szCs w:val="21"/>
              </w:rPr>
              <w:t xml:space="preserve"> 本项目</w:t>
            </w:r>
            <w:r>
              <w:rPr>
                <w:b/>
                <w:bCs/>
                <w:color w:val="auto"/>
                <w:szCs w:val="21"/>
              </w:rPr>
              <w:t>建设项目副产物产生情况汇总表</w:t>
            </w:r>
          </w:p>
          <w:tbl>
            <w:tblPr>
              <w:tblStyle w:val="30"/>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479"/>
              <w:gridCol w:w="1255"/>
              <w:gridCol w:w="1082"/>
              <w:gridCol w:w="703"/>
              <w:gridCol w:w="1425"/>
              <w:gridCol w:w="990"/>
              <w:gridCol w:w="915"/>
              <w:gridCol w:w="705"/>
              <w:gridCol w:w="878"/>
            </w:tblGrid>
            <w:tr w14:paraId="4A3143A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79" w:type="dxa"/>
                  <w:vMerge w:val="restart"/>
                  <w:vAlign w:val="center"/>
                </w:tcPr>
                <w:p w14:paraId="439C166F">
                  <w:pPr>
                    <w:widowControl/>
                    <w:adjustRightInd w:val="0"/>
                    <w:snapToGrid w:val="0"/>
                    <w:jc w:val="center"/>
                    <w:textAlignment w:val="center"/>
                    <w:rPr>
                      <w:b/>
                      <w:bCs/>
                      <w:color w:val="auto"/>
                      <w:kern w:val="0"/>
                      <w:szCs w:val="21"/>
                      <w:lang w:bidi="ar"/>
                    </w:rPr>
                  </w:pPr>
                  <w:r>
                    <w:rPr>
                      <w:b/>
                      <w:bCs/>
                      <w:color w:val="auto"/>
                      <w:kern w:val="0"/>
                      <w:szCs w:val="21"/>
                      <w:lang w:bidi="ar"/>
                    </w:rPr>
                    <w:t>序号</w:t>
                  </w:r>
                </w:p>
              </w:tc>
              <w:tc>
                <w:tcPr>
                  <w:tcW w:w="1255" w:type="dxa"/>
                  <w:vMerge w:val="restart"/>
                  <w:vAlign w:val="center"/>
                </w:tcPr>
                <w:p w14:paraId="56157119">
                  <w:pPr>
                    <w:widowControl/>
                    <w:adjustRightInd w:val="0"/>
                    <w:snapToGrid w:val="0"/>
                    <w:jc w:val="center"/>
                    <w:textAlignment w:val="center"/>
                    <w:rPr>
                      <w:b/>
                      <w:bCs/>
                      <w:color w:val="auto"/>
                      <w:kern w:val="0"/>
                      <w:szCs w:val="21"/>
                      <w:lang w:bidi="ar"/>
                    </w:rPr>
                  </w:pPr>
                  <w:r>
                    <w:rPr>
                      <w:b/>
                      <w:bCs/>
                      <w:color w:val="auto"/>
                      <w:kern w:val="0"/>
                      <w:szCs w:val="21"/>
                      <w:lang w:bidi="ar"/>
                    </w:rPr>
                    <w:t>名称</w:t>
                  </w:r>
                </w:p>
              </w:tc>
              <w:tc>
                <w:tcPr>
                  <w:tcW w:w="1082" w:type="dxa"/>
                  <w:vMerge w:val="restart"/>
                  <w:vAlign w:val="center"/>
                </w:tcPr>
                <w:p w14:paraId="0FA09E95">
                  <w:pPr>
                    <w:widowControl/>
                    <w:adjustRightInd w:val="0"/>
                    <w:snapToGrid w:val="0"/>
                    <w:jc w:val="center"/>
                    <w:textAlignment w:val="center"/>
                    <w:rPr>
                      <w:b/>
                      <w:bCs/>
                      <w:color w:val="auto"/>
                      <w:kern w:val="0"/>
                      <w:szCs w:val="21"/>
                      <w:lang w:bidi="ar"/>
                    </w:rPr>
                  </w:pPr>
                  <w:r>
                    <w:rPr>
                      <w:b/>
                      <w:bCs/>
                      <w:color w:val="auto"/>
                      <w:kern w:val="0"/>
                      <w:szCs w:val="21"/>
                      <w:lang w:bidi="ar"/>
                    </w:rPr>
                    <w:t>产生环节</w:t>
                  </w:r>
                </w:p>
              </w:tc>
              <w:tc>
                <w:tcPr>
                  <w:tcW w:w="703" w:type="dxa"/>
                  <w:vMerge w:val="restart"/>
                  <w:vAlign w:val="center"/>
                </w:tcPr>
                <w:p w14:paraId="1FF06D15">
                  <w:pPr>
                    <w:widowControl/>
                    <w:adjustRightInd w:val="0"/>
                    <w:snapToGrid w:val="0"/>
                    <w:jc w:val="center"/>
                    <w:textAlignment w:val="center"/>
                    <w:rPr>
                      <w:b/>
                      <w:bCs/>
                      <w:color w:val="auto"/>
                      <w:kern w:val="0"/>
                      <w:szCs w:val="21"/>
                      <w:lang w:bidi="ar"/>
                    </w:rPr>
                  </w:pPr>
                  <w:r>
                    <w:rPr>
                      <w:b/>
                      <w:bCs/>
                      <w:color w:val="auto"/>
                      <w:kern w:val="0"/>
                      <w:szCs w:val="21"/>
                      <w:lang w:bidi="ar"/>
                    </w:rPr>
                    <w:t>形态</w:t>
                  </w:r>
                </w:p>
              </w:tc>
              <w:tc>
                <w:tcPr>
                  <w:tcW w:w="1425" w:type="dxa"/>
                  <w:vMerge w:val="restart"/>
                  <w:vAlign w:val="center"/>
                </w:tcPr>
                <w:p w14:paraId="659585E2">
                  <w:pPr>
                    <w:adjustRightInd w:val="0"/>
                    <w:snapToGrid w:val="0"/>
                    <w:jc w:val="center"/>
                    <w:rPr>
                      <w:b/>
                      <w:bCs/>
                      <w:color w:val="auto"/>
                      <w:szCs w:val="21"/>
                    </w:rPr>
                  </w:pPr>
                  <w:r>
                    <w:rPr>
                      <w:b/>
                      <w:bCs/>
                      <w:color w:val="auto"/>
                      <w:szCs w:val="21"/>
                    </w:rPr>
                    <w:t>主要成分</w:t>
                  </w:r>
                </w:p>
              </w:tc>
              <w:tc>
                <w:tcPr>
                  <w:tcW w:w="990" w:type="dxa"/>
                  <w:vMerge w:val="restart"/>
                  <w:vAlign w:val="center"/>
                </w:tcPr>
                <w:p w14:paraId="343E2557">
                  <w:pPr>
                    <w:widowControl/>
                    <w:adjustRightInd w:val="0"/>
                    <w:snapToGrid w:val="0"/>
                    <w:jc w:val="center"/>
                    <w:textAlignment w:val="center"/>
                    <w:rPr>
                      <w:b/>
                      <w:bCs/>
                      <w:color w:val="auto"/>
                      <w:kern w:val="0"/>
                      <w:szCs w:val="21"/>
                      <w:lang w:bidi="ar"/>
                    </w:rPr>
                  </w:pPr>
                  <w:r>
                    <w:rPr>
                      <w:b/>
                      <w:bCs/>
                      <w:color w:val="auto"/>
                      <w:kern w:val="0"/>
                      <w:szCs w:val="21"/>
                      <w:lang w:bidi="ar"/>
                    </w:rPr>
                    <w:t>产生量t/a</w:t>
                  </w:r>
                </w:p>
              </w:tc>
              <w:tc>
                <w:tcPr>
                  <w:tcW w:w="2498" w:type="dxa"/>
                  <w:gridSpan w:val="3"/>
                  <w:vAlign w:val="center"/>
                </w:tcPr>
                <w:p w14:paraId="4F2B4635">
                  <w:pPr>
                    <w:widowControl/>
                    <w:adjustRightInd w:val="0"/>
                    <w:snapToGrid w:val="0"/>
                    <w:jc w:val="center"/>
                    <w:textAlignment w:val="center"/>
                    <w:rPr>
                      <w:b/>
                      <w:bCs/>
                      <w:color w:val="auto"/>
                      <w:kern w:val="0"/>
                      <w:szCs w:val="21"/>
                      <w:lang w:bidi="ar"/>
                    </w:rPr>
                  </w:pPr>
                  <w:r>
                    <w:rPr>
                      <w:b/>
                      <w:bCs/>
                      <w:color w:val="auto"/>
                      <w:kern w:val="0"/>
                      <w:szCs w:val="21"/>
                      <w:lang w:bidi="ar"/>
                    </w:rPr>
                    <w:t>种类判断</w:t>
                  </w:r>
                </w:p>
              </w:tc>
            </w:tr>
            <w:tr w14:paraId="1E6C8DD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79" w:type="dxa"/>
                  <w:vMerge w:val="continue"/>
                  <w:vAlign w:val="center"/>
                </w:tcPr>
                <w:p w14:paraId="5EFD6D27">
                  <w:pPr>
                    <w:widowControl/>
                    <w:adjustRightInd w:val="0"/>
                    <w:snapToGrid w:val="0"/>
                    <w:jc w:val="center"/>
                    <w:textAlignment w:val="center"/>
                    <w:rPr>
                      <w:b/>
                      <w:bCs/>
                      <w:color w:val="auto"/>
                      <w:kern w:val="0"/>
                      <w:szCs w:val="21"/>
                      <w:lang w:bidi="ar"/>
                    </w:rPr>
                  </w:pPr>
                </w:p>
              </w:tc>
              <w:tc>
                <w:tcPr>
                  <w:tcW w:w="1255" w:type="dxa"/>
                  <w:vMerge w:val="continue"/>
                  <w:vAlign w:val="center"/>
                </w:tcPr>
                <w:p w14:paraId="3B516B4D">
                  <w:pPr>
                    <w:widowControl/>
                    <w:adjustRightInd w:val="0"/>
                    <w:snapToGrid w:val="0"/>
                    <w:jc w:val="center"/>
                    <w:textAlignment w:val="center"/>
                    <w:rPr>
                      <w:b/>
                      <w:bCs/>
                      <w:color w:val="auto"/>
                      <w:kern w:val="0"/>
                      <w:szCs w:val="21"/>
                      <w:lang w:bidi="ar"/>
                    </w:rPr>
                  </w:pPr>
                </w:p>
              </w:tc>
              <w:tc>
                <w:tcPr>
                  <w:tcW w:w="1082" w:type="dxa"/>
                  <w:vMerge w:val="continue"/>
                  <w:vAlign w:val="center"/>
                </w:tcPr>
                <w:p w14:paraId="3D8E45A9">
                  <w:pPr>
                    <w:widowControl/>
                    <w:adjustRightInd w:val="0"/>
                    <w:snapToGrid w:val="0"/>
                    <w:jc w:val="center"/>
                    <w:textAlignment w:val="center"/>
                    <w:rPr>
                      <w:b/>
                      <w:bCs/>
                      <w:color w:val="auto"/>
                      <w:kern w:val="0"/>
                      <w:szCs w:val="21"/>
                      <w:lang w:bidi="ar"/>
                    </w:rPr>
                  </w:pPr>
                </w:p>
              </w:tc>
              <w:tc>
                <w:tcPr>
                  <w:tcW w:w="703" w:type="dxa"/>
                  <w:vMerge w:val="continue"/>
                  <w:vAlign w:val="center"/>
                </w:tcPr>
                <w:p w14:paraId="16133253">
                  <w:pPr>
                    <w:widowControl/>
                    <w:adjustRightInd w:val="0"/>
                    <w:snapToGrid w:val="0"/>
                    <w:jc w:val="center"/>
                    <w:textAlignment w:val="center"/>
                    <w:rPr>
                      <w:b/>
                      <w:bCs/>
                      <w:color w:val="auto"/>
                      <w:kern w:val="0"/>
                      <w:szCs w:val="21"/>
                      <w:lang w:bidi="ar"/>
                    </w:rPr>
                  </w:pPr>
                </w:p>
              </w:tc>
              <w:tc>
                <w:tcPr>
                  <w:tcW w:w="1425" w:type="dxa"/>
                  <w:vMerge w:val="continue"/>
                  <w:vAlign w:val="center"/>
                </w:tcPr>
                <w:p w14:paraId="797E4A07">
                  <w:pPr>
                    <w:widowControl/>
                    <w:adjustRightInd w:val="0"/>
                    <w:snapToGrid w:val="0"/>
                    <w:jc w:val="center"/>
                    <w:textAlignment w:val="center"/>
                    <w:rPr>
                      <w:b/>
                      <w:bCs/>
                      <w:color w:val="auto"/>
                      <w:kern w:val="0"/>
                      <w:szCs w:val="21"/>
                      <w:lang w:bidi="ar"/>
                    </w:rPr>
                  </w:pPr>
                </w:p>
              </w:tc>
              <w:tc>
                <w:tcPr>
                  <w:tcW w:w="990" w:type="dxa"/>
                  <w:vMerge w:val="continue"/>
                  <w:vAlign w:val="center"/>
                </w:tcPr>
                <w:p w14:paraId="7CEAF15D">
                  <w:pPr>
                    <w:widowControl/>
                    <w:adjustRightInd w:val="0"/>
                    <w:snapToGrid w:val="0"/>
                    <w:jc w:val="center"/>
                    <w:textAlignment w:val="center"/>
                    <w:rPr>
                      <w:b/>
                      <w:bCs/>
                      <w:color w:val="auto"/>
                      <w:kern w:val="0"/>
                      <w:szCs w:val="21"/>
                      <w:lang w:bidi="ar"/>
                    </w:rPr>
                  </w:pPr>
                </w:p>
              </w:tc>
              <w:tc>
                <w:tcPr>
                  <w:tcW w:w="915" w:type="dxa"/>
                  <w:vAlign w:val="center"/>
                </w:tcPr>
                <w:p w14:paraId="5C3A82AE">
                  <w:pPr>
                    <w:pStyle w:val="10"/>
                    <w:spacing w:before="0" w:after="0" w:line="240" w:lineRule="auto"/>
                    <w:ind w:right="0"/>
                    <w:jc w:val="center"/>
                    <w:rPr>
                      <w:b/>
                      <w:bCs/>
                      <w:color w:val="auto"/>
                      <w:sz w:val="21"/>
                      <w:szCs w:val="21"/>
                      <w:lang w:bidi="ar"/>
                    </w:rPr>
                  </w:pPr>
                  <w:r>
                    <w:rPr>
                      <w:b/>
                      <w:bCs/>
                      <w:color w:val="auto"/>
                      <w:sz w:val="21"/>
                      <w:szCs w:val="21"/>
                    </w:rPr>
                    <w:t>固体废物</w:t>
                  </w:r>
                </w:p>
              </w:tc>
              <w:tc>
                <w:tcPr>
                  <w:tcW w:w="705" w:type="dxa"/>
                  <w:vAlign w:val="center"/>
                </w:tcPr>
                <w:p w14:paraId="4BB43DD4">
                  <w:pPr>
                    <w:pStyle w:val="10"/>
                    <w:spacing w:before="0" w:after="0" w:line="240" w:lineRule="auto"/>
                    <w:ind w:right="0"/>
                    <w:jc w:val="center"/>
                    <w:rPr>
                      <w:b/>
                      <w:bCs/>
                      <w:color w:val="auto"/>
                      <w:sz w:val="21"/>
                      <w:szCs w:val="21"/>
                      <w:lang w:bidi="ar"/>
                    </w:rPr>
                  </w:pPr>
                  <w:r>
                    <w:rPr>
                      <w:b/>
                      <w:bCs/>
                      <w:color w:val="auto"/>
                      <w:sz w:val="21"/>
                      <w:szCs w:val="21"/>
                    </w:rPr>
                    <w:t>副产品</w:t>
                  </w:r>
                </w:p>
              </w:tc>
              <w:tc>
                <w:tcPr>
                  <w:tcW w:w="878" w:type="dxa"/>
                  <w:vAlign w:val="center"/>
                </w:tcPr>
                <w:p w14:paraId="5CB4C814">
                  <w:pPr>
                    <w:widowControl/>
                    <w:adjustRightInd w:val="0"/>
                    <w:snapToGrid w:val="0"/>
                    <w:jc w:val="center"/>
                    <w:textAlignment w:val="center"/>
                    <w:rPr>
                      <w:b/>
                      <w:bCs/>
                      <w:color w:val="auto"/>
                      <w:kern w:val="0"/>
                      <w:szCs w:val="21"/>
                      <w:lang w:bidi="ar"/>
                    </w:rPr>
                  </w:pPr>
                  <w:r>
                    <w:rPr>
                      <w:b/>
                      <w:bCs/>
                      <w:color w:val="auto"/>
                      <w:kern w:val="0"/>
                      <w:szCs w:val="21"/>
                      <w:lang w:bidi="ar"/>
                    </w:rPr>
                    <w:t>判定依据</w:t>
                  </w:r>
                </w:p>
              </w:tc>
            </w:tr>
            <w:tr w14:paraId="52D1FAF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79" w:type="dxa"/>
                  <w:vAlign w:val="center"/>
                </w:tcPr>
                <w:p w14:paraId="458A647F">
                  <w:pPr>
                    <w:pStyle w:val="10"/>
                    <w:spacing w:before="0" w:after="0" w:line="240" w:lineRule="auto"/>
                    <w:ind w:right="0"/>
                    <w:jc w:val="center"/>
                    <w:rPr>
                      <w:color w:val="auto"/>
                      <w:sz w:val="21"/>
                      <w:szCs w:val="21"/>
                      <w:lang w:bidi="ar"/>
                    </w:rPr>
                  </w:pPr>
                  <w:r>
                    <w:rPr>
                      <w:color w:val="auto"/>
                      <w:sz w:val="21"/>
                      <w:szCs w:val="21"/>
                    </w:rPr>
                    <w:t>1</w:t>
                  </w:r>
                </w:p>
              </w:tc>
              <w:tc>
                <w:tcPr>
                  <w:tcW w:w="1255" w:type="dxa"/>
                  <w:vAlign w:val="center"/>
                </w:tcPr>
                <w:p w14:paraId="693E2B7C">
                  <w:pPr>
                    <w:pStyle w:val="107"/>
                    <w:spacing w:line="240" w:lineRule="auto"/>
                    <w:ind w:firstLine="0" w:firstLineChars="0"/>
                    <w:jc w:val="center"/>
                    <w:rPr>
                      <w:rFonts w:hint="default" w:eastAsia="宋体"/>
                      <w:color w:val="auto"/>
                      <w:sz w:val="21"/>
                      <w:szCs w:val="21"/>
                      <w:lang w:val="en-US" w:eastAsia="zh-CN" w:bidi="ar"/>
                    </w:rPr>
                  </w:pPr>
                  <w:r>
                    <w:rPr>
                      <w:rFonts w:hint="eastAsia"/>
                      <w:color w:val="auto"/>
                      <w:kern w:val="24"/>
                      <w:sz w:val="21"/>
                      <w:szCs w:val="21"/>
                      <w:lang w:val="en-US" w:eastAsia="zh-CN"/>
                    </w:rPr>
                    <w:t>生活垃圾</w:t>
                  </w:r>
                </w:p>
              </w:tc>
              <w:tc>
                <w:tcPr>
                  <w:tcW w:w="1082" w:type="dxa"/>
                  <w:vAlign w:val="center"/>
                </w:tcPr>
                <w:p w14:paraId="11171B9A">
                  <w:pPr>
                    <w:widowControl/>
                    <w:adjustRightInd w:val="0"/>
                    <w:snapToGrid w:val="0"/>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员工生活</w:t>
                  </w:r>
                </w:p>
              </w:tc>
              <w:tc>
                <w:tcPr>
                  <w:tcW w:w="703" w:type="dxa"/>
                  <w:vAlign w:val="center"/>
                </w:tcPr>
                <w:p w14:paraId="3E8A9778">
                  <w:pPr>
                    <w:widowControl/>
                    <w:adjustRightInd w:val="0"/>
                    <w:snapToGrid w:val="0"/>
                    <w:jc w:val="center"/>
                    <w:textAlignment w:val="center"/>
                    <w:rPr>
                      <w:color w:val="auto"/>
                      <w:kern w:val="0"/>
                      <w:szCs w:val="21"/>
                      <w:lang w:bidi="ar"/>
                    </w:rPr>
                  </w:pPr>
                  <w:r>
                    <w:rPr>
                      <w:color w:val="auto"/>
                      <w:kern w:val="0"/>
                      <w:szCs w:val="21"/>
                      <w:lang w:bidi="ar"/>
                    </w:rPr>
                    <w:t>固态</w:t>
                  </w:r>
                </w:p>
              </w:tc>
              <w:tc>
                <w:tcPr>
                  <w:tcW w:w="1425" w:type="dxa"/>
                  <w:vAlign w:val="center"/>
                </w:tcPr>
                <w:p w14:paraId="65E1BD18">
                  <w:pPr>
                    <w:pStyle w:val="10"/>
                    <w:spacing w:before="0" w:after="0" w:line="240" w:lineRule="auto"/>
                    <w:ind w:right="0"/>
                    <w:jc w:val="center"/>
                    <w:rPr>
                      <w:rFonts w:hint="default" w:eastAsia="宋体"/>
                      <w:color w:val="auto"/>
                      <w:sz w:val="21"/>
                      <w:szCs w:val="21"/>
                      <w:lang w:val="en-US" w:eastAsia="zh-CN"/>
                    </w:rPr>
                  </w:pPr>
                  <w:r>
                    <w:rPr>
                      <w:rFonts w:hint="eastAsia"/>
                      <w:color w:val="auto"/>
                      <w:sz w:val="21"/>
                      <w:szCs w:val="21"/>
                      <w:lang w:val="en-US" w:eastAsia="zh-CN"/>
                    </w:rPr>
                    <w:t>纸屑、果皮</w:t>
                  </w:r>
                </w:p>
              </w:tc>
              <w:tc>
                <w:tcPr>
                  <w:tcW w:w="990" w:type="dxa"/>
                  <w:vAlign w:val="center"/>
                </w:tcPr>
                <w:p w14:paraId="20202E24">
                  <w:pPr>
                    <w:widowControl/>
                    <w:adjustRightInd w:val="0"/>
                    <w:snapToGrid w:val="0"/>
                    <w:jc w:val="center"/>
                    <w:textAlignment w:val="center"/>
                    <w:rPr>
                      <w:rFonts w:hint="default" w:eastAsia="宋体"/>
                      <w:color w:val="auto"/>
                      <w:lang w:val="en-US" w:eastAsia="zh-CN"/>
                    </w:rPr>
                  </w:pPr>
                  <w:r>
                    <w:rPr>
                      <w:rFonts w:hint="eastAsia"/>
                      <w:color w:val="auto"/>
                      <w:szCs w:val="21"/>
                      <w:lang w:val="en-US" w:eastAsia="zh-CN"/>
                    </w:rPr>
                    <w:t>7.2</w:t>
                  </w:r>
                </w:p>
              </w:tc>
              <w:tc>
                <w:tcPr>
                  <w:tcW w:w="915" w:type="dxa"/>
                  <w:vAlign w:val="center"/>
                </w:tcPr>
                <w:p w14:paraId="0D96EE8D">
                  <w:pPr>
                    <w:widowControl/>
                    <w:adjustRightInd w:val="0"/>
                    <w:snapToGrid w:val="0"/>
                    <w:jc w:val="center"/>
                    <w:textAlignment w:val="center"/>
                    <w:rPr>
                      <w:color w:val="auto"/>
                      <w:kern w:val="0"/>
                      <w:szCs w:val="21"/>
                      <w:lang w:bidi="ar"/>
                    </w:rPr>
                  </w:pPr>
                  <w:r>
                    <w:rPr>
                      <w:color w:val="auto"/>
                      <w:kern w:val="0"/>
                      <w:szCs w:val="21"/>
                      <w:lang w:bidi="ar"/>
                    </w:rPr>
                    <w:t>是</w:t>
                  </w:r>
                </w:p>
              </w:tc>
              <w:tc>
                <w:tcPr>
                  <w:tcW w:w="705" w:type="dxa"/>
                  <w:vAlign w:val="center"/>
                </w:tcPr>
                <w:p w14:paraId="724A5808">
                  <w:pPr>
                    <w:widowControl/>
                    <w:adjustRightInd w:val="0"/>
                    <w:snapToGrid w:val="0"/>
                    <w:jc w:val="center"/>
                    <w:textAlignment w:val="center"/>
                    <w:rPr>
                      <w:color w:val="auto"/>
                      <w:kern w:val="0"/>
                      <w:szCs w:val="21"/>
                      <w:lang w:bidi="ar"/>
                    </w:rPr>
                  </w:pPr>
                  <w:r>
                    <w:rPr>
                      <w:color w:val="auto"/>
                      <w:kern w:val="0"/>
                      <w:szCs w:val="21"/>
                      <w:lang w:bidi="ar"/>
                    </w:rPr>
                    <w:t>/</w:t>
                  </w:r>
                </w:p>
              </w:tc>
              <w:tc>
                <w:tcPr>
                  <w:tcW w:w="878" w:type="dxa"/>
                  <w:vMerge w:val="restart"/>
                  <w:vAlign w:val="center"/>
                </w:tcPr>
                <w:p w14:paraId="29202FAE">
                  <w:pPr>
                    <w:widowControl/>
                    <w:adjustRightInd w:val="0"/>
                    <w:snapToGrid w:val="0"/>
                    <w:jc w:val="center"/>
                    <w:textAlignment w:val="center"/>
                    <w:rPr>
                      <w:color w:val="auto"/>
                      <w:kern w:val="0"/>
                      <w:szCs w:val="21"/>
                      <w:lang w:bidi="ar"/>
                    </w:rPr>
                  </w:pPr>
                  <w:r>
                    <w:rPr>
                      <w:color w:val="auto"/>
                      <w:kern w:val="0"/>
                      <w:szCs w:val="21"/>
                      <w:lang w:bidi="ar"/>
                    </w:rPr>
                    <w:t>《固体废物鉴别标准通则》（GB34330—2017）</w:t>
                  </w:r>
                </w:p>
              </w:tc>
            </w:tr>
            <w:tr w14:paraId="13E602C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79" w:type="dxa"/>
                  <w:vAlign w:val="center"/>
                </w:tcPr>
                <w:p w14:paraId="5C954D30">
                  <w:pPr>
                    <w:pStyle w:val="10"/>
                    <w:spacing w:before="0" w:after="0" w:line="240" w:lineRule="auto"/>
                    <w:ind w:right="0"/>
                    <w:jc w:val="center"/>
                    <w:rPr>
                      <w:color w:val="auto"/>
                      <w:sz w:val="21"/>
                      <w:szCs w:val="21"/>
                      <w:lang w:bidi="ar"/>
                    </w:rPr>
                  </w:pPr>
                  <w:r>
                    <w:rPr>
                      <w:color w:val="auto"/>
                      <w:sz w:val="21"/>
                      <w:szCs w:val="21"/>
                    </w:rPr>
                    <w:t>2</w:t>
                  </w:r>
                </w:p>
              </w:tc>
              <w:tc>
                <w:tcPr>
                  <w:tcW w:w="1255" w:type="dxa"/>
                  <w:vAlign w:val="center"/>
                </w:tcPr>
                <w:p w14:paraId="66BF0F84">
                  <w:pPr>
                    <w:pStyle w:val="107"/>
                    <w:spacing w:line="240" w:lineRule="auto"/>
                    <w:ind w:firstLine="0" w:firstLineChars="0"/>
                    <w:jc w:val="center"/>
                    <w:rPr>
                      <w:rFonts w:hint="default" w:eastAsia="宋体"/>
                      <w:color w:val="auto"/>
                      <w:sz w:val="21"/>
                      <w:szCs w:val="21"/>
                      <w:lang w:val="en-US" w:eastAsia="zh-CN" w:bidi="ar"/>
                    </w:rPr>
                  </w:pPr>
                  <w:r>
                    <w:rPr>
                      <w:rFonts w:hint="eastAsia"/>
                      <w:color w:val="auto"/>
                      <w:sz w:val="21"/>
                      <w:szCs w:val="21"/>
                      <w:lang w:val="en-US" w:eastAsia="zh-CN"/>
                    </w:rPr>
                    <w:t>废包装材料</w:t>
                  </w:r>
                </w:p>
              </w:tc>
              <w:tc>
                <w:tcPr>
                  <w:tcW w:w="1082" w:type="dxa"/>
                  <w:vAlign w:val="center"/>
                </w:tcPr>
                <w:p w14:paraId="4AC31611">
                  <w:pPr>
                    <w:widowControl/>
                    <w:adjustRightInd w:val="0"/>
                    <w:snapToGrid w:val="0"/>
                    <w:jc w:val="center"/>
                    <w:textAlignment w:val="center"/>
                    <w:rPr>
                      <w:rFonts w:hint="eastAsia" w:eastAsia="宋体"/>
                      <w:color w:val="auto"/>
                      <w:kern w:val="0"/>
                      <w:szCs w:val="21"/>
                      <w:lang w:eastAsia="zh-CN" w:bidi="ar"/>
                    </w:rPr>
                  </w:pPr>
                  <w:r>
                    <w:rPr>
                      <w:rFonts w:hint="eastAsia"/>
                      <w:color w:val="auto"/>
                      <w:kern w:val="0"/>
                      <w:szCs w:val="21"/>
                      <w:lang w:val="en-US" w:eastAsia="zh-CN" w:bidi="ar"/>
                    </w:rPr>
                    <w:t>拆包</w:t>
                  </w:r>
                </w:p>
              </w:tc>
              <w:tc>
                <w:tcPr>
                  <w:tcW w:w="703" w:type="dxa"/>
                  <w:vAlign w:val="center"/>
                </w:tcPr>
                <w:p w14:paraId="39325F38">
                  <w:pPr>
                    <w:widowControl/>
                    <w:adjustRightInd w:val="0"/>
                    <w:snapToGrid w:val="0"/>
                    <w:jc w:val="center"/>
                    <w:textAlignment w:val="center"/>
                    <w:rPr>
                      <w:color w:val="auto"/>
                      <w:kern w:val="0"/>
                      <w:szCs w:val="21"/>
                      <w:lang w:bidi="ar"/>
                    </w:rPr>
                  </w:pPr>
                  <w:r>
                    <w:rPr>
                      <w:color w:val="auto"/>
                      <w:kern w:val="0"/>
                      <w:szCs w:val="21"/>
                      <w:lang w:bidi="ar"/>
                    </w:rPr>
                    <w:t>固态</w:t>
                  </w:r>
                </w:p>
              </w:tc>
              <w:tc>
                <w:tcPr>
                  <w:tcW w:w="1425" w:type="dxa"/>
                  <w:vAlign w:val="center"/>
                </w:tcPr>
                <w:p w14:paraId="5C7BC767">
                  <w:pPr>
                    <w:widowControl/>
                    <w:adjustRightInd w:val="0"/>
                    <w:snapToGrid w:val="0"/>
                    <w:jc w:val="center"/>
                    <w:textAlignment w:val="center"/>
                    <w:rPr>
                      <w:rFonts w:hint="default" w:eastAsia="宋体"/>
                      <w:color w:val="auto"/>
                      <w:szCs w:val="21"/>
                      <w:lang w:val="en-US" w:eastAsia="zh-CN"/>
                    </w:rPr>
                  </w:pPr>
                  <w:r>
                    <w:rPr>
                      <w:rFonts w:hint="eastAsia"/>
                      <w:color w:val="auto"/>
                      <w:szCs w:val="21"/>
                      <w:lang w:val="en-US" w:eastAsia="zh-CN"/>
                    </w:rPr>
                    <w:t>塑料等</w:t>
                  </w:r>
                </w:p>
              </w:tc>
              <w:tc>
                <w:tcPr>
                  <w:tcW w:w="990" w:type="dxa"/>
                  <w:vAlign w:val="center"/>
                </w:tcPr>
                <w:p w14:paraId="139D8F04">
                  <w:pPr>
                    <w:widowControl/>
                    <w:adjustRightInd w:val="0"/>
                    <w:snapToGrid w:val="0"/>
                    <w:jc w:val="center"/>
                    <w:textAlignment w:val="center"/>
                    <w:rPr>
                      <w:rFonts w:hint="eastAsia" w:eastAsia="宋体"/>
                      <w:color w:val="auto"/>
                      <w:szCs w:val="21"/>
                      <w:lang w:eastAsia="zh-CN"/>
                    </w:rPr>
                  </w:pPr>
                  <w:r>
                    <w:rPr>
                      <w:rFonts w:hint="eastAsia"/>
                      <w:color w:val="auto"/>
                      <w:szCs w:val="21"/>
                      <w:lang w:val="en-US" w:eastAsia="zh-CN"/>
                    </w:rPr>
                    <w:t>1</w:t>
                  </w:r>
                </w:p>
              </w:tc>
              <w:tc>
                <w:tcPr>
                  <w:tcW w:w="915" w:type="dxa"/>
                  <w:vAlign w:val="center"/>
                </w:tcPr>
                <w:p w14:paraId="1E8442B4">
                  <w:pPr>
                    <w:widowControl/>
                    <w:adjustRightInd w:val="0"/>
                    <w:snapToGrid w:val="0"/>
                    <w:jc w:val="center"/>
                    <w:textAlignment w:val="center"/>
                    <w:rPr>
                      <w:color w:val="auto"/>
                      <w:kern w:val="0"/>
                      <w:szCs w:val="21"/>
                      <w:lang w:bidi="ar"/>
                    </w:rPr>
                  </w:pPr>
                  <w:r>
                    <w:rPr>
                      <w:color w:val="auto"/>
                      <w:kern w:val="0"/>
                      <w:szCs w:val="21"/>
                      <w:lang w:bidi="ar"/>
                    </w:rPr>
                    <w:t>是</w:t>
                  </w:r>
                </w:p>
              </w:tc>
              <w:tc>
                <w:tcPr>
                  <w:tcW w:w="705" w:type="dxa"/>
                  <w:vAlign w:val="center"/>
                </w:tcPr>
                <w:p w14:paraId="52FFBA59">
                  <w:pPr>
                    <w:widowControl/>
                    <w:adjustRightInd w:val="0"/>
                    <w:snapToGrid w:val="0"/>
                    <w:jc w:val="center"/>
                    <w:textAlignment w:val="center"/>
                    <w:rPr>
                      <w:color w:val="auto"/>
                      <w:kern w:val="0"/>
                      <w:szCs w:val="21"/>
                      <w:lang w:bidi="ar"/>
                    </w:rPr>
                  </w:pPr>
                  <w:r>
                    <w:rPr>
                      <w:color w:val="auto"/>
                      <w:kern w:val="0"/>
                      <w:szCs w:val="21"/>
                      <w:lang w:bidi="ar"/>
                    </w:rPr>
                    <w:t>/</w:t>
                  </w:r>
                </w:p>
              </w:tc>
              <w:tc>
                <w:tcPr>
                  <w:tcW w:w="878" w:type="dxa"/>
                  <w:vMerge w:val="continue"/>
                  <w:vAlign w:val="center"/>
                </w:tcPr>
                <w:p w14:paraId="379CC2B2">
                  <w:pPr>
                    <w:widowControl/>
                    <w:adjustRightInd w:val="0"/>
                    <w:snapToGrid w:val="0"/>
                    <w:jc w:val="center"/>
                    <w:textAlignment w:val="center"/>
                    <w:rPr>
                      <w:color w:val="auto"/>
                      <w:kern w:val="0"/>
                      <w:szCs w:val="21"/>
                      <w:lang w:bidi="ar"/>
                    </w:rPr>
                  </w:pPr>
                </w:p>
              </w:tc>
            </w:tr>
            <w:tr w14:paraId="2D6677E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79" w:type="dxa"/>
                  <w:vAlign w:val="center"/>
                </w:tcPr>
                <w:p w14:paraId="7A0462A7">
                  <w:pPr>
                    <w:pStyle w:val="10"/>
                    <w:spacing w:before="0" w:after="0" w:line="240" w:lineRule="auto"/>
                    <w:ind w:right="0"/>
                    <w:jc w:val="center"/>
                    <w:rPr>
                      <w:color w:val="auto"/>
                      <w:sz w:val="21"/>
                      <w:szCs w:val="21"/>
                    </w:rPr>
                  </w:pPr>
                  <w:r>
                    <w:rPr>
                      <w:color w:val="auto"/>
                      <w:sz w:val="21"/>
                      <w:szCs w:val="21"/>
                    </w:rPr>
                    <w:t>3</w:t>
                  </w:r>
                </w:p>
              </w:tc>
              <w:tc>
                <w:tcPr>
                  <w:tcW w:w="1255" w:type="dxa"/>
                  <w:vAlign w:val="center"/>
                </w:tcPr>
                <w:p w14:paraId="154997E2">
                  <w:pPr>
                    <w:pStyle w:val="107"/>
                    <w:spacing w:line="240" w:lineRule="auto"/>
                    <w:ind w:firstLine="0" w:firstLineChars="0"/>
                    <w:jc w:val="center"/>
                    <w:rPr>
                      <w:rFonts w:hint="eastAsia" w:eastAsia="宋体"/>
                      <w:color w:val="auto"/>
                      <w:sz w:val="21"/>
                      <w:szCs w:val="21"/>
                      <w:lang w:eastAsia="zh-CN"/>
                    </w:rPr>
                  </w:pPr>
                  <w:r>
                    <w:rPr>
                      <w:rFonts w:hint="eastAsia"/>
                      <w:color w:val="auto"/>
                      <w:sz w:val="21"/>
                      <w:szCs w:val="21"/>
                      <w:lang w:val="en-US" w:eastAsia="zh-CN"/>
                    </w:rPr>
                    <w:t>不合格品</w:t>
                  </w:r>
                </w:p>
              </w:tc>
              <w:tc>
                <w:tcPr>
                  <w:tcW w:w="1082" w:type="dxa"/>
                  <w:vAlign w:val="center"/>
                </w:tcPr>
                <w:p w14:paraId="43546C47">
                  <w:pPr>
                    <w:widowControl/>
                    <w:adjustRightInd w:val="0"/>
                    <w:snapToGrid w:val="0"/>
                    <w:jc w:val="center"/>
                    <w:textAlignment w:val="center"/>
                    <w:rPr>
                      <w:rFonts w:hint="eastAsia" w:eastAsia="宋体"/>
                      <w:color w:val="auto"/>
                      <w:kern w:val="0"/>
                      <w:szCs w:val="21"/>
                      <w:lang w:eastAsia="zh-CN" w:bidi="ar"/>
                    </w:rPr>
                  </w:pPr>
                  <w:r>
                    <w:rPr>
                      <w:rFonts w:hint="eastAsia"/>
                      <w:color w:val="auto"/>
                      <w:kern w:val="0"/>
                      <w:szCs w:val="21"/>
                      <w:lang w:val="en-US" w:eastAsia="zh-CN" w:bidi="ar"/>
                    </w:rPr>
                    <w:t>检验</w:t>
                  </w:r>
                </w:p>
              </w:tc>
              <w:tc>
                <w:tcPr>
                  <w:tcW w:w="703" w:type="dxa"/>
                  <w:vAlign w:val="center"/>
                </w:tcPr>
                <w:p w14:paraId="18CABBF5">
                  <w:pPr>
                    <w:widowControl/>
                    <w:adjustRightInd w:val="0"/>
                    <w:snapToGrid w:val="0"/>
                    <w:jc w:val="center"/>
                    <w:textAlignment w:val="center"/>
                    <w:rPr>
                      <w:color w:val="auto"/>
                      <w:kern w:val="0"/>
                      <w:szCs w:val="21"/>
                      <w:lang w:bidi="ar"/>
                    </w:rPr>
                  </w:pPr>
                  <w:r>
                    <w:rPr>
                      <w:color w:val="auto"/>
                      <w:kern w:val="0"/>
                      <w:szCs w:val="21"/>
                      <w:lang w:bidi="ar"/>
                    </w:rPr>
                    <w:t>固态</w:t>
                  </w:r>
                </w:p>
              </w:tc>
              <w:tc>
                <w:tcPr>
                  <w:tcW w:w="1425" w:type="dxa"/>
                  <w:vAlign w:val="center"/>
                </w:tcPr>
                <w:p w14:paraId="34996984">
                  <w:pPr>
                    <w:widowControl/>
                    <w:adjustRightInd w:val="0"/>
                    <w:snapToGrid w:val="0"/>
                    <w:jc w:val="center"/>
                    <w:textAlignment w:val="center"/>
                    <w:rPr>
                      <w:color w:val="auto"/>
                      <w:szCs w:val="21"/>
                    </w:rPr>
                  </w:pPr>
                  <w:r>
                    <w:rPr>
                      <w:rFonts w:hint="eastAsia"/>
                      <w:color w:val="auto"/>
                      <w:szCs w:val="21"/>
                    </w:rPr>
                    <w:t>玻璃</w:t>
                  </w:r>
                </w:p>
              </w:tc>
              <w:tc>
                <w:tcPr>
                  <w:tcW w:w="990" w:type="dxa"/>
                  <w:vAlign w:val="center"/>
                </w:tcPr>
                <w:p w14:paraId="7C71B9AD">
                  <w:pPr>
                    <w:widowControl/>
                    <w:adjustRightInd w:val="0"/>
                    <w:snapToGrid w:val="0"/>
                    <w:jc w:val="center"/>
                    <w:textAlignment w:val="center"/>
                    <w:rPr>
                      <w:rFonts w:hint="default" w:eastAsia="宋体"/>
                      <w:color w:val="auto"/>
                      <w:szCs w:val="21"/>
                      <w:lang w:val="en-US" w:eastAsia="zh-CN"/>
                    </w:rPr>
                  </w:pPr>
                  <w:r>
                    <w:rPr>
                      <w:rFonts w:hint="eastAsia"/>
                      <w:color w:val="auto"/>
                      <w:szCs w:val="21"/>
                      <w:lang w:val="en-US" w:eastAsia="zh-CN"/>
                    </w:rPr>
                    <w:t>10</w:t>
                  </w:r>
                </w:p>
              </w:tc>
              <w:tc>
                <w:tcPr>
                  <w:tcW w:w="915" w:type="dxa"/>
                  <w:vAlign w:val="center"/>
                </w:tcPr>
                <w:p w14:paraId="31ED220D">
                  <w:pPr>
                    <w:widowControl/>
                    <w:adjustRightInd w:val="0"/>
                    <w:snapToGrid w:val="0"/>
                    <w:jc w:val="center"/>
                    <w:textAlignment w:val="center"/>
                    <w:rPr>
                      <w:rFonts w:hint="eastAsia" w:eastAsia="宋体"/>
                      <w:color w:val="auto"/>
                      <w:kern w:val="0"/>
                      <w:szCs w:val="21"/>
                      <w:lang w:eastAsia="zh-CN" w:bidi="ar"/>
                    </w:rPr>
                  </w:pPr>
                  <w:r>
                    <w:rPr>
                      <w:rFonts w:hint="eastAsia"/>
                      <w:color w:val="auto"/>
                      <w:kern w:val="0"/>
                      <w:szCs w:val="21"/>
                      <w:lang w:val="en-US" w:eastAsia="zh-CN" w:bidi="ar"/>
                    </w:rPr>
                    <w:t>是</w:t>
                  </w:r>
                </w:p>
              </w:tc>
              <w:tc>
                <w:tcPr>
                  <w:tcW w:w="705" w:type="dxa"/>
                  <w:vAlign w:val="center"/>
                </w:tcPr>
                <w:p w14:paraId="71401E77">
                  <w:pPr>
                    <w:widowControl/>
                    <w:adjustRightInd w:val="0"/>
                    <w:snapToGrid w:val="0"/>
                    <w:jc w:val="center"/>
                    <w:textAlignment w:val="center"/>
                    <w:rPr>
                      <w:color w:val="auto"/>
                      <w:kern w:val="0"/>
                      <w:szCs w:val="21"/>
                      <w:lang w:bidi="ar"/>
                    </w:rPr>
                  </w:pPr>
                  <w:r>
                    <w:rPr>
                      <w:color w:val="auto"/>
                      <w:kern w:val="0"/>
                      <w:szCs w:val="21"/>
                      <w:lang w:bidi="ar"/>
                    </w:rPr>
                    <w:t>/</w:t>
                  </w:r>
                </w:p>
              </w:tc>
              <w:tc>
                <w:tcPr>
                  <w:tcW w:w="878" w:type="dxa"/>
                  <w:vMerge w:val="continue"/>
                  <w:vAlign w:val="center"/>
                </w:tcPr>
                <w:p w14:paraId="43DDC1F4">
                  <w:pPr>
                    <w:widowControl/>
                    <w:adjustRightInd w:val="0"/>
                    <w:snapToGrid w:val="0"/>
                    <w:jc w:val="center"/>
                    <w:textAlignment w:val="center"/>
                    <w:rPr>
                      <w:color w:val="auto"/>
                      <w:kern w:val="0"/>
                      <w:szCs w:val="21"/>
                      <w:lang w:bidi="ar"/>
                    </w:rPr>
                  </w:pPr>
                </w:p>
              </w:tc>
            </w:tr>
            <w:tr w14:paraId="529A4C0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79" w:type="dxa"/>
                  <w:vAlign w:val="center"/>
                </w:tcPr>
                <w:p w14:paraId="4F126641">
                  <w:pPr>
                    <w:pStyle w:val="10"/>
                    <w:spacing w:before="0" w:after="0" w:line="240" w:lineRule="auto"/>
                    <w:ind w:right="0"/>
                    <w:jc w:val="center"/>
                    <w:rPr>
                      <w:color w:val="auto"/>
                      <w:sz w:val="21"/>
                      <w:szCs w:val="21"/>
                    </w:rPr>
                  </w:pPr>
                  <w:r>
                    <w:rPr>
                      <w:rFonts w:hint="eastAsia"/>
                      <w:color w:val="auto"/>
                      <w:sz w:val="21"/>
                      <w:szCs w:val="21"/>
                    </w:rPr>
                    <w:t>4</w:t>
                  </w:r>
                </w:p>
              </w:tc>
              <w:tc>
                <w:tcPr>
                  <w:tcW w:w="1255" w:type="dxa"/>
                  <w:vAlign w:val="center"/>
                </w:tcPr>
                <w:p w14:paraId="0FE9B232">
                  <w:pPr>
                    <w:pStyle w:val="107"/>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废油墨桶</w:t>
                  </w:r>
                </w:p>
              </w:tc>
              <w:tc>
                <w:tcPr>
                  <w:tcW w:w="1082" w:type="dxa"/>
                  <w:vAlign w:val="center"/>
                </w:tcPr>
                <w:p w14:paraId="1365CED5">
                  <w:pPr>
                    <w:widowControl/>
                    <w:adjustRightInd w:val="0"/>
                    <w:snapToGrid w:val="0"/>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直印、移印、烫金</w:t>
                  </w:r>
                </w:p>
              </w:tc>
              <w:tc>
                <w:tcPr>
                  <w:tcW w:w="703" w:type="dxa"/>
                  <w:vAlign w:val="center"/>
                </w:tcPr>
                <w:p w14:paraId="43BC6A5D">
                  <w:pPr>
                    <w:widowControl/>
                    <w:adjustRightInd w:val="0"/>
                    <w:snapToGrid w:val="0"/>
                    <w:jc w:val="center"/>
                    <w:textAlignment w:val="center"/>
                    <w:rPr>
                      <w:color w:val="auto"/>
                      <w:kern w:val="0"/>
                      <w:szCs w:val="21"/>
                      <w:lang w:bidi="ar"/>
                    </w:rPr>
                  </w:pPr>
                  <w:r>
                    <w:rPr>
                      <w:color w:val="auto"/>
                      <w:kern w:val="0"/>
                      <w:szCs w:val="21"/>
                      <w:lang w:bidi="ar"/>
                    </w:rPr>
                    <w:t>固态</w:t>
                  </w:r>
                </w:p>
              </w:tc>
              <w:tc>
                <w:tcPr>
                  <w:tcW w:w="1425" w:type="dxa"/>
                  <w:vAlign w:val="center"/>
                </w:tcPr>
                <w:p w14:paraId="2E495956">
                  <w:pPr>
                    <w:widowControl/>
                    <w:adjustRightInd w:val="0"/>
                    <w:snapToGrid w:val="0"/>
                    <w:jc w:val="center"/>
                    <w:textAlignment w:val="center"/>
                    <w:rPr>
                      <w:rFonts w:hint="default" w:eastAsia="宋体"/>
                      <w:color w:val="auto"/>
                      <w:szCs w:val="21"/>
                      <w:lang w:val="en-US" w:eastAsia="zh-CN"/>
                    </w:rPr>
                  </w:pPr>
                  <w:r>
                    <w:rPr>
                      <w:rFonts w:hint="eastAsia"/>
                      <w:color w:val="auto"/>
                      <w:szCs w:val="21"/>
                      <w:lang w:val="en-US" w:eastAsia="zh-CN"/>
                    </w:rPr>
                    <w:t>塑料桶、油墨</w:t>
                  </w:r>
                </w:p>
              </w:tc>
              <w:tc>
                <w:tcPr>
                  <w:tcW w:w="990" w:type="dxa"/>
                  <w:vAlign w:val="center"/>
                </w:tcPr>
                <w:p w14:paraId="4EF51321">
                  <w:pPr>
                    <w:widowControl/>
                    <w:adjustRightInd w:val="0"/>
                    <w:snapToGrid w:val="0"/>
                    <w:jc w:val="center"/>
                    <w:textAlignment w:val="center"/>
                    <w:rPr>
                      <w:rFonts w:hint="default" w:eastAsia="宋体"/>
                      <w:color w:val="auto"/>
                      <w:szCs w:val="21"/>
                      <w:lang w:val="en-US" w:eastAsia="zh-CN"/>
                    </w:rPr>
                  </w:pPr>
                  <w:r>
                    <w:rPr>
                      <w:rFonts w:hint="eastAsia"/>
                      <w:color w:val="auto"/>
                      <w:szCs w:val="21"/>
                      <w:lang w:val="en-US" w:eastAsia="zh-CN"/>
                    </w:rPr>
                    <w:t>0.08</w:t>
                  </w:r>
                </w:p>
              </w:tc>
              <w:tc>
                <w:tcPr>
                  <w:tcW w:w="915" w:type="dxa"/>
                  <w:vAlign w:val="center"/>
                </w:tcPr>
                <w:p w14:paraId="2AEBBF7E">
                  <w:pPr>
                    <w:widowControl/>
                    <w:adjustRightInd w:val="0"/>
                    <w:snapToGrid w:val="0"/>
                    <w:jc w:val="center"/>
                    <w:textAlignment w:val="center"/>
                    <w:rPr>
                      <w:color w:val="auto"/>
                      <w:kern w:val="0"/>
                      <w:szCs w:val="21"/>
                      <w:lang w:bidi="ar"/>
                    </w:rPr>
                  </w:pPr>
                  <w:r>
                    <w:rPr>
                      <w:color w:val="auto"/>
                      <w:kern w:val="0"/>
                      <w:szCs w:val="21"/>
                      <w:lang w:bidi="ar"/>
                    </w:rPr>
                    <w:t>是</w:t>
                  </w:r>
                </w:p>
              </w:tc>
              <w:tc>
                <w:tcPr>
                  <w:tcW w:w="705" w:type="dxa"/>
                  <w:vAlign w:val="center"/>
                </w:tcPr>
                <w:p w14:paraId="311E0AD5">
                  <w:pPr>
                    <w:widowControl/>
                    <w:adjustRightInd w:val="0"/>
                    <w:snapToGrid w:val="0"/>
                    <w:jc w:val="center"/>
                    <w:textAlignment w:val="center"/>
                    <w:rPr>
                      <w:color w:val="auto"/>
                      <w:kern w:val="0"/>
                      <w:szCs w:val="21"/>
                      <w:lang w:bidi="ar"/>
                    </w:rPr>
                  </w:pPr>
                  <w:r>
                    <w:rPr>
                      <w:color w:val="auto"/>
                      <w:kern w:val="0"/>
                      <w:szCs w:val="21"/>
                      <w:lang w:bidi="ar"/>
                    </w:rPr>
                    <w:t>/</w:t>
                  </w:r>
                </w:p>
              </w:tc>
              <w:tc>
                <w:tcPr>
                  <w:tcW w:w="878" w:type="dxa"/>
                  <w:vMerge w:val="continue"/>
                  <w:vAlign w:val="center"/>
                </w:tcPr>
                <w:p w14:paraId="689260D9">
                  <w:pPr>
                    <w:widowControl/>
                    <w:adjustRightInd w:val="0"/>
                    <w:snapToGrid w:val="0"/>
                    <w:jc w:val="center"/>
                    <w:textAlignment w:val="center"/>
                    <w:rPr>
                      <w:color w:val="auto"/>
                      <w:kern w:val="0"/>
                      <w:szCs w:val="21"/>
                      <w:lang w:bidi="ar"/>
                    </w:rPr>
                  </w:pPr>
                </w:p>
              </w:tc>
            </w:tr>
            <w:tr w14:paraId="5B9E696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79" w:type="dxa"/>
                  <w:vAlign w:val="center"/>
                </w:tcPr>
                <w:p w14:paraId="0462C724">
                  <w:pPr>
                    <w:pStyle w:val="10"/>
                    <w:spacing w:before="0" w:after="0" w:line="240" w:lineRule="auto"/>
                    <w:ind w:right="0"/>
                    <w:jc w:val="center"/>
                    <w:rPr>
                      <w:color w:val="auto"/>
                      <w:sz w:val="21"/>
                      <w:szCs w:val="21"/>
                    </w:rPr>
                  </w:pPr>
                  <w:r>
                    <w:rPr>
                      <w:rFonts w:hint="eastAsia"/>
                      <w:color w:val="auto"/>
                      <w:sz w:val="21"/>
                      <w:szCs w:val="21"/>
                    </w:rPr>
                    <w:t>5</w:t>
                  </w:r>
                </w:p>
              </w:tc>
              <w:tc>
                <w:tcPr>
                  <w:tcW w:w="1255" w:type="dxa"/>
                  <w:vAlign w:val="center"/>
                </w:tcPr>
                <w:p w14:paraId="5C7E5E75">
                  <w:pPr>
                    <w:pStyle w:val="107"/>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废抹布、手套</w:t>
                  </w:r>
                </w:p>
              </w:tc>
              <w:tc>
                <w:tcPr>
                  <w:tcW w:w="1082" w:type="dxa"/>
                  <w:vAlign w:val="center"/>
                </w:tcPr>
                <w:p w14:paraId="76FA990D">
                  <w:pPr>
                    <w:widowControl/>
                    <w:adjustRightInd w:val="0"/>
                    <w:snapToGrid w:val="0"/>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设备清洁</w:t>
                  </w:r>
                </w:p>
              </w:tc>
              <w:tc>
                <w:tcPr>
                  <w:tcW w:w="703" w:type="dxa"/>
                  <w:vAlign w:val="center"/>
                </w:tcPr>
                <w:p w14:paraId="06CE6CCE">
                  <w:pPr>
                    <w:widowControl/>
                    <w:adjustRightInd w:val="0"/>
                    <w:snapToGrid w:val="0"/>
                    <w:jc w:val="center"/>
                    <w:textAlignment w:val="center"/>
                    <w:rPr>
                      <w:rFonts w:hint="eastAsia" w:eastAsia="宋体"/>
                      <w:color w:val="auto"/>
                      <w:kern w:val="0"/>
                      <w:szCs w:val="21"/>
                      <w:lang w:eastAsia="zh-CN" w:bidi="ar"/>
                    </w:rPr>
                  </w:pPr>
                  <w:r>
                    <w:rPr>
                      <w:rFonts w:hint="eastAsia"/>
                      <w:color w:val="auto"/>
                      <w:kern w:val="0"/>
                      <w:szCs w:val="21"/>
                      <w:lang w:val="en-US" w:eastAsia="zh-CN" w:bidi="ar"/>
                    </w:rPr>
                    <w:t>固态</w:t>
                  </w:r>
                </w:p>
              </w:tc>
              <w:tc>
                <w:tcPr>
                  <w:tcW w:w="1425" w:type="dxa"/>
                  <w:vAlign w:val="center"/>
                </w:tcPr>
                <w:p w14:paraId="3830CFA9">
                  <w:pPr>
                    <w:widowControl/>
                    <w:adjustRightInd w:val="0"/>
                    <w:snapToGrid w:val="0"/>
                    <w:jc w:val="center"/>
                    <w:textAlignment w:val="center"/>
                    <w:rPr>
                      <w:rFonts w:hint="default" w:eastAsia="宋体"/>
                      <w:color w:val="auto"/>
                      <w:szCs w:val="21"/>
                      <w:lang w:val="en-US" w:eastAsia="zh-CN"/>
                    </w:rPr>
                  </w:pPr>
                  <w:r>
                    <w:rPr>
                      <w:rFonts w:hint="eastAsia"/>
                      <w:color w:val="auto"/>
                      <w:szCs w:val="21"/>
                      <w:lang w:val="en-US" w:eastAsia="zh-CN"/>
                    </w:rPr>
                    <w:t>布、油墨</w:t>
                  </w:r>
                </w:p>
              </w:tc>
              <w:tc>
                <w:tcPr>
                  <w:tcW w:w="990" w:type="dxa"/>
                  <w:vAlign w:val="center"/>
                </w:tcPr>
                <w:p w14:paraId="439B6268">
                  <w:pPr>
                    <w:widowControl/>
                    <w:adjustRightInd w:val="0"/>
                    <w:snapToGrid w:val="0"/>
                    <w:jc w:val="center"/>
                    <w:textAlignment w:val="center"/>
                    <w:rPr>
                      <w:rFonts w:hint="default" w:eastAsia="宋体"/>
                      <w:color w:val="auto"/>
                      <w:szCs w:val="21"/>
                      <w:lang w:val="en-US" w:eastAsia="zh-CN"/>
                    </w:rPr>
                  </w:pPr>
                  <w:r>
                    <w:rPr>
                      <w:rFonts w:hint="eastAsia"/>
                      <w:color w:val="auto"/>
                      <w:szCs w:val="21"/>
                    </w:rPr>
                    <w:t>0.</w:t>
                  </w:r>
                  <w:r>
                    <w:rPr>
                      <w:rFonts w:hint="eastAsia"/>
                      <w:color w:val="auto"/>
                      <w:szCs w:val="21"/>
                      <w:lang w:val="en-US" w:eastAsia="zh-CN"/>
                    </w:rPr>
                    <w:t>002</w:t>
                  </w:r>
                </w:p>
              </w:tc>
              <w:tc>
                <w:tcPr>
                  <w:tcW w:w="915" w:type="dxa"/>
                  <w:vAlign w:val="center"/>
                </w:tcPr>
                <w:p w14:paraId="3B1B0BB8">
                  <w:pPr>
                    <w:widowControl/>
                    <w:adjustRightInd w:val="0"/>
                    <w:snapToGrid w:val="0"/>
                    <w:jc w:val="center"/>
                    <w:textAlignment w:val="center"/>
                    <w:rPr>
                      <w:color w:val="auto"/>
                      <w:kern w:val="0"/>
                      <w:szCs w:val="21"/>
                      <w:lang w:bidi="ar"/>
                    </w:rPr>
                  </w:pPr>
                  <w:r>
                    <w:rPr>
                      <w:color w:val="auto"/>
                      <w:kern w:val="0"/>
                      <w:szCs w:val="21"/>
                      <w:lang w:bidi="ar"/>
                    </w:rPr>
                    <w:t>是</w:t>
                  </w:r>
                </w:p>
              </w:tc>
              <w:tc>
                <w:tcPr>
                  <w:tcW w:w="705" w:type="dxa"/>
                  <w:vAlign w:val="center"/>
                </w:tcPr>
                <w:p w14:paraId="179D66D1">
                  <w:pPr>
                    <w:widowControl/>
                    <w:adjustRightInd w:val="0"/>
                    <w:snapToGrid w:val="0"/>
                    <w:jc w:val="center"/>
                    <w:textAlignment w:val="center"/>
                    <w:rPr>
                      <w:color w:val="auto"/>
                      <w:kern w:val="0"/>
                      <w:szCs w:val="21"/>
                      <w:lang w:bidi="ar"/>
                    </w:rPr>
                  </w:pPr>
                  <w:r>
                    <w:rPr>
                      <w:color w:val="auto"/>
                      <w:kern w:val="0"/>
                      <w:szCs w:val="21"/>
                      <w:lang w:bidi="ar"/>
                    </w:rPr>
                    <w:t>/</w:t>
                  </w:r>
                </w:p>
              </w:tc>
              <w:tc>
                <w:tcPr>
                  <w:tcW w:w="878" w:type="dxa"/>
                  <w:vMerge w:val="continue"/>
                  <w:vAlign w:val="center"/>
                </w:tcPr>
                <w:p w14:paraId="0C7E12A8">
                  <w:pPr>
                    <w:widowControl/>
                    <w:adjustRightInd w:val="0"/>
                    <w:snapToGrid w:val="0"/>
                    <w:jc w:val="center"/>
                    <w:textAlignment w:val="center"/>
                    <w:rPr>
                      <w:color w:val="auto"/>
                      <w:kern w:val="0"/>
                      <w:szCs w:val="21"/>
                      <w:lang w:bidi="ar"/>
                    </w:rPr>
                  </w:pPr>
                </w:p>
              </w:tc>
            </w:tr>
            <w:tr w14:paraId="45B0C00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79" w:type="dxa"/>
                  <w:vAlign w:val="center"/>
                </w:tcPr>
                <w:p w14:paraId="11EE7E91">
                  <w:pPr>
                    <w:pStyle w:val="10"/>
                    <w:spacing w:before="0" w:after="0" w:line="240" w:lineRule="auto"/>
                    <w:ind w:right="0"/>
                    <w:jc w:val="center"/>
                    <w:rPr>
                      <w:rFonts w:hint="eastAsia" w:eastAsia="宋体"/>
                      <w:color w:val="auto"/>
                      <w:sz w:val="21"/>
                      <w:szCs w:val="21"/>
                      <w:lang w:val="en-US" w:eastAsia="zh-CN"/>
                    </w:rPr>
                  </w:pPr>
                  <w:r>
                    <w:rPr>
                      <w:rFonts w:hint="eastAsia"/>
                      <w:color w:val="auto"/>
                      <w:sz w:val="21"/>
                      <w:szCs w:val="21"/>
                      <w:lang w:val="en-US" w:eastAsia="zh-CN"/>
                    </w:rPr>
                    <w:t>6</w:t>
                  </w:r>
                </w:p>
              </w:tc>
              <w:tc>
                <w:tcPr>
                  <w:tcW w:w="1255" w:type="dxa"/>
                  <w:vAlign w:val="center"/>
                </w:tcPr>
                <w:p w14:paraId="14F0D13C">
                  <w:pPr>
                    <w:pStyle w:val="107"/>
                    <w:spacing w:line="240" w:lineRule="auto"/>
                    <w:ind w:firstLine="0" w:firstLineChars="0"/>
                    <w:jc w:val="center"/>
                    <w:rPr>
                      <w:rFonts w:hint="eastAsia"/>
                      <w:color w:val="auto"/>
                      <w:sz w:val="21"/>
                      <w:szCs w:val="21"/>
                    </w:rPr>
                  </w:pPr>
                  <w:r>
                    <w:rPr>
                      <w:rFonts w:hint="eastAsia" w:cs="Times New Roman"/>
                      <w:color w:val="auto"/>
                      <w:kern w:val="24"/>
                      <w:sz w:val="21"/>
                      <w:szCs w:val="21"/>
                      <w:lang w:val="en-US" w:eastAsia="zh-CN" w:bidi="ar-SA"/>
                    </w:rPr>
                    <w:t>空酸桶</w:t>
                  </w:r>
                </w:p>
              </w:tc>
              <w:tc>
                <w:tcPr>
                  <w:tcW w:w="1082" w:type="dxa"/>
                  <w:vAlign w:val="center"/>
                </w:tcPr>
                <w:p w14:paraId="73950FE1">
                  <w:pPr>
                    <w:widowControl/>
                    <w:adjustRightInd w:val="0"/>
                    <w:snapToGrid w:val="0"/>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清洗</w:t>
                  </w:r>
                </w:p>
              </w:tc>
              <w:tc>
                <w:tcPr>
                  <w:tcW w:w="703" w:type="dxa"/>
                  <w:vAlign w:val="center"/>
                </w:tcPr>
                <w:p w14:paraId="670E2EF1">
                  <w:pPr>
                    <w:widowControl/>
                    <w:adjustRightInd w:val="0"/>
                    <w:snapToGrid w:val="0"/>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固态</w:t>
                  </w:r>
                </w:p>
              </w:tc>
              <w:tc>
                <w:tcPr>
                  <w:tcW w:w="1425" w:type="dxa"/>
                  <w:vAlign w:val="center"/>
                </w:tcPr>
                <w:p w14:paraId="15140C8D">
                  <w:pPr>
                    <w:widowControl/>
                    <w:adjustRightInd w:val="0"/>
                    <w:snapToGrid w:val="0"/>
                    <w:jc w:val="center"/>
                    <w:textAlignment w:val="center"/>
                    <w:rPr>
                      <w:rFonts w:hint="default" w:eastAsia="宋体"/>
                      <w:color w:val="auto"/>
                      <w:szCs w:val="21"/>
                      <w:lang w:val="en-US" w:eastAsia="zh-CN"/>
                    </w:rPr>
                  </w:pPr>
                  <w:r>
                    <w:rPr>
                      <w:rFonts w:hint="eastAsia"/>
                      <w:color w:val="auto"/>
                      <w:szCs w:val="21"/>
                      <w:lang w:val="en-US" w:eastAsia="zh-CN"/>
                    </w:rPr>
                    <w:t>塑料桶、氢氟酸</w:t>
                  </w:r>
                </w:p>
              </w:tc>
              <w:tc>
                <w:tcPr>
                  <w:tcW w:w="990" w:type="dxa"/>
                  <w:vAlign w:val="center"/>
                </w:tcPr>
                <w:p w14:paraId="4D334052">
                  <w:pPr>
                    <w:widowControl/>
                    <w:adjustRightInd w:val="0"/>
                    <w:snapToGrid w:val="0"/>
                    <w:jc w:val="center"/>
                    <w:textAlignment w:val="center"/>
                    <w:rPr>
                      <w:rFonts w:hint="default" w:eastAsia="宋体"/>
                      <w:color w:val="auto"/>
                      <w:szCs w:val="21"/>
                      <w:lang w:val="en-US" w:eastAsia="zh-CN"/>
                    </w:rPr>
                  </w:pPr>
                  <w:r>
                    <w:rPr>
                      <w:rFonts w:hint="eastAsia"/>
                      <w:color w:val="auto"/>
                      <w:szCs w:val="21"/>
                      <w:lang w:val="en-US" w:eastAsia="zh-CN"/>
                    </w:rPr>
                    <w:t>0.1</w:t>
                  </w:r>
                </w:p>
              </w:tc>
              <w:tc>
                <w:tcPr>
                  <w:tcW w:w="915" w:type="dxa"/>
                  <w:vAlign w:val="center"/>
                </w:tcPr>
                <w:p w14:paraId="4DB32984">
                  <w:pPr>
                    <w:widowControl/>
                    <w:adjustRightInd w:val="0"/>
                    <w:snapToGrid w:val="0"/>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w:t>
                  </w:r>
                </w:p>
              </w:tc>
              <w:tc>
                <w:tcPr>
                  <w:tcW w:w="705" w:type="dxa"/>
                  <w:vAlign w:val="center"/>
                </w:tcPr>
                <w:p w14:paraId="5CED1029">
                  <w:pPr>
                    <w:widowControl/>
                    <w:adjustRightInd w:val="0"/>
                    <w:snapToGrid w:val="0"/>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w:t>
                  </w:r>
                </w:p>
              </w:tc>
              <w:tc>
                <w:tcPr>
                  <w:tcW w:w="878" w:type="dxa"/>
                  <w:vMerge w:val="continue"/>
                  <w:vAlign w:val="center"/>
                </w:tcPr>
                <w:p w14:paraId="0673C8C7">
                  <w:pPr>
                    <w:widowControl/>
                    <w:adjustRightInd w:val="0"/>
                    <w:snapToGrid w:val="0"/>
                    <w:jc w:val="center"/>
                    <w:textAlignment w:val="center"/>
                    <w:rPr>
                      <w:color w:val="auto"/>
                      <w:kern w:val="0"/>
                      <w:szCs w:val="21"/>
                      <w:lang w:bidi="ar"/>
                    </w:rPr>
                  </w:pPr>
                </w:p>
              </w:tc>
            </w:tr>
            <w:tr w14:paraId="791816F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79" w:type="dxa"/>
                  <w:vAlign w:val="center"/>
                </w:tcPr>
                <w:p w14:paraId="1CB8ABB5">
                  <w:pPr>
                    <w:pStyle w:val="10"/>
                    <w:spacing w:before="0" w:after="0" w:line="240" w:lineRule="auto"/>
                    <w:ind w:right="0"/>
                    <w:jc w:val="center"/>
                    <w:rPr>
                      <w:rFonts w:hint="default"/>
                      <w:color w:val="auto"/>
                      <w:sz w:val="21"/>
                      <w:szCs w:val="21"/>
                      <w:lang w:val="en-US" w:eastAsia="zh-CN"/>
                    </w:rPr>
                  </w:pPr>
                  <w:r>
                    <w:rPr>
                      <w:rFonts w:hint="eastAsia"/>
                      <w:color w:val="auto"/>
                      <w:sz w:val="21"/>
                      <w:szCs w:val="21"/>
                      <w:lang w:val="en-US" w:eastAsia="zh-CN"/>
                    </w:rPr>
                    <w:t>7</w:t>
                  </w:r>
                </w:p>
              </w:tc>
              <w:tc>
                <w:tcPr>
                  <w:tcW w:w="1255" w:type="dxa"/>
                  <w:vAlign w:val="center"/>
                </w:tcPr>
                <w:p w14:paraId="2C9B8444">
                  <w:pPr>
                    <w:pStyle w:val="107"/>
                    <w:spacing w:line="240" w:lineRule="auto"/>
                    <w:ind w:firstLine="0" w:firstLineChars="0"/>
                    <w:jc w:val="center"/>
                    <w:rPr>
                      <w:rFonts w:hint="default" w:cs="Times New Roman"/>
                      <w:color w:val="auto"/>
                      <w:kern w:val="24"/>
                      <w:sz w:val="21"/>
                      <w:szCs w:val="21"/>
                      <w:lang w:val="en-US" w:eastAsia="zh-CN" w:bidi="ar-SA"/>
                    </w:rPr>
                  </w:pPr>
                  <w:r>
                    <w:rPr>
                      <w:rFonts w:hint="eastAsia" w:cs="Times New Roman"/>
                      <w:color w:val="auto"/>
                      <w:kern w:val="24"/>
                      <w:sz w:val="21"/>
                      <w:szCs w:val="21"/>
                      <w:lang w:val="en-US" w:eastAsia="zh-CN" w:bidi="ar-SA"/>
                    </w:rPr>
                    <w:t>含氟污泥</w:t>
                  </w:r>
                </w:p>
              </w:tc>
              <w:tc>
                <w:tcPr>
                  <w:tcW w:w="1082" w:type="dxa"/>
                  <w:vAlign w:val="center"/>
                </w:tcPr>
                <w:p w14:paraId="5A815343">
                  <w:pPr>
                    <w:widowControl/>
                    <w:adjustRightInd w:val="0"/>
                    <w:snapToGrid w:val="0"/>
                    <w:jc w:val="center"/>
                    <w:textAlignment w:val="center"/>
                    <w:rPr>
                      <w:rFonts w:hint="default"/>
                      <w:color w:val="auto"/>
                      <w:kern w:val="0"/>
                      <w:szCs w:val="21"/>
                      <w:lang w:val="en-US" w:eastAsia="zh-CN" w:bidi="ar"/>
                    </w:rPr>
                  </w:pPr>
                  <w:r>
                    <w:rPr>
                      <w:rFonts w:hint="eastAsia"/>
                      <w:color w:val="auto"/>
                      <w:kern w:val="0"/>
                      <w:szCs w:val="21"/>
                      <w:lang w:val="en-US" w:eastAsia="zh-CN" w:bidi="ar"/>
                    </w:rPr>
                    <w:t>废水处理</w:t>
                  </w:r>
                </w:p>
              </w:tc>
              <w:tc>
                <w:tcPr>
                  <w:tcW w:w="703" w:type="dxa"/>
                  <w:vAlign w:val="center"/>
                </w:tcPr>
                <w:p w14:paraId="15FE3B41">
                  <w:pPr>
                    <w:widowControl/>
                    <w:adjustRightInd w:val="0"/>
                    <w:snapToGrid w:val="0"/>
                    <w:jc w:val="center"/>
                    <w:textAlignment w:val="center"/>
                    <w:rPr>
                      <w:rFonts w:hint="default"/>
                      <w:color w:val="auto"/>
                      <w:kern w:val="0"/>
                      <w:szCs w:val="21"/>
                      <w:lang w:val="en-US" w:eastAsia="zh-CN" w:bidi="ar"/>
                    </w:rPr>
                  </w:pPr>
                  <w:r>
                    <w:rPr>
                      <w:rFonts w:hint="eastAsia"/>
                      <w:color w:val="auto"/>
                      <w:kern w:val="0"/>
                      <w:szCs w:val="21"/>
                      <w:lang w:val="en-US" w:eastAsia="zh-CN" w:bidi="ar"/>
                    </w:rPr>
                    <w:t>半固态</w:t>
                  </w:r>
                </w:p>
              </w:tc>
              <w:tc>
                <w:tcPr>
                  <w:tcW w:w="1425" w:type="dxa"/>
                  <w:vAlign w:val="center"/>
                </w:tcPr>
                <w:p w14:paraId="6050AE1F">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污泥、氟化物</w:t>
                  </w:r>
                </w:p>
              </w:tc>
              <w:tc>
                <w:tcPr>
                  <w:tcW w:w="990" w:type="dxa"/>
                  <w:vAlign w:val="center"/>
                </w:tcPr>
                <w:p w14:paraId="0932C124">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5</w:t>
                  </w:r>
                </w:p>
              </w:tc>
              <w:tc>
                <w:tcPr>
                  <w:tcW w:w="915" w:type="dxa"/>
                  <w:shd w:val="clear" w:color="auto" w:fill="auto"/>
                  <w:vAlign w:val="center"/>
                </w:tcPr>
                <w:p w14:paraId="0DFCCBB7">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color w:val="auto"/>
                      <w:kern w:val="0"/>
                      <w:szCs w:val="21"/>
                      <w:lang w:bidi="ar"/>
                    </w:rPr>
                    <w:t>是</w:t>
                  </w:r>
                </w:p>
              </w:tc>
              <w:tc>
                <w:tcPr>
                  <w:tcW w:w="705" w:type="dxa"/>
                  <w:shd w:val="clear" w:color="auto" w:fill="auto"/>
                  <w:vAlign w:val="center"/>
                </w:tcPr>
                <w:p w14:paraId="1711019D">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color w:val="auto"/>
                      <w:kern w:val="0"/>
                      <w:szCs w:val="21"/>
                      <w:lang w:bidi="ar"/>
                    </w:rPr>
                    <w:t>/</w:t>
                  </w:r>
                </w:p>
              </w:tc>
              <w:tc>
                <w:tcPr>
                  <w:tcW w:w="878" w:type="dxa"/>
                  <w:vMerge w:val="continue"/>
                  <w:vAlign w:val="center"/>
                </w:tcPr>
                <w:p w14:paraId="68A2103E">
                  <w:pPr>
                    <w:widowControl/>
                    <w:adjustRightInd w:val="0"/>
                    <w:snapToGrid w:val="0"/>
                    <w:jc w:val="center"/>
                    <w:textAlignment w:val="center"/>
                    <w:rPr>
                      <w:color w:val="auto"/>
                      <w:kern w:val="0"/>
                      <w:szCs w:val="21"/>
                      <w:lang w:bidi="ar"/>
                    </w:rPr>
                  </w:pPr>
                </w:p>
              </w:tc>
            </w:tr>
            <w:tr w14:paraId="190FB85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79" w:type="dxa"/>
                  <w:vAlign w:val="center"/>
                </w:tcPr>
                <w:p w14:paraId="38C7EC0B">
                  <w:pPr>
                    <w:pStyle w:val="10"/>
                    <w:spacing w:before="0" w:after="0" w:line="240" w:lineRule="auto"/>
                    <w:ind w:right="0"/>
                    <w:jc w:val="center"/>
                    <w:rPr>
                      <w:rFonts w:hint="default"/>
                      <w:color w:val="auto"/>
                      <w:sz w:val="21"/>
                      <w:szCs w:val="21"/>
                      <w:lang w:val="en-US" w:eastAsia="zh-CN"/>
                    </w:rPr>
                  </w:pPr>
                  <w:r>
                    <w:rPr>
                      <w:rFonts w:hint="eastAsia"/>
                      <w:color w:val="auto"/>
                      <w:sz w:val="21"/>
                      <w:szCs w:val="21"/>
                      <w:lang w:val="en-US" w:eastAsia="zh-CN"/>
                    </w:rPr>
                    <w:t>8</w:t>
                  </w:r>
                </w:p>
              </w:tc>
              <w:tc>
                <w:tcPr>
                  <w:tcW w:w="1255" w:type="dxa"/>
                  <w:vAlign w:val="center"/>
                </w:tcPr>
                <w:p w14:paraId="071A9624">
                  <w:pPr>
                    <w:pStyle w:val="107"/>
                    <w:spacing w:line="240" w:lineRule="auto"/>
                    <w:ind w:firstLine="0" w:firstLineChars="0"/>
                    <w:jc w:val="center"/>
                    <w:rPr>
                      <w:rFonts w:hint="default" w:cs="Times New Roman"/>
                      <w:color w:val="auto"/>
                      <w:kern w:val="24"/>
                      <w:sz w:val="21"/>
                      <w:szCs w:val="21"/>
                      <w:lang w:val="en-US" w:eastAsia="zh-CN" w:bidi="ar-SA"/>
                    </w:rPr>
                  </w:pPr>
                  <w:r>
                    <w:rPr>
                      <w:rFonts w:hint="eastAsia" w:cs="Times New Roman"/>
                      <w:color w:val="auto"/>
                      <w:kern w:val="24"/>
                      <w:sz w:val="21"/>
                      <w:szCs w:val="21"/>
                      <w:lang w:val="en-US" w:eastAsia="zh-CN" w:bidi="ar-SA"/>
                    </w:rPr>
                    <w:t>废石英砂</w:t>
                  </w:r>
                </w:p>
              </w:tc>
              <w:tc>
                <w:tcPr>
                  <w:tcW w:w="1082" w:type="dxa"/>
                  <w:vAlign w:val="center"/>
                </w:tcPr>
                <w:p w14:paraId="73257642">
                  <w:pPr>
                    <w:widowControl/>
                    <w:adjustRightInd w:val="0"/>
                    <w:snapToGrid w:val="0"/>
                    <w:jc w:val="center"/>
                    <w:textAlignment w:val="center"/>
                    <w:rPr>
                      <w:rFonts w:hint="eastAsia"/>
                      <w:color w:val="auto"/>
                      <w:kern w:val="0"/>
                      <w:szCs w:val="21"/>
                      <w:lang w:val="en-US" w:eastAsia="zh-CN" w:bidi="ar"/>
                    </w:rPr>
                  </w:pPr>
                  <w:r>
                    <w:rPr>
                      <w:rFonts w:hint="eastAsia"/>
                      <w:color w:val="auto"/>
                      <w:kern w:val="0"/>
                      <w:szCs w:val="21"/>
                      <w:lang w:val="en-US" w:eastAsia="zh-CN" w:bidi="ar"/>
                    </w:rPr>
                    <w:t>废水处理</w:t>
                  </w:r>
                </w:p>
              </w:tc>
              <w:tc>
                <w:tcPr>
                  <w:tcW w:w="703" w:type="dxa"/>
                  <w:vAlign w:val="center"/>
                </w:tcPr>
                <w:p w14:paraId="73614BB7">
                  <w:pPr>
                    <w:widowControl/>
                    <w:adjustRightInd w:val="0"/>
                    <w:snapToGrid w:val="0"/>
                    <w:jc w:val="center"/>
                    <w:textAlignment w:val="center"/>
                    <w:rPr>
                      <w:rFonts w:hint="default"/>
                      <w:color w:val="auto"/>
                      <w:kern w:val="0"/>
                      <w:szCs w:val="21"/>
                      <w:lang w:val="en-US" w:eastAsia="zh-CN" w:bidi="ar"/>
                    </w:rPr>
                  </w:pPr>
                  <w:r>
                    <w:rPr>
                      <w:rFonts w:hint="eastAsia"/>
                      <w:color w:val="auto"/>
                      <w:kern w:val="0"/>
                      <w:szCs w:val="21"/>
                      <w:lang w:val="en-US" w:eastAsia="zh-CN" w:bidi="ar"/>
                    </w:rPr>
                    <w:t>固态</w:t>
                  </w:r>
                </w:p>
              </w:tc>
              <w:tc>
                <w:tcPr>
                  <w:tcW w:w="1425" w:type="dxa"/>
                  <w:vAlign w:val="center"/>
                </w:tcPr>
                <w:p w14:paraId="2E638EEA">
                  <w:pPr>
                    <w:widowControl/>
                    <w:adjustRightInd w:val="0"/>
                    <w:snapToGrid w:val="0"/>
                    <w:jc w:val="center"/>
                    <w:textAlignment w:val="center"/>
                    <w:rPr>
                      <w:rFonts w:hint="default"/>
                      <w:color w:val="auto"/>
                      <w:szCs w:val="21"/>
                      <w:lang w:val="en-US" w:eastAsia="zh-CN"/>
                    </w:rPr>
                  </w:pPr>
                  <w:r>
                    <w:rPr>
                      <w:rFonts w:hint="eastAsia"/>
                      <w:color w:val="auto"/>
                      <w:kern w:val="0"/>
                      <w:sz w:val="21"/>
                      <w:szCs w:val="21"/>
                      <w:lang w:val="en-US" w:eastAsia="zh-CN" w:bidi="ar-SA"/>
                    </w:rPr>
                    <w:t>石英砂、有机物</w:t>
                  </w:r>
                </w:p>
              </w:tc>
              <w:tc>
                <w:tcPr>
                  <w:tcW w:w="990" w:type="dxa"/>
                  <w:vAlign w:val="center"/>
                </w:tcPr>
                <w:p w14:paraId="020DA002">
                  <w:pPr>
                    <w:widowControl/>
                    <w:adjustRightInd w:val="0"/>
                    <w:snapToGrid w:val="0"/>
                    <w:jc w:val="center"/>
                    <w:textAlignment w:val="center"/>
                    <w:rPr>
                      <w:rFonts w:hint="default"/>
                      <w:color w:val="auto"/>
                      <w:szCs w:val="21"/>
                      <w:lang w:val="en-US" w:eastAsia="zh-CN"/>
                    </w:rPr>
                  </w:pPr>
                  <w:r>
                    <w:rPr>
                      <w:rFonts w:hint="eastAsia" w:cs="Times New Roman"/>
                      <w:color w:val="auto"/>
                      <w:szCs w:val="21"/>
                      <w:lang w:val="en-US" w:eastAsia="zh-CN"/>
                    </w:rPr>
                    <w:t>0.5</w:t>
                  </w:r>
                  <w:r>
                    <w:rPr>
                      <w:rFonts w:hint="default" w:ascii="Times New Roman" w:hAnsi="Times New Roman" w:cs="Times New Roman"/>
                      <w:color w:val="auto"/>
                      <w:szCs w:val="21"/>
                      <w:lang w:val="en-US" w:eastAsia="zh-CN"/>
                    </w:rPr>
                    <w:t>t/</w:t>
                  </w:r>
                  <w:r>
                    <w:rPr>
                      <w:rFonts w:hint="eastAsia" w:cs="Times New Roman"/>
                      <w:color w:val="auto"/>
                      <w:szCs w:val="21"/>
                      <w:lang w:val="en-US" w:eastAsia="zh-CN"/>
                    </w:rPr>
                    <w:t>3</w:t>
                  </w:r>
                  <w:r>
                    <w:rPr>
                      <w:rFonts w:hint="default" w:ascii="Times New Roman" w:hAnsi="Times New Roman" w:cs="Times New Roman"/>
                      <w:color w:val="auto"/>
                      <w:szCs w:val="21"/>
                      <w:lang w:val="en-US" w:eastAsia="zh-CN"/>
                    </w:rPr>
                    <w:t>a</w:t>
                  </w:r>
                </w:p>
              </w:tc>
              <w:tc>
                <w:tcPr>
                  <w:tcW w:w="915" w:type="dxa"/>
                  <w:shd w:val="clear" w:color="auto" w:fill="auto"/>
                  <w:vAlign w:val="center"/>
                </w:tcPr>
                <w:p w14:paraId="5E7016EE">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color w:val="auto"/>
                      <w:kern w:val="0"/>
                      <w:szCs w:val="21"/>
                      <w:lang w:bidi="ar"/>
                    </w:rPr>
                    <w:t>是</w:t>
                  </w:r>
                </w:p>
              </w:tc>
              <w:tc>
                <w:tcPr>
                  <w:tcW w:w="705" w:type="dxa"/>
                  <w:shd w:val="clear" w:color="auto" w:fill="auto"/>
                  <w:vAlign w:val="center"/>
                </w:tcPr>
                <w:p w14:paraId="2EA67C30">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color w:val="auto"/>
                      <w:kern w:val="0"/>
                      <w:szCs w:val="21"/>
                      <w:lang w:bidi="ar"/>
                    </w:rPr>
                    <w:t>/</w:t>
                  </w:r>
                </w:p>
              </w:tc>
              <w:tc>
                <w:tcPr>
                  <w:tcW w:w="878" w:type="dxa"/>
                  <w:vMerge w:val="continue"/>
                  <w:vAlign w:val="center"/>
                </w:tcPr>
                <w:p w14:paraId="0B18F08F">
                  <w:pPr>
                    <w:widowControl/>
                    <w:adjustRightInd w:val="0"/>
                    <w:snapToGrid w:val="0"/>
                    <w:jc w:val="center"/>
                    <w:textAlignment w:val="center"/>
                    <w:rPr>
                      <w:color w:val="auto"/>
                      <w:kern w:val="0"/>
                      <w:szCs w:val="21"/>
                      <w:lang w:bidi="ar"/>
                    </w:rPr>
                  </w:pPr>
                </w:p>
              </w:tc>
            </w:tr>
            <w:tr w14:paraId="7284A10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79" w:type="dxa"/>
                  <w:vAlign w:val="center"/>
                </w:tcPr>
                <w:p w14:paraId="2A2A2DCC">
                  <w:pPr>
                    <w:pStyle w:val="10"/>
                    <w:spacing w:before="0" w:after="0" w:line="240" w:lineRule="auto"/>
                    <w:ind w:right="0"/>
                    <w:jc w:val="center"/>
                    <w:rPr>
                      <w:rFonts w:hint="default"/>
                      <w:color w:val="auto"/>
                      <w:sz w:val="21"/>
                      <w:szCs w:val="21"/>
                      <w:lang w:val="en-US" w:eastAsia="zh-CN"/>
                    </w:rPr>
                  </w:pPr>
                  <w:r>
                    <w:rPr>
                      <w:rFonts w:hint="eastAsia"/>
                      <w:color w:val="auto"/>
                      <w:sz w:val="21"/>
                      <w:szCs w:val="21"/>
                      <w:lang w:val="en-US" w:eastAsia="zh-CN"/>
                    </w:rPr>
                    <w:t>9</w:t>
                  </w:r>
                </w:p>
              </w:tc>
              <w:tc>
                <w:tcPr>
                  <w:tcW w:w="1255" w:type="dxa"/>
                  <w:vAlign w:val="center"/>
                </w:tcPr>
                <w:p w14:paraId="36790D94">
                  <w:pPr>
                    <w:pStyle w:val="107"/>
                    <w:spacing w:line="240" w:lineRule="auto"/>
                    <w:ind w:firstLine="0" w:firstLineChars="0"/>
                    <w:jc w:val="center"/>
                    <w:rPr>
                      <w:rFonts w:hint="default" w:cs="Times New Roman"/>
                      <w:color w:val="auto"/>
                      <w:kern w:val="24"/>
                      <w:sz w:val="21"/>
                      <w:szCs w:val="21"/>
                      <w:lang w:val="en-US" w:eastAsia="zh-CN" w:bidi="ar-SA"/>
                    </w:rPr>
                  </w:pPr>
                  <w:r>
                    <w:rPr>
                      <w:rFonts w:hint="eastAsia" w:cs="Times New Roman"/>
                      <w:color w:val="auto"/>
                      <w:kern w:val="24"/>
                      <w:sz w:val="21"/>
                      <w:szCs w:val="21"/>
                      <w:lang w:val="en-US" w:eastAsia="zh-CN" w:bidi="ar-SA"/>
                    </w:rPr>
                    <w:t>废活性炭</w:t>
                  </w:r>
                </w:p>
              </w:tc>
              <w:tc>
                <w:tcPr>
                  <w:tcW w:w="1082" w:type="dxa"/>
                  <w:shd w:val="clear" w:color="auto" w:fill="auto"/>
                  <w:vAlign w:val="center"/>
                </w:tcPr>
                <w:p w14:paraId="479576FF">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废水处理</w:t>
                  </w:r>
                </w:p>
              </w:tc>
              <w:tc>
                <w:tcPr>
                  <w:tcW w:w="703" w:type="dxa"/>
                  <w:shd w:val="clear" w:color="auto" w:fill="auto"/>
                  <w:vAlign w:val="center"/>
                </w:tcPr>
                <w:p w14:paraId="46BDBB64">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固态</w:t>
                  </w:r>
                </w:p>
              </w:tc>
              <w:tc>
                <w:tcPr>
                  <w:tcW w:w="1425" w:type="dxa"/>
                  <w:vAlign w:val="center"/>
                </w:tcPr>
                <w:p w14:paraId="42867909">
                  <w:pPr>
                    <w:widowControl/>
                    <w:adjustRightInd w:val="0"/>
                    <w:snapToGrid w:val="0"/>
                    <w:jc w:val="center"/>
                    <w:textAlignment w:val="center"/>
                    <w:rPr>
                      <w:rFonts w:hint="eastAsia"/>
                      <w:color w:val="auto"/>
                      <w:kern w:val="0"/>
                      <w:sz w:val="21"/>
                      <w:szCs w:val="21"/>
                      <w:lang w:val="en-US" w:eastAsia="zh-CN" w:bidi="ar-SA"/>
                    </w:rPr>
                  </w:pPr>
                  <w:r>
                    <w:rPr>
                      <w:rFonts w:hint="eastAsia"/>
                      <w:color w:val="auto"/>
                      <w:kern w:val="0"/>
                      <w:sz w:val="21"/>
                      <w:szCs w:val="21"/>
                      <w:lang w:val="en-US" w:eastAsia="zh-CN" w:bidi="ar-SA"/>
                    </w:rPr>
                    <w:t>活性炭、有机物</w:t>
                  </w:r>
                </w:p>
              </w:tc>
              <w:tc>
                <w:tcPr>
                  <w:tcW w:w="990" w:type="dxa"/>
                  <w:vAlign w:val="center"/>
                </w:tcPr>
                <w:p w14:paraId="26B2D157">
                  <w:pPr>
                    <w:widowControl/>
                    <w:adjustRightInd w:val="0"/>
                    <w:snapToGrid w:val="0"/>
                    <w:jc w:val="center"/>
                    <w:textAlignment w:val="center"/>
                    <w:rPr>
                      <w:rFonts w:hint="eastAsia"/>
                      <w:color w:val="auto"/>
                      <w:szCs w:val="21"/>
                      <w:lang w:val="en-US" w:eastAsia="zh-CN"/>
                    </w:rPr>
                  </w:pPr>
                  <w:r>
                    <w:rPr>
                      <w:rFonts w:hint="eastAsia" w:cs="Times New Roman"/>
                      <w:color w:val="auto"/>
                      <w:szCs w:val="21"/>
                      <w:lang w:val="en-US" w:eastAsia="zh-CN"/>
                    </w:rPr>
                    <w:t>0.25</w:t>
                  </w:r>
                  <w:r>
                    <w:rPr>
                      <w:rFonts w:hint="default" w:ascii="Times New Roman" w:hAnsi="Times New Roman" w:cs="Times New Roman"/>
                      <w:color w:val="auto"/>
                      <w:szCs w:val="21"/>
                      <w:lang w:val="en-US" w:eastAsia="zh-CN"/>
                    </w:rPr>
                    <w:t>t/</w:t>
                  </w:r>
                  <w:r>
                    <w:rPr>
                      <w:rFonts w:hint="eastAsia" w:cs="Times New Roman"/>
                      <w:color w:val="auto"/>
                      <w:szCs w:val="21"/>
                      <w:lang w:val="en-US" w:eastAsia="zh-CN"/>
                    </w:rPr>
                    <w:t>1.5</w:t>
                  </w:r>
                  <w:r>
                    <w:rPr>
                      <w:rFonts w:hint="default" w:ascii="Times New Roman" w:hAnsi="Times New Roman" w:cs="Times New Roman"/>
                      <w:color w:val="auto"/>
                      <w:szCs w:val="21"/>
                      <w:lang w:val="en-US" w:eastAsia="zh-CN"/>
                    </w:rPr>
                    <w:t>a</w:t>
                  </w:r>
                </w:p>
              </w:tc>
              <w:tc>
                <w:tcPr>
                  <w:tcW w:w="915" w:type="dxa"/>
                  <w:shd w:val="clear" w:color="auto" w:fill="auto"/>
                  <w:vAlign w:val="center"/>
                </w:tcPr>
                <w:p w14:paraId="4B83C790">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color w:val="auto"/>
                      <w:kern w:val="0"/>
                      <w:szCs w:val="21"/>
                      <w:lang w:bidi="ar"/>
                    </w:rPr>
                    <w:t>是</w:t>
                  </w:r>
                </w:p>
              </w:tc>
              <w:tc>
                <w:tcPr>
                  <w:tcW w:w="705" w:type="dxa"/>
                  <w:shd w:val="clear" w:color="auto" w:fill="auto"/>
                  <w:vAlign w:val="center"/>
                </w:tcPr>
                <w:p w14:paraId="2F4F4170">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color w:val="auto"/>
                      <w:kern w:val="0"/>
                      <w:szCs w:val="21"/>
                      <w:lang w:bidi="ar"/>
                    </w:rPr>
                    <w:t>/</w:t>
                  </w:r>
                </w:p>
              </w:tc>
              <w:tc>
                <w:tcPr>
                  <w:tcW w:w="878" w:type="dxa"/>
                  <w:vMerge w:val="continue"/>
                  <w:vAlign w:val="center"/>
                </w:tcPr>
                <w:p w14:paraId="7E36FD11">
                  <w:pPr>
                    <w:widowControl/>
                    <w:adjustRightInd w:val="0"/>
                    <w:snapToGrid w:val="0"/>
                    <w:jc w:val="center"/>
                    <w:textAlignment w:val="center"/>
                    <w:rPr>
                      <w:color w:val="auto"/>
                      <w:kern w:val="0"/>
                      <w:szCs w:val="21"/>
                      <w:lang w:bidi="ar"/>
                    </w:rPr>
                  </w:pPr>
                </w:p>
              </w:tc>
            </w:tr>
            <w:tr w14:paraId="1A332A3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79" w:type="dxa"/>
                  <w:vAlign w:val="center"/>
                </w:tcPr>
                <w:p w14:paraId="74698034">
                  <w:pPr>
                    <w:pStyle w:val="10"/>
                    <w:spacing w:before="0" w:after="0" w:line="240" w:lineRule="auto"/>
                    <w:ind w:right="0"/>
                    <w:jc w:val="center"/>
                    <w:rPr>
                      <w:rFonts w:hint="default"/>
                      <w:color w:val="auto"/>
                      <w:sz w:val="21"/>
                      <w:szCs w:val="21"/>
                      <w:lang w:val="en-US" w:eastAsia="zh-CN"/>
                    </w:rPr>
                  </w:pPr>
                  <w:r>
                    <w:rPr>
                      <w:rFonts w:hint="eastAsia"/>
                      <w:color w:val="auto"/>
                      <w:sz w:val="21"/>
                      <w:szCs w:val="21"/>
                      <w:lang w:val="en-US" w:eastAsia="zh-CN"/>
                    </w:rPr>
                    <w:t>10</w:t>
                  </w:r>
                </w:p>
              </w:tc>
              <w:tc>
                <w:tcPr>
                  <w:tcW w:w="1255" w:type="dxa"/>
                  <w:vAlign w:val="center"/>
                </w:tcPr>
                <w:p w14:paraId="39C83350">
                  <w:pPr>
                    <w:pStyle w:val="107"/>
                    <w:spacing w:line="240" w:lineRule="auto"/>
                    <w:ind w:firstLine="0" w:firstLineChars="0"/>
                    <w:jc w:val="center"/>
                    <w:rPr>
                      <w:rFonts w:hint="default" w:cs="Times New Roman"/>
                      <w:color w:val="auto"/>
                      <w:kern w:val="24"/>
                      <w:sz w:val="21"/>
                      <w:szCs w:val="21"/>
                      <w:lang w:val="en-US" w:eastAsia="zh-CN" w:bidi="ar-SA"/>
                    </w:rPr>
                  </w:pPr>
                  <w:r>
                    <w:rPr>
                      <w:rFonts w:hint="eastAsia" w:cs="Times New Roman"/>
                      <w:color w:val="auto"/>
                      <w:kern w:val="24"/>
                      <w:sz w:val="21"/>
                      <w:szCs w:val="21"/>
                      <w:lang w:val="en-US" w:eastAsia="zh-CN" w:bidi="ar-SA"/>
                    </w:rPr>
                    <w:t>废活性炭</w:t>
                  </w:r>
                </w:p>
              </w:tc>
              <w:tc>
                <w:tcPr>
                  <w:tcW w:w="1082" w:type="dxa"/>
                  <w:shd w:val="clear" w:color="auto" w:fill="auto"/>
                  <w:vAlign w:val="center"/>
                </w:tcPr>
                <w:p w14:paraId="48F6C41B">
                  <w:pPr>
                    <w:widowControl/>
                    <w:adjustRightInd w:val="0"/>
                    <w:snapToGrid w:val="0"/>
                    <w:jc w:val="center"/>
                    <w:textAlignment w:val="center"/>
                    <w:rPr>
                      <w:rFonts w:hint="default"/>
                      <w:color w:val="auto"/>
                      <w:kern w:val="0"/>
                      <w:szCs w:val="21"/>
                      <w:lang w:val="en-US" w:eastAsia="zh-CN" w:bidi="ar"/>
                    </w:rPr>
                  </w:pPr>
                  <w:r>
                    <w:rPr>
                      <w:rFonts w:hint="eastAsia"/>
                      <w:color w:val="auto"/>
                      <w:kern w:val="0"/>
                      <w:szCs w:val="21"/>
                      <w:lang w:val="en-US" w:eastAsia="zh-CN" w:bidi="ar"/>
                    </w:rPr>
                    <w:t>废气处理</w:t>
                  </w:r>
                </w:p>
              </w:tc>
              <w:tc>
                <w:tcPr>
                  <w:tcW w:w="703" w:type="dxa"/>
                  <w:shd w:val="clear" w:color="auto" w:fill="auto"/>
                  <w:vAlign w:val="center"/>
                </w:tcPr>
                <w:p w14:paraId="69ADE316">
                  <w:pPr>
                    <w:widowControl/>
                    <w:adjustRightInd w:val="0"/>
                    <w:snapToGrid w:val="0"/>
                    <w:jc w:val="center"/>
                    <w:textAlignment w:val="center"/>
                    <w:rPr>
                      <w:rFonts w:hint="default"/>
                      <w:color w:val="auto"/>
                      <w:kern w:val="0"/>
                      <w:szCs w:val="21"/>
                      <w:lang w:val="en-US" w:eastAsia="zh-CN" w:bidi="ar"/>
                    </w:rPr>
                  </w:pPr>
                  <w:r>
                    <w:rPr>
                      <w:rFonts w:hint="eastAsia"/>
                      <w:color w:val="auto"/>
                      <w:kern w:val="0"/>
                      <w:szCs w:val="21"/>
                      <w:lang w:val="en-US" w:eastAsia="zh-CN" w:bidi="ar"/>
                    </w:rPr>
                    <w:t>固态</w:t>
                  </w:r>
                </w:p>
              </w:tc>
              <w:tc>
                <w:tcPr>
                  <w:tcW w:w="1425" w:type="dxa"/>
                  <w:vAlign w:val="center"/>
                </w:tcPr>
                <w:p w14:paraId="26A54703">
                  <w:pPr>
                    <w:widowControl/>
                    <w:adjustRightInd w:val="0"/>
                    <w:snapToGrid w:val="0"/>
                    <w:jc w:val="center"/>
                    <w:textAlignment w:val="center"/>
                    <w:rPr>
                      <w:rFonts w:hint="eastAsia"/>
                      <w:color w:val="auto"/>
                      <w:kern w:val="0"/>
                      <w:sz w:val="21"/>
                      <w:szCs w:val="21"/>
                      <w:lang w:val="en-US" w:eastAsia="zh-CN" w:bidi="ar-SA"/>
                    </w:rPr>
                  </w:pPr>
                  <w:r>
                    <w:rPr>
                      <w:rFonts w:hint="eastAsia"/>
                      <w:color w:val="auto"/>
                      <w:kern w:val="0"/>
                      <w:sz w:val="21"/>
                      <w:szCs w:val="21"/>
                      <w:lang w:val="en-US" w:eastAsia="zh-CN" w:bidi="ar-SA"/>
                    </w:rPr>
                    <w:t>活性炭、有机物</w:t>
                  </w:r>
                </w:p>
              </w:tc>
              <w:tc>
                <w:tcPr>
                  <w:tcW w:w="990" w:type="dxa"/>
                  <w:vAlign w:val="center"/>
                </w:tcPr>
                <w:p w14:paraId="5A7A02EA">
                  <w:pPr>
                    <w:widowControl/>
                    <w:adjustRightInd w:val="0"/>
                    <w:snapToGrid w:val="0"/>
                    <w:jc w:val="center"/>
                    <w:textAlignment w:val="center"/>
                    <w:rPr>
                      <w:rFonts w:hint="default" w:cs="Times New Roman"/>
                      <w:color w:val="auto"/>
                      <w:szCs w:val="21"/>
                      <w:lang w:val="en-US" w:eastAsia="zh-CN"/>
                    </w:rPr>
                  </w:pPr>
                  <w:r>
                    <w:rPr>
                      <w:rFonts w:hint="eastAsia" w:cs="Times New Roman"/>
                      <w:color w:val="auto"/>
                      <w:szCs w:val="21"/>
                      <w:lang w:val="en-US" w:eastAsia="zh-CN"/>
                    </w:rPr>
                    <w:t>0.77</w:t>
                  </w:r>
                </w:p>
              </w:tc>
              <w:tc>
                <w:tcPr>
                  <w:tcW w:w="915" w:type="dxa"/>
                  <w:shd w:val="clear" w:color="auto" w:fill="auto"/>
                  <w:vAlign w:val="center"/>
                </w:tcPr>
                <w:p w14:paraId="53FA17EF">
                  <w:pPr>
                    <w:widowControl/>
                    <w:adjustRightInd w:val="0"/>
                    <w:snapToGrid w:val="0"/>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是</w:t>
                  </w:r>
                </w:p>
              </w:tc>
              <w:tc>
                <w:tcPr>
                  <w:tcW w:w="705" w:type="dxa"/>
                  <w:shd w:val="clear" w:color="auto" w:fill="auto"/>
                  <w:vAlign w:val="center"/>
                </w:tcPr>
                <w:p w14:paraId="54C47121">
                  <w:pPr>
                    <w:widowControl/>
                    <w:adjustRightInd w:val="0"/>
                    <w:snapToGrid w:val="0"/>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w:t>
                  </w:r>
                </w:p>
              </w:tc>
              <w:tc>
                <w:tcPr>
                  <w:tcW w:w="878" w:type="dxa"/>
                  <w:vMerge w:val="continue"/>
                  <w:vAlign w:val="center"/>
                </w:tcPr>
                <w:p w14:paraId="29BD512D">
                  <w:pPr>
                    <w:widowControl/>
                    <w:adjustRightInd w:val="0"/>
                    <w:snapToGrid w:val="0"/>
                    <w:jc w:val="center"/>
                    <w:textAlignment w:val="center"/>
                    <w:rPr>
                      <w:color w:val="auto"/>
                      <w:kern w:val="0"/>
                      <w:szCs w:val="21"/>
                      <w:lang w:bidi="ar"/>
                    </w:rPr>
                  </w:pPr>
                </w:p>
              </w:tc>
            </w:tr>
          </w:tbl>
          <w:p w14:paraId="2AD6B4AF">
            <w:pPr>
              <w:spacing w:line="360" w:lineRule="auto"/>
              <w:ind w:firstLine="420" w:firstLineChars="200"/>
              <w:rPr>
                <w:color w:val="auto"/>
                <w:szCs w:val="21"/>
              </w:rPr>
            </w:pPr>
          </w:p>
        </w:tc>
      </w:tr>
    </w:tbl>
    <w:p w14:paraId="687B9C30">
      <w:pPr>
        <w:pStyle w:val="27"/>
        <w:jc w:val="center"/>
        <w:rPr>
          <w:rFonts w:ascii="Times New Roman" w:hAnsi="Times New Roman" w:eastAsia="黑体"/>
          <w:snapToGrid w:val="0"/>
          <w:sz w:val="30"/>
          <w:szCs w:val="30"/>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type="lines" w:linePitch="294" w:charSpace="0"/>
        </w:sectPr>
      </w:pPr>
    </w:p>
    <w:tbl>
      <w:tblPr>
        <w:tblStyle w:val="30"/>
        <w:tblW w:w="515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9"/>
        <w:gridCol w:w="12846"/>
      </w:tblGrid>
      <w:tr w14:paraId="22170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tcPr>
          <w:p w14:paraId="03105CAC">
            <w:pPr>
              <w:pStyle w:val="27"/>
              <w:jc w:val="center"/>
              <w:outlineLvl w:val="0"/>
              <w:rPr>
                <w:rFonts w:hint="eastAsia" w:ascii="黑体" w:hAnsi="黑体" w:eastAsia="黑体"/>
                <w:snapToGrid w:val="0"/>
                <w:sz w:val="30"/>
                <w:szCs w:val="30"/>
              </w:rPr>
            </w:pPr>
          </w:p>
        </w:tc>
        <w:tc>
          <w:tcPr>
            <w:tcW w:w="12814" w:type="dxa"/>
          </w:tcPr>
          <w:p w14:paraId="25BFDD6C">
            <w:pPr>
              <w:widowControl/>
              <w:spacing w:before="147" w:beforeLines="50"/>
              <w:jc w:val="center"/>
              <w:rPr>
                <w:b/>
                <w:bCs/>
                <w:color w:val="auto"/>
                <w:kern w:val="10"/>
                <w:sz w:val="24"/>
              </w:rPr>
            </w:pPr>
            <w:r>
              <w:rPr>
                <w:b/>
                <w:bCs/>
                <w:color w:val="auto"/>
                <w:kern w:val="10"/>
                <w:szCs w:val="21"/>
              </w:rPr>
              <w:t>表</w:t>
            </w:r>
            <w:r>
              <w:rPr>
                <w:rFonts w:hint="eastAsia"/>
                <w:b/>
                <w:bCs/>
                <w:color w:val="auto"/>
                <w:kern w:val="10"/>
                <w:szCs w:val="21"/>
              </w:rPr>
              <w:t>4</w:t>
            </w:r>
            <w:r>
              <w:rPr>
                <w:b/>
                <w:bCs/>
                <w:color w:val="auto"/>
                <w:kern w:val="10"/>
                <w:szCs w:val="21"/>
              </w:rPr>
              <w:t>-</w:t>
            </w:r>
            <w:r>
              <w:rPr>
                <w:rFonts w:hint="eastAsia"/>
                <w:b/>
                <w:bCs/>
                <w:color w:val="auto"/>
                <w:kern w:val="10"/>
                <w:szCs w:val="21"/>
                <w:lang w:val="en-US" w:eastAsia="zh-CN"/>
              </w:rPr>
              <w:t>28</w:t>
            </w:r>
            <w:r>
              <w:rPr>
                <w:rFonts w:hint="eastAsia"/>
                <w:b/>
                <w:bCs/>
                <w:color w:val="auto"/>
                <w:kern w:val="10"/>
                <w:szCs w:val="21"/>
              </w:rPr>
              <w:t xml:space="preserve"> 本项目</w:t>
            </w:r>
            <w:r>
              <w:rPr>
                <w:b/>
                <w:bCs/>
                <w:color w:val="auto"/>
                <w:kern w:val="10"/>
                <w:szCs w:val="21"/>
              </w:rPr>
              <w:t>营运期固体废物分析结果汇总表</w:t>
            </w:r>
          </w:p>
          <w:tbl>
            <w:tblPr>
              <w:tblStyle w:val="30"/>
              <w:tblW w:w="1263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16"/>
              <w:gridCol w:w="2016"/>
              <w:gridCol w:w="950"/>
              <w:gridCol w:w="1350"/>
              <w:gridCol w:w="701"/>
              <w:gridCol w:w="1504"/>
              <w:gridCol w:w="1146"/>
              <w:gridCol w:w="963"/>
              <w:gridCol w:w="950"/>
              <w:gridCol w:w="1237"/>
              <w:gridCol w:w="1398"/>
            </w:tblGrid>
            <w:tr w14:paraId="531F96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6" w:type="dxa"/>
                  <w:vAlign w:val="center"/>
                </w:tcPr>
                <w:p w14:paraId="4C9E2EC9">
                  <w:pPr>
                    <w:jc w:val="center"/>
                    <w:rPr>
                      <w:b/>
                      <w:bCs/>
                      <w:color w:val="auto"/>
                      <w:szCs w:val="21"/>
                    </w:rPr>
                  </w:pPr>
                  <w:r>
                    <w:rPr>
                      <w:b/>
                      <w:bCs/>
                      <w:color w:val="auto"/>
                      <w:szCs w:val="21"/>
                    </w:rPr>
                    <w:t>序号</w:t>
                  </w:r>
                </w:p>
              </w:tc>
              <w:tc>
                <w:tcPr>
                  <w:tcW w:w="2016" w:type="dxa"/>
                  <w:vAlign w:val="center"/>
                </w:tcPr>
                <w:p w14:paraId="6B75A87D">
                  <w:pPr>
                    <w:pStyle w:val="6"/>
                    <w:spacing w:line="240" w:lineRule="auto"/>
                    <w:ind w:firstLine="0" w:firstLineChars="0"/>
                    <w:jc w:val="center"/>
                    <w:rPr>
                      <w:b/>
                      <w:bCs/>
                      <w:color w:val="auto"/>
                      <w:szCs w:val="21"/>
                    </w:rPr>
                  </w:pPr>
                  <w:r>
                    <w:rPr>
                      <w:b/>
                      <w:bCs/>
                      <w:color w:val="auto"/>
                      <w:szCs w:val="21"/>
                    </w:rPr>
                    <w:t>固废名称</w:t>
                  </w:r>
                </w:p>
              </w:tc>
              <w:tc>
                <w:tcPr>
                  <w:tcW w:w="950" w:type="dxa"/>
                  <w:vAlign w:val="center"/>
                </w:tcPr>
                <w:p w14:paraId="1BCDAA97">
                  <w:pPr>
                    <w:pStyle w:val="6"/>
                    <w:spacing w:line="240" w:lineRule="auto"/>
                    <w:ind w:firstLine="0" w:firstLineChars="0"/>
                    <w:jc w:val="center"/>
                    <w:rPr>
                      <w:b/>
                      <w:bCs/>
                      <w:color w:val="auto"/>
                      <w:szCs w:val="21"/>
                    </w:rPr>
                  </w:pPr>
                  <w:r>
                    <w:rPr>
                      <w:b/>
                      <w:bCs/>
                      <w:color w:val="auto"/>
                      <w:szCs w:val="21"/>
                    </w:rPr>
                    <w:t>属性</w:t>
                  </w:r>
                </w:p>
              </w:tc>
              <w:tc>
                <w:tcPr>
                  <w:tcW w:w="1350" w:type="dxa"/>
                  <w:vAlign w:val="center"/>
                </w:tcPr>
                <w:p w14:paraId="3C161AFA">
                  <w:pPr>
                    <w:pStyle w:val="6"/>
                    <w:spacing w:line="240" w:lineRule="auto"/>
                    <w:ind w:firstLine="0" w:firstLineChars="0"/>
                    <w:jc w:val="center"/>
                    <w:rPr>
                      <w:b/>
                      <w:bCs/>
                      <w:color w:val="auto"/>
                      <w:szCs w:val="21"/>
                    </w:rPr>
                  </w:pPr>
                  <w:r>
                    <w:rPr>
                      <w:b/>
                      <w:bCs/>
                      <w:color w:val="auto"/>
                      <w:szCs w:val="21"/>
                    </w:rPr>
                    <w:t>产生工序</w:t>
                  </w:r>
                </w:p>
              </w:tc>
              <w:tc>
                <w:tcPr>
                  <w:tcW w:w="701" w:type="dxa"/>
                  <w:vAlign w:val="center"/>
                </w:tcPr>
                <w:p w14:paraId="3715C489">
                  <w:pPr>
                    <w:pStyle w:val="6"/>
                    <w:spacing w:line="240" w:lineRule="auto"/>
                    <w:ind w:firstLine="0" w:firstLineChars="0"/>
                    <w:jc w:val="center"/>
                    <w:rPr>
                      <w:b/>
                      <w:bCs/>
                      <w:color w:val="auto"/>
                      <w:szCs w:val="21"/>
                    </w:rPr>
                  </w:pPr>
                  <w:r>
                    <w:rPr>
                      <w:b/>
                      <w:bCs/>
                      <w:color w:val="auto"/>
                      <w:szCs w:val="21"/>
                    </w:rPr>
                    <w:t>形态</w:t>
                  </w:r>
                </w:p>
              </w:tc>
              <w:tc>
                <w:tcPr>
                  <w:tcW w:w="1504" w:type="dxa"/>
                  <w:vAlign w:val="center"/>
                </w:tcPr>
                <w:p w14:paraId="59217BD5">
                  <w:pPr>
                    <w:pStyle w:val="6"/>
                    <w:spacing w:line="240" w:lineRule="auto"/>
                    <w:ind w:firstLine="0" w:firstLineChars="0"/>
                    <w:jc w:val="center"/>
                    <w:rPr>
                      <w:b/>
                      <w:bCs/>
                      <w:color w:val="auto"/>
                      <w:szCs w:val="21"/>
                    </w:rPr>
                  </w:pPr>
                  <w:r>
                    <w:rPr>
                      <w:b/>
                      <w:bCs/>
                      <w:color w:val="auto"/>
                      <w:szCs w:val="21"/>
                    </w:rPr>
                    <w:t>主要成分</w:t>
                  </w:r>
                </w:p>
              </w:tc>
              <w:tc>
                <w:tcPr>
                  <w:tcW w:w="1146" w:type="dxa"/>
                  <w:vAlign w:val="center"/>
                </w:tcPr>
                <w:p w14:paraId="74987FD4">
                  <w:pPr>
                    <w:pStyle w:val="6"/>
                    <w:spacing w:line="240" w:lineRule="auto"/>
                    <w:ind w:firstLine="0" w:firstLineChars="0"/>
                    <w:jc w:val="center"/>
                    <w:rPr>
                      <w:b/>
                      <w:bCs/>
                      <w:color w:val="auto"/>
                      <w:szCs w:val="21"/>
                    </w:rPr>
                  </w:pPr>
                  <w:r>
                    <w:rPr>
                      <w:b/>
                      <w:bCs/>
                      <w:color w:val="auto"/>
                      <w:szCs w:val="21"/>
                    </w:rPr>
                    <w:t>危险特性鉴别方法</w:t>
                  </w:r>
                </w:p>
              </w:tc>
              <w:tc>
                <w:tcPr>
                  <w:tcW w:w="963" w:type="dxa"/>
                  <w:vAlign w:val="center"/>
                </w:tcPr>
                <w:p w14:paraId="196CE5F9">
                  <w:pPr>
                    <w:pStyle w:val="6"/>
                    <w:spacing w:line="240" w:lineRule="auto"/>
                    <w:ind w:firstLine="0" w:firstLineChars="0"/>
                    <w:jc w:val="center"/>
                    <w:rPr>
                      <w:b/>
                      <w:bCs/>
                      <w:color w:val="auto"/>
                      <w:szCs w:val="21"/>
                    </w:rPr>
                  </w:pPr>
                  <w:r>
                    <w:rPr>
                      <w:b/>
                      <w:bCs/>
                      <w:color w:val="auto"/>
                      <w:szCs w:val="21"/>
                    </w:rPr>
                    <w:t>危险特性</w:t>
                  </w:r>
                </w:p>
              </w:tc>
              <w:tc>
                <w:tcPr>
                  <w:tcW w:w="950" w:type="dxa"/>
                  <w:vAlign w:val="center"/>
                </w:tcPr>
                <w:p w14:paraId="01BF41F9">
                  <w:pPr>
                    <w:pStyle w:val="6"/>
                    <w:spacing w:line="240" w:lineRule="auto"/>
                    <w:ind w:firstLine="0" w:firstLineChars="0"/>
                    <w:jc w:val="center"/>
                    <w:rPr>
                      <w:b/>
                      <w:bCs/>
                      <w:color w:val="auto"/>
                      <w:szCs w:val="21"/>
                    </w:rPr>
                  </w:pPr>
                  <w:r>
                    <w:rPr>
                      <w:b/>
                      <w:bCs/>
                      <w:color w:val="auto"/>
                      <w:szCs w:val="21"/>
                    </w:rPr>
                    <w:t>废物类别</w:t>
                  </w:r>
                </w:p>
              </w:tc>
              <w:tc>
                <w:tcPr>
                  <w:tcW w:w="1237" w:type="dxa"/>
                  <w:vAlign w:val="center"/>
                </w:tcPr>
                <w:p w14:paraId="2152AFFF">
                  <w:pPr>
                    <w:pStyle w:val="6"/>
                    <w:spacing w:line="240" w:lineRule="auto"/>
                    <w:ind w:firstLine="0" w:firstLineChars="0"/>
                    <w:jc w:val="center"/>
                    <w:rPr>
                      <w:b/>
                      <w:bCs/>
                      <w:color w:val="auto"/>
                      <w:szCs w:val="21"/>
                    </w:rPr>
                  </w:pPr>
                  <w:r>
                    <w:rPr>
                      <w:b/>
                      <w:bCs/>
                      <w:color w:val="auto"/>
                      <w:szCs w:val="21"/>
                    </w:rPr>
                    <w:t>废物代码</w:t>
                  </w:r>
                </w:p>
              </w:tc>
              <w:tc>
                <w:tcPr>
                  <w:tcW w:w="1398" w:type="dxa"/>
                  <w:vAlign w:val="center"/>
                </w:tcPr>
                <w:p w14:paraId="7C368880">
                  <w:pPr>
                    <w:pStyle w:val="6"/>
                    <w:spacing w:line="240" w:lineRule="auto"/>
                    <w:ind w:firstLine="0" w:firstLineChars="0"/>
                    <w:jc w:val="center"/>
                    <w:rPr>
                      <w:b/>
                      <w:bCs/>
                      <w:color w:val="auto"/>
                      <w:szCs w:val="21"/>
                    </w:rPr>
                  </w:pPr>
                  <w:r>
                    <w:rPr>
                      <w:b/>
                      <w:bCs/>
                      <w:color w:val="auto"/>
                      <w:szCs w:val="21"/>
                    </w:rPr>
                    <w:t>估算产生量t/a</w:t>
                  </w:r>
                </w:p>
              </w:tc>
            </w:tr>
            <w:tr w14:paraId="68D0C0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6" w:type="dxa"/>
                  <w:vAlign w:val="center"/>
                </w:tcPr>
                <w:p w14:paraId="7DDF8965">
                  <w:pPr>
                    <w:snapToGrid w:val="0"/>
                    <w:jc w:val="center"/>
                    <w:rPr>
                      <w:color w:val="auto"/>
                      <w:szCs w:val="21"/>
                    </w:rPr>
                  </w:pPr>
                  <w:r>
                    <w:rPr>
                      <w:color w:val="auto"/>
                      <w:szCs w:val="21"/>
                    </w:rPr>
                    <w:t>1</w:t>
                  </w:r>
                </w:p>
              </w:tc>
              <w:tc>
                <w:tcPr>
                  <w:tcW w:w="2016" w:type="dxa"/>
                  <w:shd w:val="clear" w:color="auto" w:fill="auto"/>
                  <w:vAlign w:val="center"/>
                </w:tcPr>
                <w:p w14:paraId="03A6D04C">
                  <w:pPr>
                    <w:pStyle w:val="107"/>
                    <w:spacing w:line="240" w:lineRule="auto"/>
                    <w:ind w:firstLine="0" w:firstLineChars="0"/>
                    <w:jc w:val="center"/>
                    <w:rPr>
                      <w:rFonts w:hint="default" w:ascii="Times New Roman" w:hAnsi="Times New Roman" w:eastAsia="宋体" w:cs="Times New Roman"/>
                      <w:color w:val="auto"/>
                      <w:kern w:val="0"/>
                      <w:sz w:val="21"/>
                      <w:szCs w:val="21"/>
                      <w:lang w:val="en-US" w:eastAsia="zh-CN" w:bidi="ar"/>
                    </w:rPr>
                  </w:pPr>
                  <w:r>
                    <w:rPr>
                      <w:rFonts w:hint="eastAsia"/>
                      <w:color w:val="auto"/>
                      <w:kern w:val="24"/>
                      <w:sz w:val="21"/>
                      <w:szCs w:val="21"/>
                      <w:lang w:val="en-US" w:eastAsia="zh-CN"/>
                    </w:rPr>
                    <w:t>生活垃圾</w:t>
                  </w:r>
                </w:p>
              </w:tc>
              <w:tc>
                <w:tcPr>
                  <w:tcW w:w="950" w:type="dxa"/>
                  <w:vAlign w:val="center"/>
                </w:tcPr>
                <w:p w14:paraId="3191969A">
                  <w:pPr>
                    <w:jc w:val="center"/>
                    <w:rPr>
                      <w:rFonts w:hint="default" w:eastAsia="宋体"/>
                      <w:color w:val="auto"/>
                      <w:szCs w:val="21"/>
                      <w:lang w:val="en-US" w:eastAsia="zh-CN"/>
                    </w:rPr>
                  </w:pPr>
                  <w:r>
                    <w:rPr>
                      <w:rFonts w:hint="eastAsia"/>
                      <w:color w:val="auto"/>
                      <w:szCs w:val="21"/>
                      <w:lang w:val="en-US" w:eastAsia="zh-CN"/>
                    </w:rPr>
                    <w:t>生活垃圾</w:t>
                  </w:r>
                </w:p>
              </w:tc>
              <w:tc>
                <w:tcPr>
                  <w:tcW w:w="1350" w:type="dxa"/>
                  <w:shd w:val="clear" w:color="auto" w:fill="auto"/>
                  <w:vAlign w:val="center"/>
                </w:tcPr>
                <w:p w14:paraId="394B651E">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员工生活</w:t>
                  </w:r>
                </w:p>
              </w:tc>
              <w:tc>
                <w:tcPr>
                  <w:tcW w:w="701" w:type="dxa"/>
                  <w:vAlign w:val="center"/>
                </w:tcPr>
                <w:p w14:paraId="1C72FB34">
                  <w:pPr>
                    <w:widowControl/>
                    <w:adjustRightInd w:val="0"/>
                    <w:snapToGrid w:val="0"/>
                    <w:jc w:val="center"/>
                    <w:textAlignment w:val="center"/>
                    <w:rPr>
                      <w:bCs/>
                      <w:color w:val="auto"/>
                      <w:szCs w:val="21"/>
                    </w:rPr>
                  </w:pPr>
                  <w:r>
                    <w:rPr>
                      <w:color w:val="auto"/>
                      <w:kern w:val="0"/>
                      <w:szCs w:val="21"/>
                      <w:lang w:bidi="ar"/>
                    </w:rPr>
                    <w:t>固态</w:t>
                  </w:r>
                </w:p>
              </w:tc>
              <w:tc>
                <w:tcPr>
                  <w:tcW w:w="1504" w:type="dxa"/>
                  <w:vAlign w:val="center"/>
                </w:tcPr>
                <w:p w14:paraId="021BC26D">
                  <w:pPr>
                    <w:pStyle w:val="10"/>
                    <w:spacing w:before="0" w:after="0" w:line="240" w:lineRule="auto"/>
                    <w:ind w:right="0" w:rightChars="0"/>
                    <w:jc w:val="center"/>
                    <w:rPr>
                      <w:bCs/>
                      <w:color w:val="auto"/>
                      <w:sz w:val="21"/>
                      <w:szCs w:val="21"/>
                    </w:rPr>
                  </w:pPr>
                  <w:r>
                    <w:rPr>
                      <w:rFonts w:hint="eastAsia"/>
                      <w:color w:val="auto"/>
                      <w:sz w:val="21"/>
                      <w:szCs w:val="21"/>
                      <w:lang w:val="en-US" w:eastAsia="zh-CN"/>
                    </w:rPr>
                    <w:t>纸屑、果皮</w:t>
                  </w:r>
                </w:p>
              </w:tc>
              <w:tc>
                <w:tcPr>
                  <w:tcW w:w="1146" w:type="dxa"/>
                  <w:vMerge w:val="restart"/>
                  <w:vAlign w:val="center"/>
                </w:tcPr>
                <w:p w14:paraId="7DFE7C7A">
                  <w:pPr>
                    <w:pStyle w:val="2"/>
                    <w:jc w:val="center"/>
                    <w:rPr>
                      <w:color w:val="auto"/>
                      <w:sz w:val="21"/>
                      <w:szCs w:val="21"/>
                    </w:rPr>
                  </w:pPr>
                  <w:r>
                    <w:rPr>
                      <w:rFonts w:hint="eastAsia"/>
                      <w:color w:val="auto"/>
                      <w:sz w:val="21"/>
                      <w:szCs w:val="21"/>
                    </w:rPr>
                    <w:t>《国家危险废物名录》（202</w:t>
                  </w:r>
                  <w:r>
                    <w:rPr>
                      <w:rFonts w:hint="eastAsia"/>
                      <w:color w:val="auto"/>
                      <w:sz w:val="21"/>
                      <w:szCs w:val="21"/>
                      <w:lang w:val="en-US" w:eastAsia="zh-CN"/>
                    </w:rPr>
                    <w:t>5</w:t>
                  </w:r>
                  <w:r>
                    <w:rPr>
                      <w:rFonts w:hint="eastAsia"/>
                      <w:color w:val="auto"/>
                      <w:sz w:val="21"/>
                      <w:szCs w:val="21"/>
                    </w:rPr>
                    <w:t>年）、</w:t>
                  </w:r>
                  <w:r>
                    <w:rPr>
                      <w:rFonts w:hint="eastAsia" w:ascii="Times New Roman" w:hAnsi="Times New Roman" w:eastAsia="宋体" w:cs="Times New Roman"/>
                      <w:color w:val="auto"/>
                      <w:sz w:val="21"/>
                      <w:szCs w:val="21"/>
                      <w:lang w:val="en-US" w:eastAsia="zh-CN"/>
                    </w:rPr>
                    <w:t>《固体废物分类与代码目录》（生态环境部公告2024年第4号）</w:t>
                  </w:r>
                </w:p>
              </w:tc>
              <w:tc>
                <w:tcPr>
                  <w:tcW w:w="963" w:type="dxa"/>
                  <w:vAlign w:val="center"/>
                </w:tcPr>
                <w:p w14:paraId="26FA4CF6">
                  <w:pPr>
                    <w:jc w:val="center"/>
                    <w:rPr>
                      <w:color w:val="auto"/>
                      <w:kern w:val="0"/>
                      <w:szCs w:val="21"/>
                    </w:rPr>
                  </w:pPr>
                  <w:r>
                    <w:rPr>
                      <w:color w:val="auto"/>
                      <w:kern w:val="0"/>
                      <w:szCs w:val="21"/>
                    </w:rPr>
                    <w:t>/</w:t>
                  </w:r>
                </w:p>
              </w:tc>
              <w:tc>
                <w:tcPr>
                  <w:tcW w:w="950" w:type="dxa"/>
                  <w:shd w:val="clear" w:color="auto" w:fill="auto"/>
                  <w:vAlign w:val="center"/>
                </w:tcPr>
                <w:p w14:paraId="6B672E7D">
                  <w:pPr>
                    <w:widowControl/>
                    <w:jc w:val="center"/>
                    <w:textAlignment w:val="center"/>
                    <w:rPr>
                      <w:rFonts w:ascii="Times New Roman" w:hAnsi="Times New Roman" w:eastAsia="宋体" w:cs="Times New Roman"/>
                      <w:color w:val="auto"/>
                      <w:kern w:val="2"/>
                      <w:sz w:val="21"/>
                      <w:szCs w:val="21"/>
                      <w:lang w:val="en-US" w:eastAsia="zh-CN" w:bidi="ar-SA"/>
                    </w:rPr>
                  </w:pPr>
                  <w:r>
                    <w:rPr>
                      <w:rFonts w:hint="eastAsia"/>
                      <w:color w:val="auto"/>
                      <w:szCs w:val="21"/>
                    </w:rPr>
                    <w:t>SW64</w:t>
                  </w:r>
                </w:p>
              </w:tc>
              <w:tc>
                <w:tcPr>
                  <w:tcW w:w="1237" w:type="dxa"/>
                  <w:shd w:val="clear" w:color="auto" w:fill="auto"/>
                  <w:vAlign w:val="center"/>
                </w:tcPr>
                <w:p w14:paraId="706F694B">
                  <w:pPr>
                    <w:widowControl/>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kern w:val="0"/>
                      <w:szCs w:val="21"/>
                      <w:lang w:bidi="ar"/>
                    </w:rPr>
                    <w:t>900-</w:t>
                  </w:r>
                  <w:r>
                    <w:rPr>
                      <w:rFonts w:hint="eastAsia" w:ascii="Times New Roman" w:hAnsi="Times New Roman"/>
                      <w:color w:val="auto"/>
                      <w:kern w:val="0"/>
                      <w:szCs w:val="21"/>
                      <w:lang w:bidi="ar"/>
                    </w:rPr>
                    <w:t>09</w:t>
                  </w:r>
                  <w:r>
                    <w:rPr>
                      <w:rFonts w:ascii="Times New Roman" w:hAnsi="Times New Roman"/>
                      <w:color w:val="auto"/>
                      <w:kern w:val="0"/>
                      <w:szCs w:val="21"/>
                      <w:lang w:bidi="ar"/>
                    </w:rPr>
                    <w:t>9-</w:t>
                  </w:r>
                  <w:r>
                    <w:rPr>
                      <w:rFonts w:hint="eastAsia" w:ascii="Times New Roman" w:hAnsi="Times New Roman"/>
                      <w:color w:val="auto"/>
                      <w:kern w:val="0"/>
                      <w:szCs w:val="21"/>
                      <w:lang w:bidi="ar"/>
                    </w:rPr>
                    <w:t>S64</w:t>
                  </w:r>
                </w:p>
              </w:tc>
              <w:tc>
                <w:tcPr>
                  <w:tcW w:w="1398" w:type="dxa"/>
                  <w:vAlign w:val="center"/>
                </w:tcPr>
                <w:p w14:paraId="7D27540F">
                  <w:pPr>
                    <w:widowControl/>
                    <w:adjustRightInd w:val="0"/>
                    <w:snapToGrid w:val="0"/>
                    <w:jc w:val="center"/>
                    <w:textAlignment w:val="center"/>
                    <w:rPr>
                      <w:rFonts w:hint="default" w:eastAsia="宋体"/>
                      <w:color w:val="auto"/>
                      <w:szCs w:val="21"/>
                      <w:lang w:val="en-US" w:eastAsia="zh-CN"/>
                    </w:rPr>
                  </w:pPr>
                  <w:r>
                    <w:rPr>
                      <w:rFonts w:hint="eastAsia"/>
                      <w:color w:val="auto"/>
                      <w:szCs w:val="21"/>
                      <w:lang w:val="en-US" w:eastAsia="zh-CN"/>
                    </w:rPr>
                    <w:t>7.2</w:t>
                  </w:r>
                </w:p>
              </w:tc>
            </w:tr>
            <w:tr w14:paraId="45F4D3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6" w:type="dxa"/>
                  <w:vAlign w:val="center"/>
                </w:tcPr>
                <w:p w14:paraId="2B70351B">
                  <w:pPr>
                    <w:pStyle w:val="10"/>
                    <w:spacing w:before="0" w:after="0" w:line="240" w:lineRule="auto"/>
                    <w:ind w:right="0"/>
                    <w:jc w:val="center"/>
                    <w:rPr>
                      <w:color w:val="auto"/>
                      <w:sz w:val="21"/>
                      <w:szCs w:val="21"/>
                    </w:rPr>
                  </w:pPr>
                  <w:r>
                    <w:rPr>
                      <w:color w:val="auto"/>
                      <w:sz w:val="21"/>
                      <w:szCs w:val="21"/>
                    </w:rPr>
                    <w:t>2</w:t>
                  </w:r>
                </w:p>
              </w:tc>
              <w:tc>
                <w:tcPr>
                  <w:tcW w:w="2016" w:type="dxa"/>
                  <w:shd w:val="clear" w:color="auto" w:fill="auto"/>
                  <w:vAlign w:val="center"/>
                </w:tcPr>
                <w:p w14:paraId="0AB222AE">
                  <w:pPr>
                    <w:pStyle w:val="107"/>
                    <w:spacing w:line="240" w:lineRule="auto"/>
                    <w:ind w:firstLine="0" w:firstLineChars="0"/>
                    <w:jc w:val="center"/>
                    <w:rPr>
                      <w:rFonts w:hint="default" w:ascii="Times New Roman" w:hAnsi="Times New Roman" w:eastAsia="宋体" w:cs="Times New Roman"/>
                      <w:color w:val="auto"/>
                      <w:kern w:val="0"/>
                      <w:sz w:val="21"/>
                      <w:szCs w:val="21"/>
                      <w:lang w:val="en-US" w:eastAsia="zh-CN" w:bidi="ar"/>
                    </w:rPr>
                  </w:pPr>
                  <w:r>
                    <w:rPr>
                      <w:rFonts w:hint="eastAsia"/>
                      <w:color w:val="auto"/>
                      <w:sz w:val="21"/>
                      <w:szCs w:val="21"/>
                      <w:lang w:val="en-US" w:eastAsia="zh-CN"/>
                    </w:rPr>
                    <w:t>废包装材料</w:t>
                  </w:r>
                </w:p>
              </w:tc>
              <w:tc>
                <w:tcPr>
                  <w:tcW w:w="950" w:type="dxa"/>
                  <w:vAlign w:val="center"/>
                </w:tcPr>
                <w:p w14:paraId="6EE926D4">
                  <w:pPr>
                    <w:jc w:val="center"/>
                    <w:rPr>
                      <w:color w:val="auto"/>
                      <w:szCs w:val="21"/>
                    </w:rPr>
                  </w:pPr>
                  <w:r>
                    <w:rPr>
                      <w:color w:val="auto"/>
                      <w:szCs w:val="21"/>
                    </w:rPr>
                    <w:t>一般固废</w:t>
                  </w:r>
                </w:p>
              </w:tc>
              <w:tc>
                <w:tcPr>
                  <w:tcW w:w="1350" w:type="dxa"/>
                  <w:shd w:val="clear" w:color="auto" w:fill="auto"/>
                  <w:vAlign w:val="center"/>
                </w:tcPr>
                <w:p w14:paraId="01838702">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拆包</w:t>
                  </w:r>
                </w:p>
              </w:tc>
              <w:tc>
                <w:tcPr>
                  <w:tcW w:w="701" w:type="dxa"/>
                  <w:vAlign w:val="center"/>
                </w:tcPr>
                <w:p w14:paraId="2DDF1219">
                  <w:pPr>
                    <w:widowControl/>
                    <w:adjustRightInd w:val="0"/>
                    <w:snapToGrid w:val="0"/>
                    <w:jc w:val="center"/>
                    <w:textAlignment w:val="center"/>
                    <w:rPr>
                      <w:bCs/>
                      <w:color w:val="auto"/>
                      <w:szCs w:val="21"/>
                    </w:rPr>
                  </w:pPr>
                  <w:r>
                    <w:rPr>
                      <w:color w:val="auto"/>
                      <w:kern w:val="0"/>
                      <w:szCs w:val="21"/>
                      <w:lang w:bidi="ar"/>
                    </w:rPr>
                    <w:t>固态</w:t>
                  </w:r>
                </w:p>
              </w:tc>
              <w:tc>
                <w:tcPr>
                  <w:tcW w:w="1504" w:type="dxa"/>
                  <w:vAlign w:val="center"/>
                </w:tcPr>
                <w:p w14:paraId="61C60FAA">
                  <w:pPr>
                    <w:widowControl/>
                    <w:adjustRightInd w:val="0"/>
                    <w:snapToGrid w:val="0"/>
                    <w:jc w:val="center"/>
                    <w:textAlignment w:val="center"/>
                    <w:rPr>
                      <w:rFonts w:hint="default"/>
                      <w:bCs/>
                      <w:color w:val="auto"/>
                      <w:szCs w:val="21"/>
                      <w:lang w:val="en-US"/>
                    </w:rPr>
                  </w:pPr>
                  <w:r>
                    <w:rPr>
                      <w:rFonts w:hint="eastAsia"/>
                      <w:color w:val="auto"/>
                      <w:szCs w:val="21"/>
                      <w:lang w:val="en-US" w:eastAsia="zh-CN"/>
                    </w:rPr>
                    <w:t>塑料等</w:t>
                  </w:r>
                </w:p>
              </w:tc>
              <w:tc>
                <w:tcPr>
                  <w:tcW w:w="1146" w:type="dxa"/>
                  <w:vMerge w:val="continue"/>
                  <w:vAlign w:val="center"/>
                </w:tcPr>
                <w:p w14:paraId="0653D626">
                  <w:pPr>
                    <w:pStyle w:val="2"/>
                    <w:jc w:val="center"/>
                    <w:rPr>
                      <w:color w:val="auto"/>
                      <w:sz w:val="21"/>
                      <w:szCs w:val="21"/>
                    </w:rPr>
                  </w:pPr>
                </w:p>
              </w:tc>
              <w:tc>
                <w:tcPr>
                  <w:tcW w:w="963" w:type="dxa"/>
                  <w:vAlign w:val="center"/>
                </w:tcPr>
                <w:p w14:paraId="594B2274">
                  <w:pPr>
                    <w:snapToGrid w:val="0"/>
                    <w:jc w:val="center"/>
                    <w:rPr>
                      <w:color w:val="auto"/>
                      <w:szCs w:val="21"/>
                    </w:rPr>
                  </w:pPr>
                  <w:r>
                    <w:rPr>
                      <w:color w:val="auto"/>
                      <w:kern w:val="0"/>
                      <w:szCs w:val="21"/>
                    </w:rPr>
                    <w:t>/</w:t>
                  </w:r>
                </w:p>
              </w:tc>
              <w:tc>
                <w:tcPr>
                  <w:tcW w:w="950" w:type="dxa"/>
                  <w:shd w:val="clear" w:color="auto" w:fill="auto"/>
                  <w:vAlign w:val="center"/>
                </w:tcPr>
                <w:p w14:paraId="3275B440">
                  <w:pPr>
                    <w:jc w:val="center"/>
                    <w:rPr>
                      <w:rFonts w:ascii="Times New Roman" w:hAnsi="Times New Roman" w:eastAsia="宋体" w:cs="Times New Roman"/>
                      <w:color w:val="auto"/>
                      <w:kern w:val="2"/>
                      <w:sz w:val="21"/>
                      <w:szCs w:val="21"/>
                      <w:lang w:val="en-US" w:eastAsia="zh-CN" w:bidi="ar-SA"/>
                    </w:rPr>
                  </w:pPr>
                  <w:r>
                    <w:rPr>
                      <w:rFonts w:hint="eastAsia"/>
                      <w:color w:val="auto"/>
                      <w:szCs w:val="21"/>
                    </w:rPr>
                    <w:t>SW17</w:t>
                  </w:r>
                </w:p>
              </w:tc>
              <w:tc>
                <w:tcPr>
                  <w:tcW w:w="1237" w:type="dxa"/>
                  <w:shd w:val="clear" w:color="auto" w:fill="auto"/>
                  <w:vAlign w:val="center"/>
                </w:tcPr>
                <w:p w14:paraId="6890DB9B">
                  <w:pPr>
                    <w:widowControl/>
                    <w:jc w:val="center"/>
                    <w:textAlignment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kern w:val="0"/>
                      <w:szCs w:val="21"/>
                      <w:lang w:bidi="ar"/>
                    </w:rPr>
                    <w:t>900-</w:t>
                  </w:r>
                  <w:r>
                    <w:rPr>
                      <w:rFonts w:hint="eastAsia" w:ascii="Times New Roman" w:hAnsi="Times New Roman"/>
                      <w:color w:val="auto"/>
                      <w:kern w:val="0"/>
                      <w:szCs w:val="21"/>
                      <w:lang w:bidi="ar"/>
                    </w:rPr>
                    <w:t>003</w:t>
                  </w:r>
                  <w:r>
                    <w:rPr>
                      <w:rFonts w:ascii="Times New Roman" w:hAnsi="Times New Roman"/>
                      <w:color w:val="auto"/>
                      <w:kern w:val="0"/>
                      <w:szCs w:val="21"/>
                      <w:lang w:bidi="ar"/>
                    </w:rPr>
                    <w:t>-</w:t>
                  </w:r>
                  <w:r>
                    <w:rPr>
                      <w:rFonts w:hint="eastAsia" w:ascii="Times New Roman" w:hAnsi="Times New Roman"/>
                      <w:color w:val="auto"/>
                      <w:kern w:val="0"/>
                      <w:szCs w:val="21"/>
                      <w:lang w:bidi="ar"/>
                    </w:rPr>
                    <w:t>S17</w:t>
                  </w:r>
                </w:p>
              </w:tc>
              <w:tc>
                <w:tcPr>
                  <w:tcW w:w="1398" w:type="dxa"/>
                  <w:vAlign w:val="center"/>
                </w:tcPr>
                <w:p w14:paraId="1845B9C7">
                  <w:pPr>
                    <w:widowControl/>
                    <w:adjustRightInd w:val="0"/>
                    <w:snapToGrid w:val="0"/>
                    <w:jc w:val="center"/>
                    <w:textAlignment w:val="center"/>
                    <w:rPr>
                      <w:rFonts w:hint="eastAsia" w:eastAsia="宋体"/>
                      <w:color w:val="auto"/>
                      <w:szCs w:val="21"/>
                      <w:lang w:eastAsia="zh-CN"/>
                    </w:rPr>
                  </w:pPr>
                  <w:r>
                    <w:rPr>
                      <w:rFonts w:hint="eastAsia"/>
                      <w:color w:val="auto"/>
                      <w:szCs w:val="21"/>
                      <w:lang w:val="en-US" w:eastAsia="zh-CN"/>
                    </w:rPr>
                    <w:t>1</w:t>
                  </w:r>
                </w:p>
              </w:tc>
            </w:tr>
            <w:tr w14:paraId="7695F4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6" w:type="dxa"/>
                  <w:vAlign w:val="center"/>
                </w:tcPr>
                <w:p w14:paraId="5C5F9EB0">
                  <w:pPr>
                    <w:pStyle w:val="10"/>
                    <w:spacing w:before="0" w:after="0" w:line="240" w:lineRule="auto"/>
                    <w:ind w:right="0"/>
                    <w:jc w:val="center"/>
                    <w:rPr>
                      <w:color w:val="auto"/>
                      <w:sz w:val="21"/>
                      <w:szCs w:val="21"/>
                    </w:rPr>
                  </w:pPr>
                  <w:r>
                    <w:rPr>
                      <w:rFonts w:hint="eastAsia"/>
                      <w:color w:val="auto"/>
                      <w:sz w:val="21"/>
                      <w:szCs w:val="21"/>
                    </w:rPr>
                    <w:t>3</w:t>
                  </w:r>
                </w:p>
              </w:tc>
              <w:tc>
                <w:tcPr>
                  <w:tcW w:w="2016" w:type="dxa"/>
                  <w:shd w:val="clear" w:color="auto" w:fill="auto"/>
                  <w:vAlign w:val="center"/>
                </w:tcPr>
                <w:p w14:paraId="5B57B894">
                  <w:pPr>
                    <w:pStyle w:val="107"/>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不合格品</w:t>
                  </w:r>
                </w:p>
              </w:tc>
              <w:tc>
                <w:tcPr>
                  <w:tcW w:w="950" w:type="dxa"/>
                  <w:vAlign w:val="center"/>
                </w:tcPr>
                <w:p w14:paraId="4F50DC28">
                  <w:pPr>
                    <w:jc w:val="center"/>
                    <w:rPr>
                      <w:color w:val="auto"/>
                      <w:szCs w:val="21"/>
                    </w:rPr>
                  </w:pPr>
                  <w:r>
                    <w:rPr>
                      <w:color w:val="auto"/>
                      <w:szCs w:val="21"/>
                    </w:rPr>
                    <w:t>一般固废</w:t>
                  </w:r>
                </w:p>
              </w:tc>
              <w:tc>
                <w:tcPr>
                  <w:tcW w:w="1350" w:type="dxa"/>
                  <w:shd w:val="clear" w:color="auto" w:fill="auto"/>
                  <w:vAlign w:val="center"/>
                </w:tcPr>
                <w:p w14:paraId="6C1AD4ED">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检验</w:t>
                  </w:r>
                </w:p>
              </w:tc>
              <w:tc>
                <w:tcPr>
                  <w:tcW w:w="701" w:type="dxa"/>
                  <w:vAlign w:val="center"/>
                </w:tcPr>
                <w:p w14:paraId="5C67859A">
                  <w:pPr>
                    <w:widowControl/>
                    <w:adjustRightInd w:val="0"/>
                    <w:snapToGrid w:val="0"/>
                    <w:jc w:val="center"/>
                    <w:textAlignment w:val="center"/>
                    <w:rPr>
                      <w:color w:val="auto"/>
                      <w:kern w:val="0"/>
                      <w:szCs w:val="21"/>
                      <w:lang w:bidi="ar"/>
                    </w:rPr>
                  </w:pPr>
                  <w:r>
                    <w:rPr>
                      <w:color w:val="auto"/>
                      <w:kern w:val="0"/>
                      <w:szCs w:val="21"/>
                      <w:lang w:bidi="ar"/>
                    </w:rPr>
                    <w:t>固态</w:t>
                  </w:r>
                </w:p>
              </w:tc>
              <w:tc>
                <w:tcPr>
                  <w:tcW w:w="1504" w:type="dxa"/>
                  <w:vAlign w:val="center"/>
                </w:tcPr>
                <w:p w14:paraId="0A7D4861">
                  <w:pPr>
                    <w:widowControl/>
                    <w:adjustRightInd w:val="0"/>
                    <w:snapToGrid w:val="0"/>
                    <w:jc w:val="center"/>
                    <w:textAlignment w:val="center"/>
                    <w:rPr>
                      <w:rFonts w:hint="eastAsia" w:eastAsia="宋体"/>
                      <w:color w:val="auto"/>
                      <w:szCs w:val="21"/>
                      <w:lang w:eastAsia="zh-CN"/>
                    </w:rPr>
                  </w:pPr>
                  <w:r>
                    <w:rPr>
                      <w:rFonts w:hint="eastAsia"/>
                      <w:color w:val="auto"/>
                      <w:szCs w:val="21"/>
                      <w:lang w:val="en-US" w:eastAsia="zh-CN"/>
                    </w:rPr>
                    <w:t>玻璃</w:t>
                  </w:r>
                </w:p>
              </w:tc>
              <w:tc>
                <w:tcPr>
                  <w:tcW w:w="1146" w:type="dxa"/>
                  <w:vMerge w:val="continue"/>
                  <w:vAlign w:val="center"/>
                </w:tcPr>
                <w:p w14:paraId="034E6624">
                  <w:pPr>
                    <w:pStyle w:val="2"/>
                    <w:jc w:val="center"/>
                    <w:rPr>
                      <w:color w:val="auto"/>
                      <w:sz w:val="21"/>
                      <w:szCs w:val="21"/>
                    </w:rPr>
                  </w:pPr>
                </w:p>
              </w:tc>
              <w:tc>
                <w:tcPr>
                  <w:tcW w:w="963" w:type="dxa"/>
                  <w:vAlign w:val="center"/>
                </w:tcPr>
                <w:p w14:paraId="71B12FB1">
                  <w:pPr>
                    <w:snapToGrid w:val="0"/>
                    <w:jc w:val="center"/>
                    <w:rPr>
                      <w:rFonts w:hint="eastAsia" w:eastAsia="宋体"/>
                      <w:color w:val="auto"/>
                      <w:kern w:val="0"/>
                      <w:szCs w:val="21"/>
                      <w:lang w:val="en-US" w:eastAsia="zh-CN"/>
                    </w:rPr>
                  </w:pPr>
                  <w:r>
                    <w:rPr>
                      <w:rFonts w:hint="eastAsia"/>
                      <w:color w:val="auto"/>
                      <w:kern w:val="0"/>
                      <w:szCs w:val="21"/>
                      <w:lang w:val="en-US" w:eastAsia="zh-CN"/>
                    </w:rPr>
                    <w:t>/</w:t>
                  </w:r>
                </w:p>
              </w:tc>
              <w:tc>
                <w:tcPr>
                  <w:tcW w:w="950" w:type="dxa"/>
                  <w:vAlign w:val="center"/>
                </w:tcPr>
                <w:p w14:paraId="357F977C">
                  <w:pPr>
                    <w:widowControl/>
                    <w:jc w:val="center"/>
                    <w:rPr>
                      <w:rFonts w:hint="default" w:eastAsia="宋体"/>
                      <w:color w:val="auto"/>
                      <w:szCs w:val="21"/>
                      <w:lang w:val="en-US" w:eastAsia="zh-CN"/>
                    </w:rPr>
                  </w:pPr>
                  <w:r>
                    <w:rPr>
                      <w:rFonts w:hint="eastAsia"/>
                      <w:color w:val="auto"/>
                      <w:szCs w:val="21"/>
                      <w:lang w:val="en-US" w:eastAsia="zh-CN"/>
                    </w:rPr>
                    <w:t>SW17</w:t>
                  </w:r>
                </w:p>
              </w:tc>
              <w:tc>
                <w:tcPr>
                  <w:tcW w:w="1237" w:type="dxa"/>
                  <w:vAlign w:val="center"/>
                </w:tcPr>
                <w:p w14:paraId="7AE3361A">
                  <w:pPr>
                    <w:widowControl/>
                    <w:jc w:val="center"/>
                    <w:rPr>
                      <w:rFonts w:hint="default" w:eastAsia="宋体"/>
                      <w:color w:val="auto"/>
                      <w:kern w:val="0"/>
                      <w:szCs w:val="21"/>
                      <w:lang w:val="en-US" w:eastAsia="zh-CN" w:bidi="ar"/>
                    </w:rPr>
                  </w:pPr>
                  <w:r>
                    <w:rPr>
                      <w:rFonts w:hint="eastAsia"/>
                      <w:color w:val="auto"/>
                      <w:kern w:val="0"/>
                      <w:szCs w:val="21"/>
                      <w:lang w:val="en-US" w:eastAsia="zh-CN" w:bidi="ar"/>
                    </w:rPr>
                    <w:t>900-004-S17</w:t>
                  </w:r>
                </w:p>
              </w:tc>
              <w:tc>
                <w:tcPr>
                  <w:tcW w:w="1398" w:type="dxa"/>
                  <w:vAlign w:val="center"/>
                </w:tcPr>
                <w:p w14:paraId="799F7D47">
                  <w:pPr>
                    <w:widowControl/>
                    <w:adjustRightInd w:val="0"/>
                    <w:snapToGrid w:val="0"/>
                    <w:jc w:val="center"/>
                    <w:textAlignment w:val="center"/>
                    <w:rPr>
                      <w:rFonts w:hint="default" w:eastAsia="宋体"/>
                      <w:color w:val="auto"/>
                      <w:szCs w:val="21"/>
                      <w:lang w:val="en-US" w:eastAsia="zh-CN"/>
                    </w:rPr>
                  </w:pPr>
                  <w:r>
                    <w:rPr>
                      <w:rFonts w:hint="eastAsia"/>
                      <w:color w:val="auto"/>
                      <w:szCs w:val="21"/>
                      <w:lang w:val="en-US" w:eastAsia="zh-CN"/>
                    </w:rPr>
                    <w:t>10</w:t>
                  </w:r>
                </w:p>
              </w:tc>
            </w:tr>
            <w:tr w14:paraId="7E7BA5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6" w:type="dxa"/>
                  <w:vAlign w:val="center"/>
                </w:tcPr>
                <w:p w14:paraId="77DD7640">
                  <w:pPr>
                    <w:pStyle w:val="10"/>
                    <w:spacing w:before="0" w:after="0" w:line="240" w:lineRule="auto"/>
                    <w:ind w:right="0"/>
                    <w:jc w:val="center"/>
                    <w:rPr>
                      <w:rFonts w:hint="eastAsia" w:eastAsia="宋体"/>
                      <w:color w:val="auto"/>
                      <w:sz w:val="21"/>
                      <w:szCs w:val="21"/>
                      <w:lang w:eastAsia="zh-CN"/>
                    </w:rPr>
                  </w:pPr>
                  <w:r>
                    <w:rPr>
                      <w:rFonts w:hint="eastAsia"/>
                      <w:color w:val="auto"/>
                      <w:sz w:val="21"/>
                      <w:szCs w:val="21"/>
                      <w:lang w:val="en-US" w:eastAsia="zh-CN"/>
                    </w:rPr>
                    <w:t>4</w:t>
                  </w:r>
                </w:p>
              </w:tc>
              <w:tc>
                <w:tcPr>
                  <w:tcW w:w="2016" w:type="dxa"/>
                  <w:shd w:val="clear" w:color="auto" w:fill="auto"/>
                  <w:vAlign w:val="center"/>
                </w:tcPr>
                <w:p w14:paraId="060E718F">
                  <w:pPr>
                    <w:pStyle w:val="107"/>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废油墨桶</w:t>
                  </w:r>
                </w:p>
              </w:tc>
              <w:tc>
                <w:tcPr>
                  <w:tcW w:w="950" w:type="dxa"/>
                  <w:vAlign w:val="center"/>
                </w:tcPr>
                <w:p w14:paraId="73273B9C">
                  <w:pPr>
                    <w:jc w:val="center"/>
                    <w:rPr>
                      <w:color w:val="auto"/>
                      <w:szCs w:val="21"/>
                    </w:rPr>
                  </w:pPr>
                  <w:r>
                    <w:rPr>
                      <w:color w:val="auto"/>
                      <w:szCs w:val="21"/>
                    </w:rPr>
                    <w:t>危险废物</w:t>
                  </w:r>
                </w:p>
              </w:tc>
              <w:tc>
                <w:tcPr>
                  <w:tcW w:w="1350" w:type="dxa"/>
                  <w:shd w:val="clear" w:color="auto" w:fill="auto"/>
                  <w:vAlign w:val="center"/>
                </w:tcPr>
                <w:p w14:paraId="4326C682">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直印、移印、烫金</w:t>
                  </w:r>
                </w:p>
              </w:tc>
              <w:tc>
                <w:tcPr>
                  <w:tcW w:w="701" w:type="dxa"/>
                  <w:vAlign w:val="center"/>
                </w:tcPr>
                <w:p w14:paraId="419A465D">
                  <w:pPr>
                    <w:widowControl/>
                    <w:adjustRightInd w:val="0"/>
                    <w:snapToGrid w:val="0"/>
                    <w:jc w:val="center"/>
                    <w:textAlignment w:val="center"/>
                    <w:rPr>
                      <w:color w:val="auto"/>
                      <w:kern w:val="0"/>
                      <w:szCs w:val="21"/>
                      <w:lang w:bidi="ar"/>
                    </w:rPr>
                  </w:pPr>
                  <w:r>
                    <w:rPr>
                      <w:color w:val="auto"/>
                      <w:kern w:val="0"/>
                      <w:szCs w:val="21"/>
                      <w:lang w:bidi="ar"/>
                    </w:rPr>
                    <w:t>固态</w:t>
                  </w:r>
                </w:p>
              </w:tc>
              <w:tc>
                <w:tcPr>
                  <w:tcW w:w="1504" w:type="dxa"/>
                  <w:shd w:val="clear" w:color="auto" w:fill="auto"/>
                  <w:vAlign w:val="center"/>
                </w:tcPr>
                <w:p w14:paraId="568A2F28">
                  <w:pPr>
                    <w:widowControl/>
                    <w:adjustRightInd w:val="0"/>
                    <w:snapToGrid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塑料桶、油墨</w:t>
                  </w:r>
                </w:p>
              </w:tc>
              <w:tc>
                <w:tcPr>
                  <w:tcW w:w="1146" w:type="dxa"/>
                  <w:vMerge w:val="continue"/>
                  <w:vAlign w:val="center"/>
                </w:tcPr>
                <w:p w14:paraId="0E3FF56A">
                  <w:pPr>
                    <w:pStyle w:val="2"/>
                    <w:jc w:val="center"/>
                    <w:rPr>
                      <w:color w:val="auto"/>
                      <w:sz w:val="21"/>
                      <w:szCs w:val="21"/>
                    </w:rPr>
                  </w:pPr>
                </w:p>
              </w:tc>
              <w:tc>
                <w:tcPr>
                  <w:tcW w:w="963" w:type="dxa"/>
                  <w:shd w:val="clear" w:color="auto" w:fill="auto"/>
                  <w:vAlign w:val="center"/>
                </w:tcPr>
                <w:p w14:paraId="46B69BDB">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highlight w:val="none"/>
                      <w:lang w:val="en-US" w:eastAsia="zh-CN"/>
                    </w:rPr>
                    <w:t>T/In</w:t>
                  </w:r>
                </w:p>
              </w:tc>
              <w:tc>
                <w:tcPr>
                  <w:tcW w:w="950" w:type="dxa"/>
                  <w:shd w:val="clear" w:color="auto" w:fill="auto"/>
                  <w:vAlign w:val="center"/>
                </w:tcPr>
                <w:p w14:paraId="6685EACF">
                  <w:pPr>
                    <w:shd w:val="clear" w:color="auto" w:fill="auto"/>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highlight w:val="none"/>
                      <w:lang w:val="en-US" w:eastAsia="zh-CN"/>
                    </w:rPr>
                    <w:t>HW49</w:t>
                  </w:r>
                </w:p>
              </w:tc>
              <w:tc>
                <w:tcPr>
                  <w:tcW w:w="1237" w:type="dxa"/>
                  <w:shd w:val="clear" w:color="auto" w:fill="auto"/>
                  <w:vAlign w:val="center"/>
                </w:tcPr>
                <w:p w14:paraId="3A8E07A1">
                  <w:pPr>
                    <w:shd w:val="clear" w:color="auto" w:fill="auto"/>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highlight w:val="none"/>
                      <w:lang w:val="en-US" w:eastAsia="zh-CN"/>
                    </w:rPr>
                    <w:t>900-041-49</w:t>
                  </w:r>
                </w:p>
              </w:tc>
              <w:tc>
                <w:tcPr>
                  <w:tcW w:w="1398" w:type="dxa"/>
                  <w:vAlign w:val="center"/>
                </w:tcPr>
                <w:p w14:paraId="75C76BB3">
                  <w:pPr>
                    <w:widowControl/>
                    <w:adjustRightInd w:val="0"/>
                    <w:snapToGrid w:val="0"/>
                    <w:jc w:val="center"/>
                    <w:textAlignment w:val="center"/>
                    <w:rPr>
                      <w:rFonts w:hint="default" w:eastAsia="宋体"/>
                      <w:color w:val="auto"/>
                      <w:szCs w:val="21"/>
                      <w:lang w:val="en-US" w:eastAsia="zh-CN"/>
                    </w:rPr>
                  </w:pPr>
                  <w:r>
                    <w:rPr>
                      <w:rFonts w:hint="eastAsia"/>
                      <w:color w:val="auto"/>
                      <w:szCs w:val="21"/>
                      <w:lang w:val="en-US" w:eastAsia="zh-CN"/>
                    </w:rPr>
                    <w:t>0.08</w:t>
                  </w:r>
                </w:p>
              </w:tc>
            </w:tr>
            <w:tr w14:paraId="141DE7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6" w:type="dxa"/>
                  <w:vAlign w:val="center"/>
                </w:tcPr>
                <w:p w14:paraId="6DEE2364">
                  <w:pPr>
                    <w:pStyle w:val="10"/>
                    <w:spacing w:before="0" w:after="0" w:line="240" w:lineRule="auto"/>
                    <w:ind w:right="0"/>
                    <w:jc w:val="center"/>
                    <w:rPr>
                      <w:rFonts w:hint="eastAsia" w:eastAsia="宋体"/>
                      <w:color w:val="auto"/>
                      <w:sz w:val="21"/>
                      <w:szCs w:val="21"/>
                      <w:lang w:val="en-US" w:eastAsia="zh-CN"/>
                    </w:rPr>
                  </w:pPr>
                  <w:r>
                    <w:rPr>
                      <w:rFonts w:hint="eastAsia"/>
                      <w:color w:val="auto"/>
                      <w:sz w:val="21"/>
                      <w:szCs w:val="21"/>
                      <w:lang w:val="en-US" w:eastAsia="zh-CN"/>
                    </w:rPr>
                    <w:t>5</w:t>
                  </w:r>
                </w:p>
              </w:tc>
              <w:tc>
                <w:tcPr>
                  <w:tcW w:w="2016" w:type="dxa"/>
                  <w:shd w:val="clear" w:color="auto" w:fill="auto"/>
                  <w:vAlign w:val="center"/>
                </w:tcPr>
                <w:p w14:paraId="24720D0B">
                  <w:pPr>
                    <w:pStyle w:val="107"/>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废抹布、手套</w:t>
                  </w:r>
                </w:p>
              </w:tc>
              <w:tc>
                <w:tcPr>
                  <w:tcW w:w="950" w:type="dxa"/>
                  <w:vAlign w:val="center"/>
                </w:tcPr>
                <w:p w14:paraId="09AFA0B4">
                  <w:pPr>
                    <w:jc w:val="center"/>
                    <w:rPr>
                      <w:color w:val="auto"/>
                      <w:szCs w:val="21"/>
                    </w:rPr>
                  </w:pPr>
                  <w:r>
                    <w:rPr>
                      <w:color w:val="auto"/>
                      <w:szCs w:val="21"/>
                    </w:rPr>
                    <w:t>危险废物</w:t>
                  </w:r>
                </w:p>
              </w:tc>
              <w:tc>
                <w:tcPr>
                  <w:tcW w:w="1350" w:type="dxa"/>
                  <w:shd w:val="clear" w:color="auto" w:fill="auto"/>
                  <w:vAlign w:val="center"/>
                </w:tcPr>
                <w:p w14:paraId="6F62DEA8">
                  <w:pPr>
                    <w:widowControl/>
                    <w:adjustRightInd w:val="0"/>
                    <w:snapToGrid w:val="0"/>
                    <w:jc w:val="center"/>
                    <w:textAlignment w:val="center"/>
                    <w:rPr>
                      <w:rFonts w:hint="default"/>
                      <w:color w:val="auto"/>
                      <w:kern w:val="0"/>
                      <w:szCs w:val="21"/>
                      <w:lang w:val="en-US" w:eastAsia="zh-CN" w:bidi="ar"/>
                    </w:rPr>
                  </w:pPr>
                  <w:r>
                    <w:rPr>
                      <w:rFonts w:hint="eastAsia"/>
                      <w:color w:val="auto"/>
                      <w:kern w:val="0"/>
                      <w:szCs w:val="21"/>
                      <w:lang w:val="en-US" w:eastAsia="zh-CN" w:bidi="ar"/>
                    </w:rPr>
                    <w:t>设备清洁</w:t>
                  </w:r>
                </w:p>
              </w:tc>
              <w:tc>
                <w:tcPr>
                  <w:tcW w:w="701" w:type="dxa"/>
                  <w:vAlign w:val="center"/>
                </w:tcPr>
                <w:p w14:paraId="0868D4EE">
                  <w:pPr>
                    <w:widowControl/>
                    <w:adjustRightInd w:val="0"/>
                    <w:snapToGrid w:val="0"/>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固态</w:t>
                  </w:r>
                </w:p>
              </w:tc>
              <w:tc>
                <w:tcPr>
                  <w:tcW w:w="1504" w:type="dxa"/>
                  <w:shd w:val="clear" w:color="auto" w:fill="auto"/>
                  <w:vAlign w:val="center"/>
                </w:tcPr>
                <w:p w14:paraId="65D63900">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布、油墨</w:t>
                  </w:r>
                </w:p>
              </w:tc>
              <w:tc>
                <w:tcPr>
                  <w:tcW w:w="1146" w:type="dxa"/>
                  <w:vMerge w:val="continue"/>
                  <w:vAlign w:val="center"/>
                </w:tcPr>
                <w:p w14:paraId="035F2D6A">
                  <w:pPr>
                    <w:pStyle w:val="2"/>
                    <w:jc w:val="center"/>
                    <w:rPr>
                      <w:color w:val="auto"/>
                      <w:sz w:val="21"/>
                      <w:szCs w:val="21"/>
                    </w:rPr>
                  </w:pPr>
                </w:p>
              </w:tc>
              <w:tc>
                <w:tcPr>
                  <w:tcW w:w="963" w:type="dxa"/>
                  <w:shd w:val="clear" w:color="auto" w:fill="auto"/>
                  <w:vAlign w:val="center"/>
                </w:tcPr>
                <w:p w14:paraId="34F903A8">
                  <w:pPr>
                    <w:jc w:val="center"/>
                    <w:rPr>
                      <w:rFonts w:hint="eastAsia"/>
                      <w:color w:val="auto"/>
                      <w:szCs w:val="21"/>
                      <w:highlight w:val="none"/>
                      <w:lang w:val="en-US" w:eastAsia="zh-CN"/>
                    </w:rPr>
                  </w:pPr>
                  <w:r>
                    <w:rPr>
                      <w:rFonts w:hint="eastAsia"/>
                      <w:color w:val="auto"/>
                      <w:szCs w:val="21"/>
                      <w:highlight w:val="none"/>
                      <w:lang w:val="en-US" w:eastAsia="zh-CN"/>
                    </w:rPr>
                    <w:t>T/In</w:t>
                  </w:r>
                </w:p>
              </w:tc>
              <w:tc>
                <w:tcPr>
                  <w:tcW w:w="950" w:type="dxa"/>
                  <w:shd w:val="clear" w:color="auto" w:fill="auto"/>
                  <w:vAlign w:val="center"/>
                </w:tcPr>
                <w:p w14:paraId="69D9C6C7">
                  <w:pPr>
                    <w:shd w:val="clear" w:color="auto" w:fill="auto"/>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highlight w:val="none"/>
                      <w:lang w:val="en-US" w:eastAsia="zh-CN"/>
                    </w:rPr>
                    <w:t>HW49</w:t>
                  </w:r>
                </w:p>
              </w:tc>
              <w:tc>
                <w:tcPr>
                  <w:tcW w:w="1237" w:type="dxa"/>
                  <w:shd w:val="clear" w:color="auto" w:fill="auto"/>
                  <w:vAlign w:val="center"/>
                </w:tcPr>
                <w:p w14:paraId="485F1608">
                  <w:pPr>
                    <w:shd w:val="clear" w:color="auto" w:fill="auto"/>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highlight w:val="none"/>
                      <w:lang w:val="en-US" w:eastAsia="zh-CN"/>
                    </w:rPr>
                    <w:t>900-041-49</w:t>
                  </w:r>
                </w:p>
              </w:tc>
              <w:tc>
                <w:tcPr>
                  <w:tcW w:w="1398" w:type="dxa"/>
                  <w:vAlign w:val="center"/>
                </w:tcPr>
                <w:p w14:paraId="207BBE49">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0.002</w:t>
                  </w:r>
                </w:p>
              </w:tc>
            </w:tr>
            <w:tr w14:paraId="7FA5DE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6" w:type="dxa"/>
                  <w:vAlign w:val="center"/>
                </w:tcPr>
                <w:p w14:paraId="0F7F5322">
                  <w:pPr>
                    <w:pStyle w:val="10"/>
                    <w:spacing w:before="0" w:after="0" w:line="240" w:lineRule="auto"/>
                    <w:ind w:right="0"/>
                    <w:jc w:val="center"/>
                    <w:rPr>
                      <w:rFonts w:hint="default"/>
                      <w:color w:val="auto"/>
                      <w:sz w:val="21"/>
                      <w:szCs w:val="21"/>
                      <w:lang w:val="en-US" w:eastAsia="zh-CN"/>
                    </w:rPr>
                  </w:pPr>
                  <w:r>
                    <w:rPr>
                      <w:rFonts w:hint="eastAsia"/>
                      <w:color w:val="auto"/>
                      <w:sz w:val="21"/>
                      <w:szCs w:val="21"/>
                      <w:lang w:val="en-US" w:eastAsia="zh-CN"/>
                    </w:rPr>
                    <w:t>6</w:t>
                  </w:r>
                </w:p>
              </w:tc>
              <w:tc>
                <w:tcPr>
                  <w:tcW w:w="2016" w:type="dxa"/>
                  <w:shd w:val="clear" w:color="auto" w:fill="auto"/>
                  <w:vAlign w:val="center"/>
                </w:tcPr>
                <w:p w14:paraId="31D064D3">
                  <w:pPr>
                    <w:pStyle w:val="107"/>
                    <w:spacing w:line="240" w:lineRule="auto"/>
                    <w:ind w:firstLine="0" w:firstLineChars="0"/>
                    <w:jc w:val="center"/>
                    <w:rPr>
                      <w:rFonts w:hint="eastAsia" w:ascii="Times New Roman" w:hAnsi="Times New Roman" w:eastAsia="宋体" w:cs="Times New Roman"/>
                      <w:color w:val="auto"/>
                      <w:kern w:val="24"/>
                      <w:sz w:val="21"/>
                      <w:szCs w:val="21"/>
                      <w:lang w:val="en-US" w:eastAsia="zh-CN" w:bidi="ar-SA"/>
                    </w:rPr>
                  </w:pPr>
                  <w:r>
                    <w:rPr>
                      <w:rFonts w:hint="eastAsia" w:cs="Times New Roman"/>
                      <w:color w:val="auto"/>
                      <w:kern w:val="24"/>
                      <w:sz w:val="21"/>
                      <w:szCs w:val="21"/>
                      <w:lang w:val="en-US" w:eastAsia="zh-CN" w:bidi="ar-SA"/>
                    </w:rPr>
                    <w:t>含氟污泥</w:t>
                  </w:r>
                </w:p>
              </w:tc>
              <w:tc>
                <w:tcPr>
                  <w:tcW w:w="950" w:type="dxa"/>
                  <w:shd w:val="clear" w:color="auto" w:fill="auto"/>
                  <w:vAlign w:val="center"/>
                </w:tcPr>
                <w:p w14:paraId="7378DB83">
                  <w:pPr>
                    <w:jc w:val="center"/>
                    <w:rPr>
                      <w:rFonts w:ascii="Times New Roman" w:hAnsi="Times New Roman" w:eastAsia="宋体" w:cs="Times New Roman"/>
                      <w:color w:val="auto"/>
                      <w:kern w:val="2"/>
                      <w:sz w:val="21"/>
                      <w:szCs w:val="21"/>
                      <w:lang w:val="en-US" w:eastAsia="zh-CN" w:bidi="ar-SA"/>
                    </w:rPr>
                  </w:pPr>
                  <w:r>
                    <w:rPr>
                      <w:color w:val="auto"/>
                      <w:szCs w:val="21"/>
                    </w:rPr>
                    <w:t>一般固废</w:t>
                  </w:r>
                </w:p>
              </w:tc>
              <w:tc>
                <w:tcPr>
                  <w:tcW w:w="1350" w:type="dxa"/>
                  <w:shd w:val="clear" w:color="auto" w:fill="auto"/>
                  <w:vAlign w:val="center"/>
                </w:tcPr>
                <w:p w14:paraId="41B0D377">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废水处理</w:t>
                  </w:r>
                </w:p>
              </w:tc>
              <w:tc>
                <w:tcPr>
                  <w:tcW w:w="701" w:type="dxa"/>
                  <w:vAlign w:val="center"/>
                </w:tcPr>
                <w:p w14:paraId="6E6C5914">
                  <w:pPr>
                    <w:widowControl/>
                    <w:adjustRightInd w:val="0"/>
                    <w:snapToGrid w:val="0"/>
                    <w:jc w:val="center"/>
                    <w:textAlignment w:val="center"/>
                    <w:rPr>
                      <w:rFonts w:hint="default"/>
                      <w:color w:val="auto"/>
                      <w:kern w:val="0"/>
                      <w:szCs w:val="21"/>
                      <w:lang w:val="en-US" w:eastAsia="zh-CN" w:bidi="ar"/>
                    </w:rPr>
                  </w:pPr>
                  <w:r>
                    <w:rPr>
                      <w:rFonts w:hint="eastAsia"/>
                      <w:color w:val="auto"/>
                      <w:kern w:val="0"/>
                      <w:szCs w:val="21"/>
                      <w:lang w:val="en-US" w:eastAsia="zh-CN" w:bidi="ar"/>
                    </w:rPr>
                    <w:t>半固态</w:t>
                  </w:r>
                </w:p>
              </w:tc>
              <w:tc>
                <w:tcPr>
                  <w:tcW w:w="1504" w:type="dxa"/>
                  <w:shd w:val="clear" w:color="auto" w:fill="auto"/>
                  <w:vAlign w:val="center"/>
                </w:tcPr>
                <w:p w14:paraId="621EC18E">
                  <w:pPr>
                    <w:widowControl/>
                    <w:adjustRightInd w:val="0"/>
                    <w:snapToGrid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污泥、氟化钙</w:t>
                  </w:r>
                </w:p>
              </w:tc>
              <w:tc>
                <w:tcPr>
                  <w:tcW w:w="1146" w:type="dxa"/>
                  <w:vMerge w:val="continue"/>
                  <w:vAlign w:val="center"/>
                </w:tcPr>
                <w:p w14:paraId="2FBA9A1D">
                  <w:pPr>
                    <w:pStyle w:val="2"/>
                    <w:jc w:val="center"/>
                    <w:rPr>
                      <w:color w:val="auto"/>
                      <w:sz w:val="21"/>
                      <w:szCs w:val="21"/>
                    </w:rPr>
                  </w:pPr>
                </w:p>
              </w:tc>
              <w:tc>
                <w:tcPr>
                  <w:tcW w:w="963" w:type="dxa"/>
                  <w:shd w:val="clear" w:color="auto" w:fill="auto"/>
                  <w:vAlign w:val="center"/>
                </w:tcPr>
                <w:p w14:paraId="7135451E">
                  <w:pPr>
                    <w:jc w:val="center"/>
                    <w:rPr>
                      <w:rFonts w:hint="default"/>
                      <w:color w:val="auto"/>
                      <w:szCs w:val="21"/>
                      <w:highlight w:val="none"/>
                      <w:lang w:val="en-US" w:eastAsia="zh-CN"/>
                    </w:rPr>
                  </w:pPr>
                  <w:r>
                    <w:rPr>
                      <w:rFonts w:hint="eastAsia"/>
                      <w:color w:val="auto"/>
                      <w:szCs w:val="21"/>
                      <w:highlight w:val="none"/>
                      <w:lang w:val="en-US" w:eastAsia="zh-CN"/>
                    </w:rPr>
                    <w:t>/</w:t>
                  </w:r>
                </w:p>
              </w:tc>
              <w:tc>
                <w:tcPr>
                  <w:tcW w:w="950" w:type="dxa"/>
                  <w:shd w:val="clear" w:color="auto" w:fill="auto"/>
                  <w:vAlign w:val="center"/>
                </w:tcPr>
                <w:p w14:paraId="6AD5F49A">
                  <w:pPr>
                    <w:shd w:val="clear" w:color="auto" w:fill="auto"/>
                    <w:adjustRightInd w:val="0"/>
                    <w:snapToGrid w:val="0"/>
                    <w:jc w:val="center"/>
                    <w:rPr>
                      <w:rFonts w:hint="default"/>
                      <w:color w:val="auto"/>
                      <w:szCs w:val="21"/>
                      <w:highlight w:val="none"/>
                      <w:lang w:val="en-US" w:eastAsia="zh-CN"/>
                    </w:rPr>
                  </w:pPr>
                  <w:r>
                    <w:rPr>
                      <w:rFonts w:hint="eastAsia"/>
                      <w:color w:val="auto"/>
                      <w:szCs w:val="21"/>
                      <w:highlight w:val="none"/>
                      <w:lang w:val="en-US" w:eastAsia="zh-CN"/>
                    </w:rPr>
                    <w:t>SW07</w:t>
                  </w:r>
                </w:p>
              </w:tc>
              <w:tc>
                <w:tcPr>
                  <w:tcW w:w="1237" w:type="dxa"/>
                  <w:shd w:val="clear" w:color="auto" w:fill="auto"/>
                  <w:vAlign w:val="center"/>
                </w:tcPr>
                <w:p w14:paraId="73236F75">
                  <w:pPr>
                    <w:shd w:val="clear" w:color="auto" w:fill="auto"/>
                    <w:adjustRightInd w:val="0"/>
                    <w:snapToGrid w:val="0"/>
                    <w:jc w:val="center"/>
                    <w:rPr>
                      <w:rFonts w:hint="default"/>
                      <w:color w:val="auto"/>
                      <w:szCs w:val="21"/>
                      <w:highlight w:val="none"/>
                      <w:lang w:val="en-US" w:eastAsia="zh-CN"/>
                    </w:rPr>
                  </w:pPr>
                  <w:r>
                    <w:rPr>
                      <w:rFonts w:hint="eastAsia"/>
                      <w:color w:val="auto"/>
                      <w:szCs w:val="21"/>
                      <w:highlight w:val="none"/>
                      <w:lang w:val="en-US" w:eastAsia="zh-CN"/>
                    </w:rPr>
                    <w:t>900-099-S07</w:t>
                  </w:r>
                </w:p>
              </w:tc>
              <w:tc>
                <w:tcPr>
                  <w:tcW w:w="1398" w:type="dxa"/>
                  <w:vAlign w:val="center"/>
                </w:tcPr>
                <w:p w14:paraId="58983A28">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5</w:t>
                  </w:r>
                </w:p>
              </w:tc>
            </w:tr>
            <w:tr w14:paraId="5ECA21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6" w:type="dxa"/>
                  <w:vAlign w:val="center"/>
                </w:tcPr>
                <w:p w14:paraId="285CFF9C">
                  <w:pPr>
                    <w:pStyle w:val="10"/>
                    <w:spacing w:before="0" w:after="0" w:line="240" w:lineRule="auto"/>
                    <w:ind w:right="0"/>
                    <w:jc w:val="center"/>
                    <w:rPr>
                      <w:rFonts w:hint="default"/>
                      <w:color w:val="auto"/>
                      <w:sz w:val="21"/>
                      <w:szCs w:val="21"/>
                      <w:lang w:val="en-US" w:eastAsia="zh-CN"/>
                    </w:rPr>
                  </w:pPr>
                  <w:r>
                    <w:rPr>
                      <w:rFonts w:hint="eastAsia"/>
                      <w:color w:val="auto"/>
                      <w:sz w:val="21"/>
                      <w:szCs w:val="21"/>
                      <w:lang w:val="en-US" w:eastAsia="zh-CN"/>
                    </w:rPr>
                    <w:t>7</w:t>
                  </w:r>
                </w:p>
              </w:tc>
              <w:tc>
                <w:tcPr>
                  <w:tcW w:w="2016" w:type="dxa"/>
                  <w:shd w:val="clear" w:color="auto" w:fill="auto"/>
                  <w:vAlign w:val="center"/>
                </w:tcPr>
                <w:p w14:paraId="186F96FB">
                  <w:pPr>
                    <w:pStyle w:val="107"/>
                    <w:spacing w:line="240" w:lineRule="auto"/>
                    <w:ind w:firstLine="0" w:firstLineChars="0"/>
                    <w:jc w:val="center"/>
                    <w:rPr>
                      <w:rFonts w:hint="eastAsia" w:ascii="Times New Roman" w:hAnsi="Times New Roman" w:eastAsia="宋体" w:cs="Times New Roman"/>
                      <w:color w:val="auto"/>
                      <w:kern w:val="24"/>
                      <w:sz w:val="21"/>
                      <w:szCs w:val="21"/>
                      <w:lang w:val="en-US" w:eastAsia="zh-CN" w:bidi="ar-SA"/>
                    </w:rPr>
                  </w:pPr>
                  <w:r>
                    <w:rPr>
                      <w:rFonts w:hint="eastAsia" w:cs="Times New Roman"/>
                      <w:color w:val="auto"/>
                      <w:kern w:val="24"/>
                      <w:sz w:val="21"/>
                      <w:szCs w:val="21"/>
                      <w:lang w:val="en-US" w:eastAsia="zh-CN" w:bidi="ar-SA"/>
                    </w:rPr>
                    <w:t>废石英砂</w:t>
                  </w:r>
                </w:p>
              </w:tc>
              <w:tc>
                <w:tcPr>
                  <w:tcW w:w="950" w:type="dxa"/>
                  <w:shd w:val="clear" w:color="auto" w:fill="auto"/>
                  <w:vAlign w:val="center"/>
                </w:tcPr>
                <w:p w14:paraId="587C8430">
                  <w:pPr>
                    <w:jc w:val="center"/>
                    <w:rPr>
                      <w:rFonts w:ascii="Times New Roman" w:hAnsi="Times New Roman" w:eastAsia="宋体" w:cs="Times New Roman"/>
                      <w:color w:val="auto"/>
                      <w:kern w:val="2"/>
                      <w:sz w:val="21"/>
                      <w:szCs w:val="21"/>
                      <w:lang w:val="en-US" w:eastAsia="zh-CN" w:bidi="ar-SA"/>
                    </w:rPr>
                  </w:pPr>
                  <w:r>
                    <w:rPr>
                      <w:color w:val="auto"/>
                      <w:szCs w:val="21"/>
                    </w:rPr>
                    <w:t>危险废物</w:t>
                  </w:r>
                </w:p>
              </w:tc>
              <w:tc>
                <w:tcPr>
                  <w:tcW w:w="1350" w:type="dxa"/>
                  <w:shd w:val="clear" w:color="auto" w:fill="auto"/>
                  <w:vAlign w:val="center"/>
                </w:tcPr>
                <w:p w14:paraId="18049DA9">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废水处理</w:t>
                  </w:r>
                </w:p>
              </w:tc>
              <w:tc>
                <w:tcPr>
                  <w:tcW w:w="701" w:type="dxa"/>
                  <w:vAlign w:val="center"/>
                </w:tcPr>
                <w:p w14:paraId="38A558E3">
                  <w:pPr>
                    <w:widowControl/>
                    <w:adjustRightInd w:val="0"/>
                    <w:snapToGrid w:val="0"/>
                    <w:jc w:val="center"/>
                    <w:textAlignment w:val="center"/>
                    <w:rPr>
                      <w:rFonts w:hint="default"/>
                      <w:color w:val="auto"/>
                      <w:kern w:val="0"/>
                      <w:szCs w:val="21"/>
                      <w:lang w:val="en-US" w:eastAsia="zh-CN" w:bidi="ar"/>
                    </w:rPr>
                  </w:pPr>
                  <w:r>
                    <w:rPr>
                      <w:rFonts w:hint="eastAsia"/>
                      <w:color w:val="auto"/>
                      <w:kern w:val="0"/>
                      <w:szCs w:val="21"/>
                      <w:lang w:val="en-US" w:eastAsia="zh-CN" w:bidi="ar"/>
                    </w:rPr>
                    <w:t>固态</w:t>
                  </w:r>
                </w:p>
              </w:tc>
              <w:tc>
                <w:tcPr>
                  <w:tcW w:w="1504" w:type="dxa"/>
                  <w:shd w:val="clear" w:color="auto" w:fill="auto"/>
                  <w:vAlign w:val="center"/>
                </w:tcPr>
                <w:p w14:paraId="0E64B32E">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kern w:val="0"/>
                      <w:sz w:val="21"/>
                      <w:szCs w:val="21"/>
                      <w:lang w:val="en-US" w:eastAsia="zh-CN" w:bidi="ar-SA"/>
                    </w:rPr>
                    <w:t>石英砂、有机物</w:t>
                  </w:r>
                </w:p>
              </w:tc>
              <w:tc>
                <w:tcPr>
                  <w:tcW w:w="1146" w:type="dxa"/>
                  <w:vMerge w:val="continue"/>
                  <w:vAlign w:val="center"/>
                </w:tcPr>
                <w:p w14:paraId="390BFE3D">
                  <w:pPr>
                    <w:pStyle w:val="2"/>
                    <w:jc w:val="center"/>
                    <w:rPr>
                      <w:color w:val="auto"/>
                      <w:sz w:val="21"/>
                      <w:szCs w:val="21"/>
                    </w:rPr>
                  </w:pPr>
                </w:p>
              </w:tc>
              <w:tc>
                <w:tcPr>
                  <w:tcW w:w="963" w:type="dxa"/>
                  <w:shd w:val="clear" w:color="auto" w:fill="auto"/>
                  <w:vAlign w:val="center"/>
                </w:tcPr>
                <w:p w14:paraId="54B40DE8">
                  <w:pPr>
                    <w:jc w:val="center"/>
                    <w:rPr>
                      <w:rFonts w:hint="eastAsia" w:ascii="Times New Roman" w:hAnsi="Times New Roman" w:eastAsia="宋体" w:cs="Times New Roman"/>
                      <w:color w:val="auto"/>
                      <w:kern w:val="0"/>
                      <w:sz w:val="21"/>
                      <w:szCs w:val="21"/>
                      <w:lang w:val="en-US" w:eastAsia="zh-CN" w:bidi="ar-SA"/>
                    </w:rPr>
                  </w:pPr>
                  <w:r>
                    <w:rPr>
                      <w:rFonts w:hint="eastAsia" w:eastAsia="宋体"/>
                      <w:color w:val="auto"/>
                      <w:sz w:val="21"/>
                      <w:szCs w:val="21"/>
                      <w:lang w:val="en-US" w:eastAsia="zh-CN"/>
                    </w:rPr>
                    <w:t>T/In</w:t>
                  </w:r>
                </w:p>
              </w:tc>
              <w:tc>
                <w:tcPr>
                  <w:tcW w:w="950" w:type="dxa"/>
                  <w:shd w:val="clear" w:color="auto" w:fill="auto"/>
                  <w:vAlign w:val="center"/>
                </w:tcPr>
                <w:p w14:paraId="1A176B4D">
                  <w:pPr>
                    <w:tabs>
                      <w:tab w:val="center" w:pos="4153"/>
                      <w:tab w:val="right" w:pos="8306"/>
                    </w:tabs>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HW49</w:t>
                  </w:r>
                </w:p>
              </w:tc>
              <w:tc>
                <w:tcPr>
                  <w:tcW w:w="1237" w:type="dxa"/>
                  <w:shd w:val="clear" w:color="auto" w:fill="auto"/>
                  <w:vAlign w:val="center"/>
                </w:tcPr>
                <w:p w14:paraId="3866BD02">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900-</w:t>
                  </w:r>
                  <w:r>
                    <w:rPr>
                      <w:rFonts w:hint="eastAsia"/>
                      <w:color w:val="auto"/>
                      <w:szCs w:val="21"/>
                      <w:lang w:val="en-US" w:eastAsia="zh-CN"/>
                    </w:rPr>
                    <w:t>041-49</w:t>
                  </w:r>
                </w:p>
              </w:tc>
              <w:tc>
                <w:tcPr>
                  <w:tcW w:w="1398" w:type="dxa"/>
                  <w:shd w:val="clear" w:color="auto" w:fill="auto"/>
                  <w:vAlign w:val="center"/>
                </w:tcPr>
                <w:p w14:paraId="20DE9322">
                  <w:pPr>
                    <w:widowControl/>
                    <w:adjustRightInd w:val="0"/>
                    <w:snapToGrid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0.5</w:t>
                  </w:r>
                  <w:r>
                    <w:rPr>
                      <w:rFonts w:hint="default" w:ascii="Times New Roman" w:hAnsi="Times New Roman" w:cs="Times New Roman"/>
                      <w:color w:val="auto"/>
                      <w:szCs w:val="21"/>
                      <w:lang w:val="en-US" w:eastAsia="zh-CN"/>
                    </w:rPr>
                    <w:t>t/</w:t>
                  </w:r>
                  <w:r>
                    <w:rPr>
                      <w:rFonts w:hint="eastAsia" w:cs="Times New Roman"/>
                      <w:color w:val="auto"/>
                      <w:szCs w:val="21"/>
                      <w:lang w:val="en-US" w:eastAsia="zh-CN"/>
                    </w:rPr>
                    <w:t>3</w:t>
                  </w:r>
                  <w:r>
                    <w:rPr>
                      <w:rFonts w:hint="default" w:ascii="Times New Roman" w:hAnsi="Times New Roman" w:cs="Times New Roman"/>
                      <w:color w:val="auto"/>
                      <w:szCs w:val="21"/>
                      <w:lang w:val="en-US" w:eastAsia="zh-CN"/>
                    </w:rPr>
                    <w:t>a</w:t>
                  </w:r>
                </w:p>
              </w:tc>
            </w:tr>
            <w:tr w14:paraId="156153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6" w:type="dxa"/>
                  <w:vAlign w:val="center"/>
                </w:tcPr>
                <w:p w14:paraId="12ED1A9C">
                  <w:pPr>
                    <w:pStyle w:val="10"/>
                    <w:spacing w:before="0" w:after="0" w:line="240" w:lineRule="auto"/>
                    <w:ind w:right="0"/>
                    <w:jc w:val="center"/>
                    <w:rPr>
                      <w:rFonts w:hint="default"/>
                      <w:color w:val="auto"/>
                      <w:sz w:val="21"/>
                      <w:szCs w:val="21"/>
                      <w:lang w:val="en-US" w:eastAsia="zh-CN"/>
                    </w:rPr>
                  </w:pPr>
                  <w:r>
                    <w:rPr>
                      <w:rFonts w:hint="eastAsia"/>
                      <w:color w:val="auto"/>
                      <w:sz w:val="21"/>
                      <w:szCs w:val="21"/>
                      <w:lang w:val="en-US" w:eastAsia="zh-CN"/>
                    </w:rPr>
                    <w:t>8</w:t>
                  </w:r>
                </w:p>
              </w:tc>
              <w:tc>
                <w:tcPr>
                  <w:tcW w:w="2016" w:type="dxa"/>
                  <w:shd w:val="clear" w:color="auto" w:fill="auto"/>
                  <w:vAlign w:val="center"/>
                </w:tcPr>
                <w:p w14:paraId="202BC852">
                  <w:pPr>
                    <w:pStyle w:val="10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24"/>
                      <w:sz w:val="21"/>
                      <w:szCs w:val="21"/>
                      <w:lang w:val="en-US" w:eastAsia="zh-CN" w:bidi="ar-SA"/>
                    </w:rPr>
                  </w:pPr>
                  <w:r>
                    <w:rPr>
                      <w:rFonts w:hint="eastAsia" w:cs="Times New Roman"/>
                      <w:color w:val="auto"/>
                      <w:kern w:val="24"/>
                      <w:sz w:val="21"/>
                      <w:szCs w:val="21"/>
                      <w:lang w:val="en-US" w:eastAsia="zh-CN" w:bidi="ar-SA"/>
                    </w:rPr>
                    <w:t>废活性炭（</w:t>
                  </w:r>
                  <w:r>
                    <w:rPr>
                      <w:rFonts w:hint="eastAsia"/>
                      <w:color w:val="auto"/>
                      <w:kern w:val="0"/>
                      <w:sz w:val="21"/>
                      <w:szCs w:val="21"/>
                      <w:lang w:val="en-US" w:eastAsia="zh-CN" w:bidi="ar"/>
                    </w:rPr>
                    <w:t>废水处理</w:t>
                  </w:r>
                  <w:r>
                    <w:rPr>
                      <w:rFonts w:hint="eastAsia" w:cs="Times New Roman"/>
                      <w:color w:val="auto"/>
                      <w:kern w:val="24"/>
                      <w:sz w:val="21"/>
                      <w:szCs w:val="21"/>
                      <w:lang w:val="en-US" w:eastAsia="zh-CN" w:bidi="ar-SA"/>
                    </w:rPr>
                    <w:t>）</w:t>
                  </w:r>
                </w:p>
              </w:tc>
              <w:tc>
                <w:tcPr>
                  <w:tcW w:w="950" w:type="dxa"/>
                  <w:shd w:val="clear" w:color="auto" w:fill="auto"/>
                  <w:vAlign w:val="center"/>
                </w:tcPr>
                <w:p w14:paraId="7AB1DFE0">
                  <w:pPr>
                    <w:jc w:val="center"/>
                    <w:rPr>
                      <w:rFonts w:ascii="Times New Roman" w:hAnsi="Times New Roman" w:eastAsia="宋体" w:cs="Times New Roman"/>
                      <w:color w:val="auto"/>
                      <w:kern w:val="2"/>
                      <w:sz w:val="21"/>
                      <w:szCs w:val="21"/>
                      <w:lang w:val="en-US" w:eastAsia="zh-CN" w:bidi="ar-SA"/>
                    </w:rPr>
                  </w:pPr>
                  <w:r>
                    <w:rPr>
                      <w:color w:val="auto"/>
                      <w:szCs w:val="21"/>
                    </w:rPr>
                    <w:t>危险废物</w:t>
                  </w:r>
                </w:p>
              </w:tc>
              <w:tc>
                <w:tcPr>
                  <w:tcW w:w="1350" w:type="dxa"/>
                  <w:shd w:val="clear" w:color="auto" w:fill="auto"/>
                  <w:vAlign w:val="center"/>
                </w:tcPr>
                <w:p w14:paraId="2E852363">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废水处理</w:t>
                  </w:r>
                </w:p>
              </w:tc>
              <w:tc>
                <w:tcPr>
                  <w:tcW w:w="701" w:type="dxa"/>
                  <w:shd w:val="clear" w:color="auto" w:fill="auto"/>
                  <w:vAlign w:val="center"/>
                </w:tcPr>
                <w:p w14:paraId="6B34BCDF">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固态</w:t>
                  </w:r>
                </w:p>
              </w:tc>
              <w:tc>
                <w:tcPr>
                  <w:tcW w:w="1504" w:type="dxa"/>
                  <w:shd w:val="clear" w:color="auto" w:fill="auto"/>
                  <w:vAlign w:val="center"/>
                </w:tcPr>
                <w:p w14:paraId="362D0D45">
                  <w:pPr>
                    <w:widowControl/>
                    <w:adjustRightInd w:val="0"/>
                    <w:snapToGrid w:val="0"/>
                    <w:jc w:val="center"/>
                    <w:textAlignment w:val="center"/>
                    <w:rPr>
                      <w:rFonts w:hint="eastAsia"/>
                      <w:color w:val="auto"/>
                      <w:kern w:val="0"/>
                      <w:sz w:val="21"/>
                      <w:szCs w:val="21"/>
                      <w:lang w:val="en-US" w:eastAsia="zh-CN" w:bidi="ar-SA"/>
                    </w:rPr>
                  </w:pPr>
                  <w:r>
                    <w:rPr>
                      <w:rFonts w:hint="eastAsia"/>
                      <w:color w:val="auto"/>
                      <w:kern w:val="0"/>
                      <w:sz w:val="21"/>
                      <w:szCs w:val="21"/>
                      <w:lang w:val="en-US" w:eastAsia="zh-CN" w:bidi="ar-SA"/>
                    </w:rPr>
                    <w:t>活性炭、有机物</w:t>
                  </w:r>
                </w:p>
              </w:tc>
              <w:tc>
                <w:tcPr>
                  <w:tcW w:w="1146" w:type="dxa"/>
                  <w:vMerge w:val="continue"/>
                  <w:vAlign w:val="center"/>
                </w:tcPr>
                <w:p w14:paraId="04ACFD2A">
                  <w:pPr>
                    <w:pStyle w:val="2"/>
                    <w:jc w:val="center"/>
                    <w:rPr>
                      <w:color w:val="auto"/>
                      <w:sz w:val="21"/>
                      <w:szCs w:val="21"/>
                    </w:rPr>
                  </w:pPr>
                </w:p>
              </w:tc>
              <w:tc>
                <w:tcPr>
                  <w:tcW w:w="963" w:type="dxa"/>
                  <w:shd w:val="clear" w:color="auto" w:fill="auto"/>
                  <w:vAlign w:val="center"/>
                </w:tcPr>
                <w:p w14:paraId="4358359E">
                  <w:pPr>
                    <w:jc w:val="center"/>
                    <w:rPr>
                      <w:rFonts w:hint="eastAsia" w:ascii="Times New Roman" w:hAnsi="Times New Roman" w:eastAsia="宋体" w:cs="Times New Roman"/>
                      <w:color w:val="auto"/>
                      <w:kern w:val="0"/>
                      <w:sz w:val="21"/>
                      <w:szCs w:val="21"/>
                      <w:lang w:val="en-US" w:eastAsia="zh-CN" w:bidi="ar-SA"/>
                    </w:rPr>
                  </w:pPr>
                  <w:r>
                    <w:rPr>
                      <w:rFonts w:hint="eastAsia" w:eastAsia="宋体"/>
                      <w:color w:val="auto"/>
                      <w:sz w:val="21"/>
                      <w:szCs w:val="21"/>
                      <w:lang w:val="en-US" w:eastAsia="zh-CN"/>
                    </w:rPr>
                    <w:t>T/In</w:t>
                  </w:r>
                </w:p>
              </w:tc>
              <w:tc>
                <w:tcPr>
                  <w:tcW w:w="950" w:type="dxa"/>
                  <w:shd w:val="clear" w:color="auto" w:fill="auto"/>
                  <w:vAlign w:val="center"/>
                </w:tcPr>
                <w:p w14:paraId="294DAD74">
                  <w:pPr>
                    <w:tabs>
                      <w:tab w:val="center" w:pos="4153"/>
                      <w:tab w:val="right" w:pos="8306"/>
                    </w:tabs>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HW49</w:t>
                  </w:r>
                </w:p>
              </w:tc>
              <w:tc>
                <w:tcPr>
                  <w:tcW w:w="1237" w:type="dxa"/>
                  <w:shd w:val="clear" w:color="auto" w:fill="auto"/>
                  <w:vAlign w:val="center"/>
                </w:tcPr>
                <w:p w14:paraId="24EFDCA1">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900-</w:t>
                  </w:r>
                  <w:r>
                    <w:rPr>
                      <w:rFonts w:hint="eastAsia"/>
                      <w:color w:val="auto"/>
                      <w:szCs w:val="21"/>
                      <w:lang w:val="en-US" w:eastAsia="zh-CN"/>
                    </w:rPr>
                    <w:t>041-49</w:t>
                  </w:r>
                </w:p>
              </w:tc>
              <w:tc>
                <w:tcPr>
                  <w:tcW w:w="1398" w:type="dxa"/>
                  <w:shd w:val="clear" w:color="auto" w:fill="auto"/>
                  <w:vAlign w:val="center"/>
                </w:tcPr>
                <w:p w14:paraId="601D21A8">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0.25</w:t>
                  </w:r>
                  <w:r>
                    <w:rPr>
                      <w:rFonts w:hint="default" w:ascii="Times New Roman" w:hAnsi="Times New Roman" w:cs="Times New Roman"/>
                      <w:color w:val="auto"/>
                      <w:szCs w:val="21"/>
                      <w:lang w:val="en-US" w:eastAsia="zh-CN"/>
                    </w:rPr>
                    <w:t>t/</w:t>
                  </w:r>
                  <w:r>
                    <w:rPr>
                      <w:rFonts w:hint="eastAsia" w:cs="Times New Roman"/>
                      <w:color w:val="auto"/>
                      <w:szCs w:val="21"/>
                      <w:lang w:val="en-US" w:eastAsia="zh-CN"/>
                    </w:rPr>
                    <w:t>1.5</w:t>
                  </w:r>
                  <w:r>
                    <w:rPr>
                      <w:rFonts w:hint="default" w:ascii="Times New Roman" w:hAnsi="Times New Roman" w:cs="Times New Roman"/>
                      <w:color w:val="auto"/>
                      <w:szCs w:val="21"/>
                      <w:lang w:val="en-US" w:eastAsia="zh-CN"/>
                    </w:rPr>
                    <w:t>a</w:t>
                  </w:r>
                </w:p>
              </w:tc>
            </w:tr>
            <w:tr w14:paraId="39A8B3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6" w:type="dxa"/>
                  <w:vAlign w:val="center"/>
                </w:tcPr>
                <w:p w14:paraId="1428E2C7">
                  <w:pPr>
                    <w:pStyle w:val="10"/>
                    <w:spacing w:before="0" w:after="0" w:line="240" w:lineRule="auto"/>
                    <w:ind w:right="0"/>
                    <w:jc w:val="center"/>
                    <w:rPr>
                      <w:rFonts w:hint="default"/>
                      <w:color w:val="auto"/>
                      <w:sz w:val="21"/>
                      <w:szCs w:val="21"/>
                      <w:lang w:val="en-US" w:eastAsia="zh-CN"/>
                    </w:rPr>
                  </w:pPr>
                  <w:r>
                    <w:rPr>
                      <w:rFonts w:hint="eastAsia"/>
                      <w:color w:val="auto"/>
                      <w:sz w:val="21"/>
                      <w:szCs w:val="21"/>
                      <w:lang w:val="en-US" w:eastAsia="zh-CN"/>
                    </w:rPr>
                    <w:t>9</w:t>
                  </w:r>
                </w:p>
              </w:tc>
              <w:tc>
                <w:tcPr>
                  <w:tcW w:w="2016" w:type="dxa"/>
                  <w:shd w:val="clear" w:color="auto" w:fill="auto"/>
                  <w:vAlign w:val="center"/>
                </w:tcPr>
                <w:p w14:paraId="2A529E86">
                  <w:pPr>
                    <w:pStyle w:val="107"/>
                    <w:spacing w:line="240" w:lineRule="auto"/>
                    <w:ind w:firstLine="0" w:firstLineChars="0"/>
                    <w:jc w:val="center"/>
                    <w:rPr>
                      <w:rFonts w:hint="eastAsia" w:cs="Times New Roman"/>
                      <w:color w:val="auto"/>
                      <w:kern w:val="24"/>
                      <w:sz w:val="21"/>
                      <w:szCs w:val="21"/>
                      <w:lang w:val="en-US" w:eastAsia="zh-CN" w:bidi="ar-SA"/>
                    </w:rPr>
                  </w:pPr>
                  <w:r>
                    <w:rPr>
                      <w:rFonts w:hint="eastAsia" w:cs="Times New Roman"/>
                      <w:color w:val="auto"/>
                      <w:kern w:val="24"/>
                      <w:sz w:val="21"/>
                      <w:szCs w:val="21"/>
                      <w:lang w:val="en-US" w:eastAsia="zh-CN" w:bidi="ar-SA"/>
                    </w:rPr>
                    <w:t>废活性炭（</w:t>
                  </w:r>
                  <w:r>
                    <w:rPr>
                      <w:rFonts w:hint="eastAsia"/>
                      <w:color w:val="auto"/>
                      <w:kern w:val="0"/>
                      <w:sz w:val="21"/>
                      <w:szCs w:val="21"/>
                      <w:lang w:val="en-US" w:eastAsia="zh-CN" w:bidi="ar"/>
                    </w:rPr>
                    <w:t>废气处理</w:t>
                  </w:r>
                  <w:r>
                    <w:rPr>
                      <w:rFonts w:hint="eastAsia" w:cs="Times New Roman"/>
                      <w:color w:val="auto"/>
                      <w:kern w:val="24"/>
                      <w:sz w:val="21"/>
                      <w:szCs w:val="21"/>
                      <w:lang w:val="en-US" w:eastAsia="zh-CN" w:bidi="ar-SA"/>
                    </w:rPr>
                    <w:t>）</w:t>
                  </w:r>
                </w:p>
              </w:tc>
              <w:tc>
                <w:tcPr>
                  <w:tcW w:w="950" w:type="dxa"/>
                  <w:shd w:val="clear" w:color="auto" w:fill="auto"/>
                  <w:vAlign w:val="center"/>
                </w:tcPr>
                <w:p w14:paraId="2592FFD3">
                  <w:pPr>
                    <w:jc w:val="center"/>
                    <w:rPr>
                      <w:rFonts w:ascii="Times New Roman" w:hAnsi="Times New Roman" w:eastAsia="宋体" w:cs="Times New Roman"/>
                      <w:color w:val="auto"/>
                      <w:kern w:val="2"/>
                      <w:sz w:val="21"/>
                      <w:szCs w:val="21"/>
                      <w:lang w:val="en-US" w:eastAsia="zh-CN" w:bidi="ar-SA"/>
                    </w:rPr>
                  </w:pPr>
                  <w:r>
                    <w:rPr>
                      <w:color w:val="auto"/>
                      <w:szCs w:val="21"/>
                    </w:rPr>
                    <w:t>危险废物</w:t>
                  </w:r>
                </w:p>
              </w:tc>
              <w:tc>
                <w:tcPr>
                  <w:tcW w:w="1350" w:type="dxa"/>
                  <w:shd w:val="clear" w:color="auto" w:fill="auto"/>
                  <w:vAlign w:val="center"/>
                </w:tcPr>
                <w:p w14:paraId="61FFE9BB">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废气处理</w:t>
                  </w:r>
                </w:p>
              </w:tc>
              <w:tc>
                <w:tcPr>
                  <w:tcW w:w="701" w:type="dxa"/>
                  <w:shd w:val="clear" w:color="auto" w:fill="auto"/>
                  <w:vAlign w:val="center"/>
                </w:tcPr>
                <w:p w14:paraId="389CAD0C">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固态</w:t>
                  </w:r>
                </w:p>
              </w:tc>
              <w:tc>
                <w:tcPr>
                  <w:tcW w:w="1504" w:type="dxa"/>
                  <w:shd w:val="clear" w:color="auto" w:fill="auto"/>
                  <w:vAlign w:val="center"/>
                </w:tcPr>
                <w:p w14:paraId="04F2D16A">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bidi="ar-SA"/>
                    </w:rPr>
                    <w:t>活性炭、有机物</w:t>
                  </w:r>
                </w:p>
              </w:tc>
              <w:tc>
                <w:tcPr>
                  <w:tcW w:w="1146" w:type="dxa"/>
                  <w:vMerge w:val="continue"/>
                  <w:vAlign w:val="center"/>
                </w:tcPr>
                <w:p w14:paraId="647C4D20">
                  <w:pPr>
                    <w:pStyle w:val="2"/>
                    <w:jc w:val="center"/>
                    <w:rPr>
                      <w:color w:val="auto"/>
                      <w:sz w:val="21"/>
                      <w:szCs w:val="21"/>
                    </w:rPr>
                  </w:pPr>
                </w:p>
              </w:tc>
              <w:tc>
                <w:tcPr>
                  <w:tcW w:w="963" w:type="dxa"/>
                  <w:shd w:val="clear" w:color="auto" w:fill="auto"/>
                  <w:vAlign w:val="center"/>
                </w:tcPr>
                <w:p w14:paraId="77806221">
                  <w:pPr>
                    <w:pageBreakBefore w:val="0"/>
                    <w:wordWrap/>
                    <w:overflowPunct/>
                    <w:topLinePunct w:val="0"/>
                    <w:bidi w:val="0"/>
                    <w:snapToGrid w:val="0"/>
                    <w:jc w:val="center"/>
                    <w:rPr>
                      <w:rFonts w:hint="eastAsia" w:ascii="Times New Roman" w:hAnsi="Times New Roman" w:eastAsia="宋体" w:cs="Times New Roman"/>
                      <w:color w:val="auto"/>
                      <w:kern w:val="2"/>
                      <w:sz w:val="21"/>
                      <w:szCs w:val="21"/>
                      <w:lang w:val="en-US" w:eastAsia="zh-CN" w:bidi="ar-SA"/>
                    </w:rPr>
                  </w:pPr>
                  <w:r>
                    <w:rPr>
                      <w:color w:val="auto"/>
                      <w:szCs w:val="21"/>
                    </w:rPr>
                    <w:t>T/In</w:t>
                  </w:r>
                </w:p>
              </w:tc>
              <w:tc>
                <w:tcPr>
                  <w:tcW w:w="950" w:type="dxa"/>
                  <w:shd w:val="clear" w:color="auto" w:fill="auto"/>
                  <w:vAlign w:val="center"/>
                </w:tcPr>
                <w:p w14:paraId="21EEB9BC">
                  <w:pPr>
                    <w:pageBreakBefore w:val="0"/>
                    <w:wordWrap/>
                    <w:overflowPunct/>
                    <w:topLinePunct w:val="0"/>
                    <w:bidi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kern w:val="2"/>
                      <w:sz w:val="21"/>
                      <w:szCs w:val="21"/>
                      <w:lang w:val="en-US" w:eastAsia="zh-CN" w:bidi="ar-SA"/>
                    </w:rPr>
                    <w:t>HW49</w:t>
                  </w:r>
                </w:p>
              </w:tc>
              <w:tc>
                <w:tcPr>
                  <w:tcW w:w="1237" w:type="dxa"/>
                  <w:shd w:val="clear" w:color="auto" w:fill="auto"/>
                  <w:vAlign w:val="center"/>
                </w:tcPr>
                <w:p w14:paraId="6EF62802">
                  <w:pPr>
                    <w:pageBreakBefore w:val="0"/>
                    <w:widowControl/>
                    <w:wordWrap/>
                    <w:overflowPunct/>
                    <w:topLinePunct w:val="0"/>
                    <w:bidi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900-039-49</w:t>
                  </w:r>
                </w:p>
              </w:tc>
              <w:tc>
                <w:tcPr>
                  <w:tcW w:w="1398" w:type="dxa"/>
                  <w:shd w:val="clear" w:color="auto" w:fill="auto"/>
                  <w:vAlign w:val="center"/>
                </w:tcPr>
                <w:p w14:paraId="46AA45C2">
                  <w:pPr>
                    <w:widowControl/>
                    <w:adjustRightInd w:val="0"/>
                    <w:snapToGrid w:val="0"/>
                    <w:jc w:val="center"/>
                    <w:textAlignment w:val="center"/>
                    <w:rPr>
                      <w:rFonts w:hint="default" w:cs="Times New Roman"/>
                      <w:color w:val="auto"/>
                      <w:szCs w:val="21"/>
                      <w:lang w:val="en-US" w:eastAsia="zh-CN"/>
                    </w:rPr>
                  </w:pPr>
                  <w:r>
                    <w:rPr>
                      <w:rFonts w:hint="eastAsia" w:cs="Times New Roman"/>
                      <w:color w:val="auto"/>
                      <w:szCs w:val="21"/>
                      <w:lang w:val="en-US" w:eastAsia="zh-CN"/>
                    </w:rPr>
                    <w:t>0.77</w:t>
                  </w:r>
                </w:p>
              </w:tc>
            </w:tr>
            <w:tr w14:paraId="6F8550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2631" w:type="dxa"/>
                  <w:gridSpan w:val="11"/>
                  <w:vAlign w:val="center"/>
                </w:tcPr>
                <w:p w14:paraId="6885C938">
                  <w:pPr>
                    <w:widowControl/>
                    <w:adjustRightInd w:val="0"/>
                    <w:snapToGrid w:val="0"/>
                    <w:textAlignment w:val="center"/>
                    <w:rPr>
                      <w:color w:val="auto"/>
                      <w:szCs w:val="21"/>
                    </w:rPr>
                  </w:pPr>
                  <w:r>
                    <w:rPr>
                      <w:color w:val="auto"/>
                      <w:szCs w:val="21"/>
                    </w:rPr>
                    <w:t>注：</w:t>
                  </w:r>
                  <w:r>
                    <w:rPr>
                      <w:rFonts w:hint="eastAsia"/>
                      <w:color w:val="auto"/>
                      <w:szCs w:val="21"/>
                    </w:rPr>
                    <w:t>根据</w:t>
                  </w:r>
                  <w:r>
                    <w:rPr>
                      <w:color w:val="auto"/>
                      <w:kern w:val="10"/>
                      <w:szCs w:val="21"/>
                    </w:rPr>
                    <w:t>《省生态环境厅关于进一步完善般工业固体废物环境管理的通知》（按苏环办〔2023〕327号）中相关要求，</w:t>
                  </w:r>
                  <w:r>
                    <w:rPr>
                      <w:rFonts w:hint="eastAsia"/>
                      <w:color w:val="auto"/>
                      <w:kern w:val="10"/>
                      <w:szCs w:val="21"/>
                    </w:rPr>
                    <w:t>本报告</w:t>
                  </w:r>
                  <w:r>
                    <w:rPr>
                      <w:color w:val="auto"/>
                      <w:kern w:val="10"/>
                      <w:szCs w:val="21"/>
                    </w:rPr>
                    <w:t>参照</w:t>
                  </w:r>
                  <w:r>
                    <w:rPr>
                      <w:color w:val="auto"/>
                      <w:szCs w:val="21"/>
                    </w:rPr>
                    <w:t>《固体废物分类与代码目录》（生态环境部</w:t>
                  </w:r>
                  <w:r>
                    <w:rPr>
                      <w:rFonts w:hint="eastAsia"/>
                      <w:color w:val="auto"/>
                      <w:szCs w:val="21"/>
                    </w:rPr>
                    <w:t xml:space="preserve"> 公告2024年第4号</w:t>
                  </w:r>
                  <w:r>
                    <w:rPr>
                      <w:color w:val="auto"/>
                      <w:szCs w:val="21"/>
                    </w:rPr>
                    <w:t>）给出项目一般固废代码</w:t>
                  </w:r>
                  <w:r>
                    <w:rPr>
                      <w:rFonts w:hint="eastAsia"/>
                      <w:color w:val="auto"/>
                      <w:szCs w:val="21"/>
                    </w:rPr>
                    <w:t>。</w:t>
                  </w:r>
                </w:p>
              </w:tc>
            </w:tr>
          </w:tbl>
          <w:p w14:paraId="68801BF3">
            <w:pPr>
              <w:widowControl/>
              <w:spacing w:before="147" w:beforeLines="50"/>
              <w:jc w:val="center"/>
              <w:rPr>
                <w:b/>
                <w:bCs/>
                <w:color w:val="auto"/>
                <w:kern w:val="10"/>
                <w:szCs w:val="21"/>
              </w:rPr>
            </w:pPr>
            <w:r>
              <w:rPr>
                <w:b/>
                <w:bCs/>
                <w:color w:val="auto"/>
                <w:kern w:val="10"/>
                <w:szCs w:val="21"/>
              </w:rPr>
              <w:t>表</w:t>
            </w:r>
            <w:r>
              <w:rPr>
                <w:rFonts w:hint="eastAsia"/>
                <w:b/>
                <w:bCs/>
                <w:color w:val="auto"/>
                <w:kern w:val="10"/>
                <w:szCs w:val="21"/>
              </w:rPr>
              <w:t>4</w:t>
            </w:r>
            <w:r>
              <w:rPr>
                <w:b/>
                <w:bCs/>
                <w:color w:val="auto"/>
                <w:kern w:val="10"/>
                <w:szCs w:val="21"/>
              </w:rPr>
              <w:t>-</w:t>
            </w:r>
            <w:r>
              <w:rPr>
                <w:rFonts w:hint="eastAsia"/>
                <w:b/>
                <w:bCs/>
                <w:color w:val="auto"/>
                <w:kern w:val="10"/>
                <w:szCs w:val="21"/>
                <w:lang w:val="en-US" w:eastAsia="zh-CN"/>
              </w:rPr>
              <w:t>29</w:t>
            </w:r>
            <w:r>
              <w:rPr>
                <w:rFonts w:hint="eastAsia"/>
                <w:b/>
                <w:bCs/>
                <w:color w:val="auto"/>
                <w:kern w:val="10"/>
                <w:szCs w:val="21"/>
              </w:rPr>
              <w:t xml:space="preserve"> 本项目</w:t>
            </w:r>
            <w:r>
              <w:rPr>
                <w:b/>
                <w:bCs/>
                <w:color w:val="auto"/>
                <w:kern w:val="10"/>
                <w:szCs w:val="21"/>
              </w:rPr>
              <w:t>危险废物汇总表</w:t>
            </w:r>
          </w:p>
          <w:tbl>
            <w:tblPr>
              <w:tblStyle w:val="30"/>
              <w:tblW w:w="1264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31"/>
              <w:gridCol w:w="1276"/>
              <w:gridCol w:w="1276"/>
              <w:gridCol w:w="1276"/>
              <w:gridCol w:w="1170"/>
              <w:gridCol w:w="1239"/>
              <w:gridCol w:w="608"/>
              <w:gridCol w:w="1170"/>
              <w:gridCol w:w="1020"/>
              <w:gridCol w:w="900"/>
              <w:gridCol w:w="960"/>
              <w:gridCol w:w="1323"/>
            </w:tblGrid>
            <w:tr w14:paraId="3C507C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1" w:type="dxa"/>
                  <w:vAlign w:val="center"/>
                </w:tcPr>
                <w:p w14:paraId="15BD1BD0">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序号</w:t>
                  </w:r>
                </w:p>
              </w:tc>
              <w:tc>
                <w:tcPr>
                  <w:tcW w:w="1276" w:type="dxa"/>
                  <w:vAlign w:val="center"/>
                </w:tcPr>
                <w:p w14:paraId="12E0A892">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危险废物名称</w:t>
                  </w:r>
                </w:p>
              </w:tc>
              <w:tc>
                <w:tcPr>
                  <w:tcW w:w="1276" w:type="dxa"/>
                  <w:vAlign w:val="center"/>
                </w:tcPr>
                <w:p w14:paraId="4FAFB0BF">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危险废物类别</w:t>
                  </w:r>
                </w:p>
              </w:tc>
              <w:tc>
                <w:tcPr>
                  <w:tcW w:w="1276" w:type="dxa"/>
                  <w:vAlign w:val="center"/>
                </w:tcPr>
                <w:p w14:paraId="221C62B6">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危险废物代码</w:t>
                  </w:r>
                </w:p>
              </w:tc>
              <w:tc>
                <w:tcPr>
                  <w:tcW w:w="1170" w:type="dxa"/>
                  <w:vAlign w:val="center"/>
                </w:tcPr>
                <w:p w14:paraId="360392FF">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产生量t/a</w:t>
                  </w:r>
                </w:p>
              </w:tc>
              <w:tc>
                <w:tcPr>
                  <w:tcW w:w="1239" w:type="dxa"/>
                  <w:vAlign w:val="center"/>
                </w:tcPr>
                <w:p w14:paraId="422B00ED">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产生工序及装置</w:t>
                  </w:r>
                </w:p>
              </w:tc>
              <w:tc>
                <w:tcPr>
                  <w:tcW w:w="608" w:type="dxa"/>
                  <w:vAlign w:val="center"/>
                </w:tcPr>
                <w:p w14:paraId="06CF5819">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形态</w:t>
                  </w:r>
                </w:p>
              </w:tc>
              <w:tc>
                <w:tcPr>
                  <w:tcW w:w="1170" w:type="dxa"/>
                  <w:vAlign w:val="center"/>
                </w:tcPr>
                <w:p w14:paraId="5B735BF2">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主要成分</w:t>
                  </w:r>
                </w:p>
              </w:tc>
              <w:tc>
                <w:tcPr>
                  <w:tcW w:w="1020" w:type="dxa"/>
                  <w:vAlign w:val="center"/>
                </w:tcPr>
                <w:p w14:paraId="739B3AD6">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有害成分</w:t>
                  </w:r>
                </w:p>
              </w:tc>
              <w:tc>
                <w:tcPr>
                  <w:tcW w:w="900" w:type="dxa"/>
                  <w:vAlign w:val="center"/>
                </w:tcPr>
                <w:p w14:paraId="252D2179">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产废周期</w:t>
                  </w:r>
                </w:p>
              </w:tc>
              <w:tc>
                <w:tcPr>
                  <w:tcW w:w="960" w:type="dxa"/>
                  <w:vAlign w:val="center"/>
                </w:tcPr>
                <w:p w14:paraId="4F69F101">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危险特性</w:t>
                  </w:r>
                </w:p>
              </w:tc>
              <w:tc>
                <w:tcPr>
                  <w:tcW w:w="1323" w:type="dxa"/>
                  <w:vAlign w:val="center"/>
                </w:tcPr>
                <w:p w14:paraId="2E4F893C">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污染防治措施</w:t>
                  </w:r>
                </w:p>
              </w:tc>
            </w:tr>
            <w:tr w14:paraId="31490E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1" w:type="dxa"/>
                  <w:vAlign w:val="center"/>
                </w:tcPr>
                <w:p w14:paraId="76C1E27E">
                  <w:pPr>
                    <w:snapToGrid w:val="0"/>
                    <w:jc w:val="center"/>
                    <w:rPr>
                      <w:color w:val="auto"/>
                      <w:szCs w:val="21"/>
                    </w:rPr>
                  </w:pPr>
                  <w:r>
                    <w:rPr>
                      <w:color w:val="auto"/>
                      <w:szCs w:val="21"/>
                    </w:rPr>
                    <w:t>1</w:t>
                  </w:r>
                </w:p>
              </w:tc>
              <w:tc>
                <w:tcPr>
                  <w:tcW w:w="1276" w:type="dxa"/>
                  <w:shd w:val="clear" w:color="auto" w:fill="auto"/>
                  <w:vAlign w:val="center"/>
                </w:tcPr>
                <w:p w14:paraId="071B02DF">
                  <w:pPr>
                    <w:pStyle w:val="107"/>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废油墨桶</w:t>
                  </w:r>
                </w:p>
              </w:tc>
              <w:tc>
                <w:tcPr>
                  <w:tcW w:w="1276" w:type="dxa"/>
                  <w:shd w:val="clear" w:color="auto" w:fill="auto"/>
                  <w:vAlign w:val="center"/>
                </w:tcPr>
                <w:p w14:paraId="3249EBAC">
                  <w:pPr>
                    <w:shd w:val="clear" w:color="auto" w:fill="auto"/>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highlight w:val="none"/>
                      <w:lang w:val="en-US" w:eastAsia="zh-CN"/>
                    </w:rPr>
                    <w:t>HW49</w:t>
                  </w:r>
                </w:p>
              </w:tc>
              <w:tc>
                <w:tcPr>
                  <w:tcW w:w="1276" w:type="dxa"/>
                  <w:shd w:val="clear" w:color="auto" w:fill="auto"/>
                  <w:vAlign w:val="center"/>
                </w:tcPr>
                <w:p w14:paraId="58E2E3F9">
                  <w:pPr>
                    <w:shd w:val="clear" w:color="auto" w:fill="auto"/>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highlight w:val="none"/>
                      <w:lang w:val="en-US" w:eastAsia="zh-CN"/>
                    </w:rPr>
                    <w:t>900-041-49</w:t>
                  </w:r>
                </w:p>
              </w:tc>
              <w:tc>
                <w:tcPr>
                  <w:tcW w:w="1170" w:type="dxa"/>
                  <w:shd w:val="clear" w:color="auto" w:fill="auto"/>
                  <w:vAlign w:val="center"/>
                </w:tcPr>
                <w:p w14:paraId="1350B408">
                  <w:pPr>
                    <w:widowControl/>
                    <w:adjustRightInd w:val="0"/>
                    <w:snapToGrid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0.08</w:t>
                  </w:r>
                </w:p>
              </w:tc>
              <w:tc>
                <w:tcPr>
                  <w:tcW w:w="1239" w:type="dxa"/>
                  <w:shd w:val="clear" w:color="auto" w:fill="auto"/>
                  <w:vAlign w:val="center"/>
                </w:tcPr>
                <w:p w14:paraId="1A1751F4">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直印、移印、烫金</w:t>
                  </w:r>
                </w:p>
              </w:tc>
              <w:tc>
                <w:tcPr>
                  <w:tcW w:w="608" w:type="dxa"/>
                  <w:shd w:val="clear" w:color="auto" w:fill="auto"/>
                  <w:vAlign w:val="center"/>
                </w:tcPr>
                <w:p w14:paraId="0BAFB637">
                  <w:pPr>
                    <w:widowControl/>
                    <w:adjustRightInd w:val="0"/>
                    <w:snapToGrid w:val="0"/>
                    <w:jc w:val="center"/>
                    <w:textAlignment w:val="center"/>
                    <w:rPr>
                      <w:rFonts w:ascii="Times New Roman" w:hAnsi="Times New Roman" w:eastAsia="宋体" w:cs="Times New Roman"/>
                      <w:color w:val="auto"/>
                      <w:kern w:val="0"/>
                      <w:sz w:val="21"/>
                      <w:szCs w:val="21"/>
                      <w:lang w:val="en-US" w:eastAsia="zh-CN" w:bidi="ar"/>
                    </w:rPr>
                  </w:pPr>
                  <w:r>
                    <w:rPr>
                      <w:color w:val="auto"/>
                      <w:kern w:val="0"/>
                      <w:szCs w:val="21"/>
                      <w:lang w:bidi="ar"/>
                    </w:rPr>
                    <w:t>固态</w:t>
                  </w:r>
                </w:p>
              </w:tc>
              <w:tc>
                <w:tcPr>
                  <w:tcW w:w="1170" w:type="dxa"/>
                  <w:shd w:val="clear" w:color="auto" w:fill="auto"/>
                  <w:vAlign w:val="center"/>
                </w:tcPr>
                <w:p w14:paraId="6EEE14C6">
                  <w:pPr>
                    <w:widowControl/>
                    <w:adjustRightInd w:val="0"/>
                    <w:snapToGrid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塑料桶、油墨</w:t>
                  </w:r>
                </w:p>
              </w:tc>
              <w:tc>
                <w:tcPr>
                  <w:tcW w:w="1020" w:type="dxa"/>
                  <w:vAlign w:val="center"/>
                </w:tcPr>
                <w:p w14:paraId="3E9FE3FE">
                  <w:pPr>
                    <w:widowControl/>
                    <w:adjustRightInd w:val="0"/>
                    <w:snapToGrid w:val="0"/>
                    <w:jc w:val="center"/>
                    <w:textAlignment w:val="center"/>
                    <w:rPr>
                      <w:rFonts w:hint="eastAsia" w:eastAsia="宋体"/>
                      <w:color w:val="auto"/>
                      <w:kern w:val="0"/>
                      <w:szCs w:val="21"/>
                      <w:lang w:eastAsia="zh-CN" w:bidi="ar"/>
                    </w:rPr>
                  </w:pPr>
                  <w:r>
                    <w:rPr>
                      <w:rFonts w:hint="eastAsia"/>
                      <w:color w:val="auto"/>
                      <w:szCs w:val="21"/>
                      <w:lang w:val="en-US" w:eastAsia="zh-CN"/>
                    </w:rPr>
                    <w:t>油墨</w:t>
                  </w:r>
                </w:p>
              </w:tc>
              <w:tc>
                <w:tcPr>
                  <w:tcW w:w="900" w:type="dxa"/>
                  <w:vAlign w:val="center"/>
                </w:tcPr>
                <w:p w14:paraId="16FA6F0D">
                  <w:pPr>
                    <w:pStyle w:val="6"/>
                    <w:ind w:left="17" w:hanging="16" w:hangingChars="8"/>
                    <w:jc w:val="center"/>
                    <w:rPr>
                      <w:rFonts w:hint="eastAsia" w:eastAsia="宋体"/>
                      <w:color w:val="auto"/>
                      <w:szCs w:val="21"/>
                      <w:lang w:eastAsia="zh-CN"/>
                    </w:rPr>
                  </w:pPr>
                  <w:r>
                    <w:rPr>
                      <w:rFonts w:hint="eastAsia"/>
                      <w:color w:val="auto"/>
                      <w:szCs w:val="21"/>
                      <w:lang w:val="en-US" w:eastAsia="zh-CN"/>
                    </w:rPr>
                    <w:t>每天</w:t>
                  </w:r>
                </w:p>
              </w:tc>
              <w:tc>
                <w:tcPr>
                  <w:tcW w:w="960" w:type="dxa"/>
                  <w:shd w:val="clear" w:color="auto" w:fill="auto"/>
                  <w:vAlign w:val="center"/>
                </w:tcPr>
                <w:p w14:paraId="20830F28">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highlight w:val="none"/>
                      <w:lang w:val="en-US" w:eastAsia="zh-CN"/>
                    </w:rPr>
                    <w:t>T/In</w:t>
                  </w:r>
                </w:p>
              </w:tc>
              <w:tc>
                <w:tcPr>
                  <w:tcW w:w="1323" w:type="dxa"/>
                  <w:vMerge w:val="restart"/>
                  <w:vAlign w:val="center"/>
                </w:tcPr>
                <w:p w14:paraId="5EE9254E">
                  <w:pPr>
                    <w:pStyle w:val="118"/>
                    <w:tabs>
                      <w:tab w:val="clear" w:pos="1080"/>
                    </w:tabs>
                    <w:adjustRightInd w:val="0"/>
                    <w:snapToGrid w:val="0"/>
                    <w:spacing w:line="240" w:lineRule="auto"/>
                    <w:ind w:firstLine="0" w:firstLineChars="0"/>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规范暂存于厂区危废仓库，并</w:t>
                  </w:r>
                  <w:r>
                    <w:rPr>
                      <w:color w:val="auto"/>
                      <w:sz w:val="21"/>
                      <w:szCs w:val="21"/>
                    </w:rPr>
                    <w:t>委托相关资质单位安全处置</w:t>
                  </w:r>
                </w:p>
              </w:tc>
            </w:tr>
            <w:tr w14:paraId="0289D7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1" w:type="dxa"/>
                  <w:vAlign w:val="center"/>
                </w:tcPr>
                <w:p w14:paraId="5ACCBD01">
                  <w:pPr>
                    <w:pStyle w:val="10"/>
                    <w:spacing w:before="0" w:after="0" w:line="240" w:lineRule="auto"/>
                    <w:ind w:right="0"/>
                    <w:jc w:val="center"/>
                    <w:rPr>
                      <w:color w:val="auto"/>
                      <w:sz w:val="21"/>
                      <w:szCs w:val="21"/>
                    </w:rPr>
                  </w:pPr>
                  <w:r>
                    <w:rPr>
                      <w:color w:val="auto"/>
                      <w:sz w:val="21"/>
                      <w:szCs w:val="21"/>
                    </w:rPr>
                    <w:t>2</w:t>
                  </w:r>
                </w:p>
              </w:tc>
              <w:tc>
                <w:tcPr>
                  <w:tcW w:w="1276" w:type="dxa"/>
                  <w:shd w:val="clear" w:color="auto" w:fill="auto"/>
                  <w:vAlign w:val="center"/>
                </w:tcPr>
                <w:p w14:paraId="7B7BC572">
                  <w:pPr>
                    <w:pStyle w:val="107"/>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废抹布、手套</w:t>
                  </w:r>
                </w:p>
              </w:tc>
              <w:tc>
                <w:tcPr>
                  <w:tcW w:w="1276" w:type="dxa"/>
                  <w:shd w:val="clear" w:color="auto" w:fill="auto"/>
                  <w:vAlign w:val="center"/>
                </w:tcPr>
                <w:p w14:paraId="5652B0CE">
                  <w:pPr>
                    <w:shd w:val="clear" w:color="auto" w:fill="auto"/>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highlight w:val="none"/>
                      <w:lang w:val="en-US" w:eastAsia="zh-CN"/>
                    </w:rPr>
                    <w:t>HW49</w:t>
                  </w:r>
                </w:p>
              </w:tc>
              <w:tc>
                <w:tcPr>
                  <w:tcW w:w="1276" w:type="dxa"/>
                  <w:shd w:val="clear" w:color="auto" w:fill="auto"/>
                  <w:vAlign w:val="center"/>
                </w:tcPr>
                <w:p w14:paraId="3D55BB8F">
                  <w:pPr>
                    <w:shd w:val="clear" w:color="auto" w:fill="auto"/>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highlight w:val="none"/>
                      <w:lang w:val="en-US" w:eastAsia="zh-CN"/>
                    </w:rPr>
                    <w:t>900-041-49</w:t>
                  </w:r>
                </w:p>
              </w:tc>
              <w:tc>
                <w:tcPr>
                  <w:tcW w:w="1170" w:type="dxa"/>
                  <w:shd w:val="clear" w:color="auto" w:fill="auto"/>
                  <w:vAlign w:val="center"/>
                </w:tcPr>
                <w:p w14:paraId="1D0925EF">
                  <w:pPr>
                    <w:widowControl/>
                    <w:adjustRightInd w:val="0"/>
                    <w:snapToGrid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0.002</w:t>
                  </w:r>
                </w:p>
              </w:tc>
              <w:tc>
                <w:tcPr>
                  <w:tcW w:w="1239" w:type="dxa"/>
                  <w:shd w:val="clear" w:color="auto" w:fill="auto"/>
                  <w:vAlign w:val="center"/>
                </w:tcPr>
                <w:p w14:paraId="0300F228">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设备清洁</w:t>
                  </w:r>
                </w:p>
              </w:tc>
              <w:tc>
                <w:tcPr>
                  <w:tcW w:w="608" w:type="dxa"/>
                  <w:shd w:val="clear" w:color="auto" w:fill="auto"/>
                  <w:vAlign w:val="center"/>
                </w:tcPr>
                <w:p w14:paraId="5656A213">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固态</w:t>
                  </w:r>
                </w:p>
              </w:tc>
              <w:tc>
                <w:tcPr>
                  <w:tcW w:w="1170" w:type="dxa"/>
                  <w:shd w:val="clear" w:color="auto" w:fill="auto"/>
                  <w:vAlign w:val="center"/>
                </w:tcPr>
                <w:p w14:paraId="54949FED">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布、油墨</w:t>
                  </w:r>
                </w:p>
              </w:tc>
              <w:tc>
                <w:tcPr>
                  <w:tcW w:w="1020" w:type="dxa"/>
                  <w:vAlign w:val="center"/>
                </w:tcPr>
                <w:p w14:paraId="64C81C97">
                  <w:pPr>
                    <w:widowControl/>
                    <w:adjustRightInd w:val="0"/>
                    <w:snapToGrid w:val="0"/>
                    <w:jc w:val="center"/>
                    <w:textAlignment w:val="center"/>
                    <w:rPr>
                      <w:rFonts w:hint="default" w:eastAsia="宋体"/>
                      <w:color w:val="auto"/>
                      <w:szCs w:val="21"/>
                      <w:lang w:val="en-US" w:eastAsia="zh-CN"/>
                    </w:rPr>
                  </w:pPr>
                  <w:r>
                    <w:rPr>
                      <w:rFonts w:hint="eastAsia"/>
                      <w:color w:val="auto"/>
                      <w:szCs w:val="21"/>
                      <w:lang w:val="en-US" w:eastAsia="zh-CN"/>
                    </w:rPr>
                    <w:t>油墨</w:t>
                  </w:r>
                </w:p>
              </w:tc>
              <w:tc>
                <w:tcPr>
                  <w:tcW w:w="900" w:type="dxa"/>
                  <w:vAlign w:val="center"/>
                </w:tcPr>
                <w:p w14:paraId="6BFDB05C">
                  <w:pPr>
                    <w:pStyle w:val="6"/>
                    <w:ind w:left="17" w:hanging="16" w:hangingChars="8"/>
                    <w:jc w:val="center"/>
                    <w:rPr>
                      <w:color w:val="auto"/>
                      <w:szCs w:val="21"/>
                    </w:rPr>
                  </w:pPr>
                  <w:r>
                    <w:rPr>
                      <w:rFonts w:hint="eastAsia"/>
                      <w:color w:val="auto"/>
                      <w:szCs w:val="21"/>
                    </w:rPr>
                    <w:t>1年</w:t>
                  </w:r>
                </w:p>
              </w:tc>
              <w:tc>
                <w:tcPr>
                  <w:tcW w:w="960" w:type="dxa"/>
                  <w:shd w:val="clear" w:color="auto" w:fill="auto"/>
                  <w:vAlign w:val="center"/>
                </w:tcPr>
                <w:p w14:paraId="7E639BA6">
                  <w:pPr>
                    <w:shd w:val="clear" w:color="auto" w:fill="auto"/>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highlight w:val="none"/>
                      <w:lang w:val="en-US" w:eastAsia="zh-CN"/>
                    </w:rPr>
                    <w:t>T/In</w:t>
                  </w:r>
                </w:p>
              </w:tc>
              <w:tc>
                <w:tcPr>
                  <w:tcW w:w="1323" w:type="dxa"/>
                  <w:vMerge w:val="continue"/>
                  <w:vAlign w:val="center"/>
                </w:tcPr>
                <w:p w14:paraId="4E57349A">
                  <w:pPr>
                    <w:pStyle w:val="118"/>
                    <w:tabs>
                      <w:tab w:val="clear" w:pos="1080"/>
                    </w:tabs>
                    <w:adjustRightInd w:val="0"/>
                    <w:snapToGrid w:val="0"/>
                    <w:spacing w:line="240" w:lineRule="auto"/>
                    <w:ind w:firstLine="0" w:firstLineChars="0"/>
                    <w:jc w:val="center"/>
                    <w:rPr>
                      <w:rFonts w:ascii="Times New Roman" w:hAnsi="Times New Roman" w:cs="Times New Roman"/>
                      <w:color w:val="auto"/>
                      <w:sz w:val="21"/>
                      <w:szCs w:val="21"/>
                    </w:rPr>
                  </w:pPr>
                </w:p>
              </w:tc>
            </w:tr>
            <w:tr w14:paraId="0A72C1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1" w:type="dxa"/>
                  <w:vAlign w:val="center"/>
                </w:tcPr>
                <w:p w14:paraId="592542E4">
                  <w:pPr>
                    <w:pStyle w:val="10"/>
                    <w:spacing w:before="0" w:after="0" w:line="240" w:lineRule="auto"/>
                    <w:ind w:right="0"/>
                    <w:jc w:val="center"/>
                    <w:rPr>
                      <w:rFonts w:hint="eastAsia" w:eastAsia="宋体"/>
                      <w:color w:val="auto"/>
                      <w:sz w:val="21"/>
                      <w:szCs w:val="21"/>
                      <w:lang w:val="en-US" w:eastAsia="zh-CN"/>
                    </w:rPr>
                  </w:pPr>
                  <w:r>
                    <w:rPr>
                      <w:rFonts w:hint="eastAsia"/>
                      <w:color w:val="auto"/>
                      <w:sz w:val="21"/>
                      <w:szCs w:val="21"/>
                      <w:lang w:val="en-US" w:eastAsia="zh-CN"/>
                    </w:rPr>
                    <w:t>3</w:t>
                  </w:r>
                </w:p>
              </w:tc>
              <w:tc>
                <w:tcPr>
                  <w:tcW w:w="1276" w:type="dxa"/>
                  <w:shd w:val="clear" w:color="auto" w:fill="auto"/>
                  <w:vAlign w:val="center"/>
                </w:tcPr>
                <w:p w14:paraId="4C47563B">
                  <w:pPr>
                    <w:pStyle w:val="107"/>
                    <w:spacing w:line="240" w:lineRule="auto"/>
                    <w:ind w:firstLine="0" w:firstLineChars="0"/>
                    <w:jc w:val="center"/>
                    <w:rPr>
                      <w:rFonts w:hint="eastAsia" w:ascii="Times New Roman" w:hAnsi="Times New Roman" w:eastAsia="宋体" w:cs="Times New Roman"/>
                      <w:color w:val="auto"/>
                      <w:kern w:val="24"/>
                      <w:sz w:val="21"/>
                      <w:szCs w:val="21"/>
                      <w:lang w:val="en-US" w:eastAsia="zh-CN" w:bidi="ar-SA"/>
                    </w:rPr>
                  </w:pPr>
                  <w:r>
                    <w:rPr>
                      <w:rFonts w:hint="eastAsia" w:cs="Times New Roman"/>
                      <w:color w:val="auto"/>
                      <w:kern w:val="24"/>
                      <w:sz w:val="21"/>
                      <w:szCs w:val="21"/>
                      <w:lang w:val="en-US" w:eastAsia="zh-CN" w:bidi="ar-SA"/>
                    </w:rPr>
                    <w:t>废石英砂</w:t>
                  </w:r>
                </w:p>
              </w:tc>
              <w:tc>
                <w:tcPr>
                  <w:tcW w:w="1276" w:type="dxa"/>
                  <w:shd w:val="clear" w:color="auto" w:fill="auto"/>
                  <w:vAlign w:val="center"/>
                </w:tcPr>
                <w:p w14:paraId="5CBEDAD5">
                  <w:pPr>
                    <w:tabs>
                      <w:tab w:val="center" w:pos="4153"/>
                      <w:tab w:val="right" w:pos="8306"/>
                    </w:tabs>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HW49</w:t>
                  </w:r>
                </w:p>
              </w:tc>
              <w:tc>
                <w:tcPr>
                  <w:tcW w:w="1276" w:type="dxa"/>
                  <w:shd w:val="clear" w:color="auto" w:fill="auto"/>
                  <w:vAlign w:val="center"/>
                </w:tcPr>
                <w:p w14:paraId="7674F8F8">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900-</w:t>
                  </w:r>
                  <w:r>
                    <w:rPr>
                      <w:rFonts w:hint="eastAsia"/>
                      <w:color w:val="auto"/>
                      <w:szCs w:val="21"/>
                      <w:lang w:val="en-US" w:eastAsia="zh-CN"/>
                    </w:rPr>
                    <w:t>041-49</w:t>
                  </w:r>
                </w:p>
              </w:tc>
              <w:tc>
                <w:tcPr>
                  <w:tcW w:w="1170" w:type="dxa"/>
                  <w:shd w:val="clear" w:color="auto" w:fill="auto"/>
                  <w:vAlign w:val="center"/>
                </w:tcPr>
                <w:p w14:paraId="2BF6E6F4">
                  <w:pPr>
                    <w:widowControl/>
                    <w:adjustRightInd w:val="0"/>
                    <w:snapToGrid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0.5</w:t>
                  </w:r>
                  <w:r>
                    <w:rPr>
                      <w:rFonts w:hint="default" w:ascii="Times New Roman" w:hAnsi="Times New Roman" w:cs="Times New Roman"/>
                      <w:color w:val="auto"/>
                      <w:szCs w:val="21"/>
                      <w:lang w:val="en-US" w:eastAsia="zh-CN"/>
                    </w:rPr>
                    <w:t>t/</w:t>
                  </w:r>
                  <w:r>
                    <w:rPr>
                      <w:rFonts w:hint="eastAsia" w:cs="Times New Roman"/>
                      <w:color w:val="auto"/>
                      <w:szCs w:val="21"/>
                      <w:lang w:val="en-US" w:eastAsia="zh-CN"/>
                    </w:rPr>
                    <w:t>3</w:t>
                  </w:r>
                  <w:r>
                    <w:rPr>
                      <w:rFonts w:hint="default" w:ascii="Times New Roman" w:hAnsi="Times New Roman" w:cs="Times New Roman"/>
                      <w:color w:val="auto"/>
                      <w:szCs w:val="21"/>
                      <w:lang w:val="en-US" w:eastAsia="zh-CN"/>
                    </w:rPr>
                    <w:t>a</w:t>
                  </w:r>
                </w:p>
              </w:tc>
              <w:tc>
                <w:tcPr>
                  <w:tcW w:w="1239" w:type="dxa"/>
                  <w:shd w:val="clear" w:color="auto" w:fill="auto"/>
                  <w:vAlign w:val="center"/>
                </w:tcPr>
                <w:p w14:paraId="561811EC">
                  <w:pPr>
                    <w:widowControl/>
                    <w:adjustRightInd w:val="0"/>
                    <w:snapToGrid w:val="0"/>
                    <w:jc w:val="center"/>
                    <w:textAlignment w:val="center"/>
                    <w:rPr>
                      <w:rFonts w:hint="eastAsia"/>
                      <w:color w:val="auto"/>
                      <w:kern w:val="0"/>
                      <w:szCs w:val="21"/>
                      <w:lang w:val="en-US" w:eastAsia="zh-CN" w:bidi="ar"/>
                    </w:rPr>
                  </w:pPr>
                  <w:r>
                    <w:rPr>
                      <w:rFonts w:hint="eastAsia"/>
                      <w:color w:val="auto"/>
                      <w:kern w:val="0"/>
                      <w:szCs w:val="21"/>
                      <w:lang w:val="en-US" w:eastAsia="zh-CN" w:bidi="ar"/>
                    </w:rPr>
                    <w:t>废水处理</w:t>
                  </w:r>
                </w:p>
              </w:tc>
              <w:tc>
                <w:tcPr>
                  <w:tcW w:w="608" w:type="dxa"/>
                  <w:shd w:val="clear" w:color="auto" w:fill="auto"/>
                  <w:vAlign w:val="center"/>
                </w:tcPr>
                <w:p w14:paraId="30ADA187">
                  <w:pPr>
                    <w:widowControl/>
                    <w:adjustRightInd w:val="0"/>
                    <w:snapToGrid w:val="0"/>
                    <w:jc w:val="center"/>
                    <w:textAlignment w:val="center"/>
                    <w:rPr>
                      <w:rFonts w:hint="default"/>
                      <w:color w:val="auto"/>
                      <w:kern w:val="0"/>
                      <w:szCs w:val="21"/>
                      <w:lang w:val="en-US" w:eastAsia="zh-CN" w:bidi="ar"/>
                    </w:rPr>
                  </w:pPr>
                  <w:r>
                    <w:rPr>
                      <w:rFonts w:hint="eastAsia"/>
                      <w:color w:val="auto"/>
                      <w:kern w:val="0"/>
                      <w:szCs w:val="21"/>
                      <w:lang w:val="en-US" w:eastAsia="zh-CN" w:bidi="ar"/>
                    </w:rPr>
                    <w:t>固态</w:t>
                  </w:r>
                </w:p>
              </w:tc>
              <w:tc>
                <w:tcPr>
                  <w:tcW w:w="1170" w:type="dxa"/>
                  <w:shd w:val="clear" w:color="auto" w:fill="auto"/>
                  <w:vAlign w:val="center"/>
                </w:tcPr>
                <w:p w14:paraId="639E597B">
                  <w:pPr>
                    <w:widowControl/>
                    <w:adjustRightInd w:val="0"/>
                    <w:snapToGrid w:val="0"/>
                    <w:jc w:val="center"/>
                    <w:textAlignment w:val="center"/>
                    <w:rPr>
                      <w:rFonts w:hint="eastAsia"/>
                      <w:color w:val="auto"/>
                      <w:szCs w:val="21"/>
                      <w:lang w:val="en-US" w:eastAsia="zh-CN"/>
                    </w:rPr>
                  </w:pPr>
                  <w:r>
                    <w:rPr>
                      <w:rFonts w:hint="eastAsia"/>
                      <w:color w:val="auto"/>
                      <w:kern w:val="0"/>
                      <w:sz w:val="21"/>
                      <w:szCs w:val="21"/>
                      <w:lang w:val="en-US" w:eastAsia="zh-CN" w:bidi="ar-SA"/>
                    </w:rPr>
                    <w:t>石英砂、有机物</w:t>
                  </w:r>
                </w:p>
              </w:tc>
              <w:tc>
                <w:tcPr>
                  <w:tcW w:w="1020" w:type="dxa"/>
                  <w:vAlign w:val="center"/>
                </w:tcPr>
                <w:p w14:paraId="11D1269E">
                  <w:pPr>
                    <w:widowControl/>
                    <w:adjustRightInd w:val="0"/>
                    <w:snapToGrid w:val="0"/>
                    <w:jc w:val="center"/>
                    <w:textAlignment w:val="center"/>
                    <w:rPr>
                      <w:rFonts w:hint="eastAsia"/>
                      <w:color w:val="auto"/>
                      <w:szCs w:val="21"/>
                      <w:lang w:val="en-US" w:eastAsia="zh-CN"/>
                    </w:rPr>
                  </w:pPr>
                  <w:r>
                    <w:rPr>
                      <w:rFonts w:hint="eastAsia"/>
                      <w:color w:val="auto"/>
                      <w:kern w:val="0"/>
                      <w:sz w:val="21"/>
                      <w:szCs w:val="21"/>
                      <w:lang w:val="en-US" w:eastAsia="zh-CN" w:bidi="ar-SA"/>
                    </w:rPr>
                    <w:t>有机物</w:t>
                  </w:r>
                </w:p>
              </w:tc>
              <w:tc>
                <w:tcPr>
                  <w:tcW w:w="900" w:type="dxa"/>
                  <w:vAlign w:val="center"/>
                </w:tcPr>
                <w:p w14:paraId="13C3A204">
                  <w:pPr>
                    <w:pStyle w:val="6"/>
                    <w:ind w:left="17" w:hanging="16" w:hangingChars="8"/>
                    <w:jc w:val="center"/>
                    <w:rPr>
                      <w:rFonts w:hint="default" w:eastAsia="宋体"/>
                      <w:color w:val="auto"/>
                      <w:szCs w:val="21"/>
                      <w:lang w:val="en-US" w:eastAsia="zh-CN"/>
                    </w:rPr>
                  </w:pPr>
                  <w:r>
                    <w:rPr>
                      <w:rFonts w:hint="eastAsia"/>
                      <w:color w:val="auto"/>
                      <w:szCs w:val="21"/>
                      <w:lang w:val="en-US" w:eastAsia="zh-CN"/>
                    </w:rPr>
                    <w:t>3年</w:t>
                  </w:r>
                </w:p>
              </w:tc>
              <w:tc>
                <w:tcPr>
                  <w:tcW w:w="960" w:type="dxa"/>
                  <w:shd w:val="clear" w:color="auto" w:fill="auto"/>
                  <w:vAlign w:val="center"/>
                </w:tcPr>
                <w:p w14:paraId="1FFA9F2C">
                  <w:pPr>
                    <w:shd w:val="clear" w:color="auto" w:fill="auto"/>
                    <w:adjustRightInd w:val="0"/>
                    <w:snapToGrid w:val="0"/>
                    <w:jc w:val="center"/>
                    <w:rPr>
                      <w:rFonts w:hint="eastAsia"/>
                      <w:color w:val="auto"/>
                      <w:szCs w:val="21"/>
                      <w:highlight w:val="none"/>
                      <w:lang w:val="en-US" w:eastAsia="zh-CN"/>
                    </w:rPr>
                  </w:pPr>
                  <w:r>
                    <w:rPr>
                      <w:rFonts w:hint="eastAsia" w:eastAsia="宋体"/>
                      <w:color w:val="auto"/>
                      <w:sz w:val="21"/>
                      <w:szCs w:val="21"/>
                      <w:lang w:val="en-US" w:eastAsia="zh-CN"/>
                    </w:rPr>
                    <w:t>T/In</w:t>
                  </w:r>
                </w:p>
              </w:tc>
              <w:tc>
                <w:tcPr>
                  <w:tcW w:w="1323" w:type="dxa"/>
                  <w:vMerge w:val="continue"/>
                  <w:vAlign w:val="center"/>
                </w:tcPr>
                <w:p w14:paraId="0CD4E5E4">
                  <w:pPr>
                    <w:pStyle w:val="118"/>
                    <w:tabs>
                      <w:tab w:val="clear" w:pos="1080"/>
                    </w:tabs>
                    <w:adjustRightInd w:val="0"/>
                    <w:snapToGrid w:val="0"/>
                    <w:spacing w:line="240" w:lineRule="auto"/>
                    <w:ind w:firstLine="0" w:firstLineChars="0"/>
                    <w:jc w:val="center"/>
                    <w:rPr>
                      <w:rFonts w:ascii="Times New Roman" w:hAnsi="Times New Roman" w:cs="Times New Roman"/>
                      <w:color w:val="auto"/>
                      <w:sz w:val="21"/>
                      <w:szCs w:val="21"/>
                    </w:rPr>
                  </w:pPr>
                </w:p>
              </w:tc>
            </w:tr>
            <w:tr w14:paraId="0286C2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1" w:type="dxa"/>
                  <w:vAlign w:val="center"/>
                </w:tcPr>
                <w:p w14:paraId="20F7EBE7">
                  <w:pPr>
                    <w:pStyle w:val="10"/>
                    <w:spacing w:before="0" w:after="0" w:line="240" w:lineRule="auto"/>
                    <w:ind w:right="0"/>
                    <w:jc w:val="center"/>
                    <w:rPr>
                      <w:rFonts w:hint="default"/>
                      <w:color w:val="auto"/>
                      <w:sz w:val="21"/>
                      <w:szCs w:val="21"/>
                      <w:lang w:val="en-US" w:eastAsia="zh-CN"/>
                    </w:rPr>
                  </w:pPr>
                  <w:r>
                    <w:rPr>
                      <w:rFonts w:hint="eastAsia"/>
                      <w:color w:val="auto"/>
                      <w:sz w:val="21"/>
                      <w:szCs w:val="21"/>
                      <w:lang w:val="en-US" w:eastAsia="zh-CN"/>
                    </w:rPr>
                    <w:t>4</w:t>
                  </w:r>
                </w:p>
              </w:tc>
              <w:tc>
                <w:tcPr>
                  <w:tcW w:w="1276" w:type="dxa"/>
                  <w:shd w:val="clear" w:color="auto" w:fill="auto"/>
                  <w:vAlign w:val="center"/>
                </w:tcPr>
                <w:p w14:paraId="10D7165F">
                  <w:pPr>
                    <w:pStyle w:val="107"/>
                    <w:spacing w:line="240" w:lineRule="auto"/>
                    <w:ind w:firstLine="0" w:firstLineChars="0"/>
                    <w:jc w:val="center"/>
                    <w:rPr>
                      <w:rFonts w:hint="default" w:ascii="Times New Roman" w:hAnsi="Times New Roman" w:eastAsia="宋体" w:cs="Times New Roman"/>
                      <w:color w:val="auto"/>
                      <w:kern w:val="24"/>
                      <w:sz w:val="21"/>
                      <w:szCs w:val="21"/>
                      <w:lang w:val="en-US" w:eastAsia="zh-CN" w:bidi="ar-SA"/>
                    </w:rPr>
                  </w:pPr>
                  <w:r>
                    <w:rPr>
                      <w:rFonts w:hint="eastAsia" w:cs="Times New Roman"/>
                      <w:color w:val="auto"/>
                      <w:kern w:val="24"/>
                      <w:sz w:val="21"/>
                      <w:szCs w:val="21"/>
                      <w:lang w:val="en-US" w:eastAsia="zh-CN" w:bidi="ar-SA"/>
                    </w:rPr>
                    <w:t>废活性炭（</w:t>
                  </w:r>
                  <w:r>
                    <w:rPr>
                      <w:rFonts w:hint="eastAsia"/>
                      <w:color w:val="auto"/>
                      <w:kern w:val="0"/>
                      <w:sz w:val="21"/>
                      <w:szCs w:val="21"/>
                      <w:lang w:val="en-US" w:eastAsia="zh-CN" w:bidi="ar"/>
                    </w:rPr>
                    <w:t>废水处理</w:t>
                  </w:r>
                  <w:r>
                    <w:rPr>
                      <w:rFonts w:hint="eastAsia" w:cs="Times New Roman"/>
                      <w:color w:val="auto"/>
                      <w:kern w:val="24"/>
                      <w:sz w:val="21"/>
                      <w:szCs w:val="21"/>
                      <w:lang w:val="en-US" w:eastAsia="zh-CN" w:bidi="ar-SA"/>
                    </w:rPr>
                    <w:t>）</w:t>
                  </w:r>
                </w:p>
              </w:tc>
              <w:tc>
                <w:tcPr>
                  <w:tcW w:w="1276" w:type="dxa"/>
                  <w:shd w:val="clear" w:color="auto" w:fill="auto"/>
                  <w:vAlign w:val="center"/>
                </w:tcPr>
                <w:p w14:paraId="14D072E6">
                  <w:pPr>
                    <w:tabs>
                      <w:tab w:val="center" w:pos="4153"/>
                      <w:tab w:val="right" w:pos="8306"/>
                    </w:tabs>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HW49</w:t>
                  </w:r>
                </w:p>
              </w:tc>
              <w:tc>
                <w:tcPr>
                  <w:tcW w:w="1276" w:type="dxa"/>
                  <w:shd w:val="clear" w:color="auto" w:fill="auto"/>
                  <w:vAlign w:val="center"/>
                </w:tcPr>
                <w:p w14:paraId="23E2B05C">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rPr>
                    <w:t>900-</w:t>
                  </w:r>
                  <w:r>
                    <w:rPr>
                      <w:rFonts w:hint="eastAsia"/>
                      <w:color w:val="auto"/>
                      <w:szCs w:val="21"/>
                      <w:lang w:val="en-US" w:eastAsia="zh-CN"/>
                    </w:rPr>
                    <w:t>041-49</w:t>
                  </w:r>
                </w:p>
              </w:tc>
              <w:tc>
                <w:tcPr>
                  <w:tcW w:w="1170" w:type="dxa"/>
                  <w:shd w:val="clear" w:color="auto" w:fill="auto"/>
                  <w:vAlign w:val="center"/>
                </w:tcPr>
                <w:p w14:paraId="40637C7D">
                  <w:pPr>
                    <w:widowControl/>
                    <w:adjustRightInd w:val="0"/>
                    <w:snapToGrid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0.25</w:t>
                  </w:r>
                  <w:r>
                    <w:rPr>
                      <w:rFonts w:hint="default" w:ascii="Times New Roman" w:hAnsi="Times New Roman" w:cs="Times New Roman"/>
                      <w:color w:val="auto"/>
                      <w:szCs w:val="21"/>
                      <w:lang w:val="en-US" w:eastAsia="zh-CN"/>
                    </w:rPr>
                    <w:t>t/</w:t>
                  </w:r>
                  <w:r>
                    <w:rPr>
                      <w:rFonts w:hint="eastAsia" w:cs="Times New Roman"/>
                      <w:color w:val="auto"/>
                      <w:szCs w:val="21"/>
                      <w:lang w:val="en-US" w:eastAsia="zh-CN"/>
                    </w:rPr>
                    <w:t>1.5</w:t>
                  </w:r>
                  <w:r>
                    <w:rPr>
                      <w:rFonts w:hint="default" w:ascii="Times New Roman" w:hAnsi="Times New Roman" w:cs="Times New Roman"/>
                      <w:color w:val="auto"/>
                      <w:szCs w:val="21"/>
                      <w:lang w:val="en-US" w:eastAsia="zh-CN"/>
                    </w:rPr>
                    <w:t>a</w:t>
                  </w:r>
                </w:p>
              </w:tc>
              <w:tc>
                <w:tcPr>
                  <w:tcW w:w="1239" w:type="dxa"/>
                  <w:shd w:val="clear" w:color="auto" w:fill="auto"/>
                  <w:vAlign w:val="center"/>
                </w:tcPr>
                <w:p w14:paraId="03201022">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废水处理</w:t>
                  </w:r>
                </w:p>
              </w:tc>
              <w:tc>
                <w:tcPr>
                  <w:tcW w:w="608" w:type="dxa"/>
                  <w:shd w:val="clear" w:color="auto" w:fill="auto"/>
                  <w:vAlign w:val="center"/>
                </w:tcPr>
                <w:p w14:paraId="7AB286BC">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固态</w:t>
                  </w:r>
                </w:p>
              </w:tc>
              <w:tc>
                <w:tcPr>
                  <w:tcW w:w="1170" w:type="dxa"/>
                  <w:shd w:val="clear" w:color="auto" w:fill="auto"/>
                  <w:vAlign w:val="center"/>
                </w:tcPr>
                <w:p w14:paraId="2742888F">
                  <w:pPr>
                    <w:widowControl/>
                    <w:adjustRightInd w:val="0"/>
                    <w:snapToGrid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olor w:val="auto"/>
                      <w:kern w:val="0"/>
                      <w:sz w:val="21"/>
                      <w:szCs w:val="21"/>
                      <w:lang w:val="en-US" w:eastAsia="zh-CN" w:bidi="ar-SA"/>
                    </w:rPr>
                    <w:t>活性炭、有机物</w:t>
                  </w:r>
                </w:p>
              </w:tc>
              <w:tc>
                <w:tcPr>
                  <w:tcW w:w="1020" w:type="dxa"/>
                  <w:vAlign w:val="center"/>
                </w:tcPr>
                <w:p w14:paraId="5B931814">
                  <w:pPr>
                    <w:widowControl/>
                    <w:adjustRightInd w:val="0"/>
                    <w:snapToGrid w:val="0"/>
                    <w:jc w:val="center"/>
                    <w:textAlignment w:val="center"/>
                    <w:rPr>
                      <w:rFonts w:hint="default"/>
                      <w:color w:val="auto"/>
                      <w:kern w:val="0"/>
                      <w:sz w:val="21"/>
                      <w:szCs w:val="21"/>
                      <w:lang w:val="en-US" w:eastAsia="zh-CN" w:bidi="ar-SA"/>
                    </w:rPr>
                  </w:pPr>
                  <w:r>
                    <w:rPr>
                      <w:rFonts w:hint="eastAsia"/>
                      <w:color w:val="auto"/>
                      <w:kern w:val="0"/>
                      <w:sz w:val="21"/>
                      <w:szCs w:val="21"/>
                      <w:lang w:val="en-US" w:eastAsia="zh-CN" w:bidi="ar-SA"/>
                    </w:rPr>
                    <w:t>有机物</w:t>
                  </w:r>
                </w:p>
              </w:tc>
              <w:tc>
                <w:tcPr>
                  <w:tcW w:w="900" w:type="dxa"/>
                  <w:vAlign w:val="center"/>
                </w:tcPr>
                <w:p w14:paraId="797BF5D0">
                  <w:pPr>
                    <w:pStyle w:val="6"/>
                    <w:ind w:left="17" w:hanging="16" w:hangingChars="8"/>
                    <w:jc w:val="center"/>
                    <w:rPr>
                      <w:rFonts w:hint="default"/>
                      <w:color w:val="auto"/>
                      <w:szCs w:val="21"/>
                      <w:lang w:val="en-US" w:eastAsia="zh-CN"/>
                    </w:rPr>
                  </w:pPr>
                  <w:r>
                    <w:rPr>
                      <w:rFonts w:hint="eastAsia"/>
                      <w:color w:val="auto"/>
                      <w:szCs w:val="21"/>
                      <w:lang w:val="en-US" w:eastAsia="zh-CN"/>
                    </w:rPr>
                    <w:t>1.5年</w:t>
                  </w:r>
                </w:p>
              </w:tc>
              <w:tc>
                <w:tcPr>
                  <w:tcW w:w="960" w:type="dxa"/>
                  <w:shd w:val="clear" w:color="auto" w:fill="auto"/>
                  <w:vAlign w:val="center"/>
                </w:tcPr>
                <w:p w14:paraId="1CA1899D">
                  <w:pPr>
                    <w:shd w:val="clear" w:color="auto" w:fill="auto"/>
                    <w:adjustRightInd w:val="0"/>
                    <w:snapToGrid w:val="0"/>
                    <w:jc w:val="center"/>
                    <w:rPr>
                      <w:rFonts w:hint="default" w:eastAsia="宋体"/>
                      <w:color w:val="auto"/>
                      <w:sz w:val="21"/>
                      <w:szCs w:val="21"/>
                      <w:lang w:val="en-US" w:eastAsia="zh-CN"/>
                    </w:rPr>
                  </w:pPr>
                  <w:r>
                    <w:rPr>
                      <w:rFonts w:hint="eastAsia" w:eastAsia="宋体"/>
                      <w:color w:val="auto"/>
                      <w:sz w:val="21"/>
                      <w:szCs w:val="21"/>
                      <w:lang w:val="en-US" w:eastAsia="zh-CN"/>
                    </w:rPr>
                    <w:t>T/In</w:t>
                  </w:r>
                </w:p>
              </w:tc>
              <w:tc>
                <w:tcPr>
                  <w:tcW w:w="1323" w:type="dxa"/>
                  <w:vMerge w:val="continue"/>
                  <w:vAlign w:val="center"/>
                </w:tcPr>
                <w:p w14:paraId="1DC92799">
                  <w:pPr>
                    <w:pStyle w:val="118"/>
                    <w:tabs>
                      <w:tab w:val="clear" w:pos="1080"/>
                    </w:tabs>
                    <w:adjustRightInd w:val="0"/>
                    <w:snapToGrid w:val="0"/>
                    <w:spacing w:line="240" w:lineRule="auto"/>
                    <w:ind w:firstLine="0" w:firstLineChars="0"/>
                    <w:jc w:val="center"/>
                    <w:rPr>
                      <w:rFonts w:hint="default" w:ascii="Times New Roman" w:hAnsi="Times New Roman" w:cs="Times New Roman"/>
                      <w:color w:val="auto"/>
                      <w:sz w:val="21"/>
                      <w:szCs w:val="21"/>
                      <w:lang w:val="en-US"/>
                    </w:rPr>
                  </w:pPr>
                </w:p>
              </w:tc>
            </w:tr>
            <w:tr w14:paraId="38DCCC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1" w:type="dxa"/>
                  <w:vAlign w:val="center"/>
                </w:tcPr>
                <w:p w14:paraId="1A092936">
                  <w:pPr>
                    <w:pStyle w:val="10"/>
                    <w:spacing w:before="0" w:after="0" w:line="240" w:lineRule="auto"/>
                    <w:ind w:right="0"/>
                    <w:jc w:val="center"/>
                    <w:rPr>
                      <w:rFonts w:hint="default"/>
                      <w:color w:val="auto"/>
                      <w:sz w:val="21"/>
                      <w:szCs w:val="21"/>
                      <w:lang w:val="en-US" w:eastAsia="zh-CN"/>
                    </w:rPr>
                  </w:pPr>
                  <w:r>
                    <w:rPr>
                      <w:rFonts w:hint="eastAsia"/>
                      <w:color w:val="auto"/>
                      <w:sz w:val="21"/>
                      <w:szCs w:val="21"/>
                      <w:lang w:val="en-US" w:eastAsia="zh-CN"/>
                    </w:rPr>
                    <w:t>5</w:t>
                  </w:r>
                </w:p>
              </w:tc>
              <w:tc>
                <w:tcPr>
                  <w:tcW w:w="1276" w:type="dxa"/>
                  <w:shd w:val="clear" w:color="auto" w:fill="auto"/>
                  <w:vAlign w:val="center"/>
                </w:tcPr>
                <w:p w14:paraId="23DEBA0F">
                  <w:pPr>
                    <w:pStyle w:val="107"/>
                    <w:spacing w:line="240" w:lineRule="auto"/>
                    <w:ind w:firstLine="0" w:firstLineChars="0"/>
                    <w:jc w:val="center"/>
                    <w:rPr>
                      <w:rFonts w:hint="eastAsia" w:cs="Times New Roman"/>
                      <w:color w:val="auto"/>
                      <w:kern w:val="24"/>
                      <w:sz w:val="21"/>
                      <w:szCs w:val="21"/>
                      <w:lang w:val="en-US" w:eastAsia="zh-CN" w:bidi="ar-SA"/>
                    </w:rPr>
                  </w:pPr>
                  <w:r>
                    <w:rPr>
                      <w:rFonts w:hint="eastAsia" w:cs="Times New Roman"/>
                      <w:color w:val="auto"/>
                      <w:kern w:val="24"/>
                      <w:sz w:val="21"/>
                      <w:szCs w:val="21"/>
                      <w:lang w:val="en-US" w:eastAsia="zh-CN" w:bidi="ar-SA"/>
                    </w:rPr>
                    <w:t>废活性炭（</w:t>
                  </w:r>
                  <w:r>
                    <w:rPr>
                      <w:rFonts w:hint="eastAsia"/>
                      <w:color w:val="auto"/>
                      <w:kern w:val="0"/>
                      <w:sz w:val="21"/>
                      <w:szCs w:val="21"/>
                      <w:lang w:val="en-US" w:eastAsia="zh-CN" w:bidi="ar"/>
                    </w:rPr>
                    <w:t>废气处理</w:t>
                  </w:r>
                  <w:r>
                    <w:rPr>
                      <w:rFonts w:hint="eastAsia" w:cs="Times New Roman"/>
                      <w:color w:val="auto"/>
                      <w:kern w:val="24"/>
                      <w:sz w:val="21"/>
                      <w:szCs w:val="21"/>
                      <w:lang w:val="en-US" w:eastAsia="zh-CN" w:bidi="ar-SA"/>
                    </w:rPr>
                    <w:t>）</w:t>
                  </w:r>
                </w:p>
              </w:tc>
              <w:tc>
                <w:tcPr>
                  <w:tcW w:w="1276" w:type="dxa"/>
                  <w:shd w:val="clear" w:color="auto" w:fill="auto"/>
                  <w:vAlign w:val="center"/>
                </w:tcPr>
                <w:p w14:paraId="1FD6A69D">
                  <w:pPr>
                    <w:tabs>
                      <w:tab w:val="center" w:pos="4153"/>
                      <w:tab w:val="right" w:pos="8306"/>
                    </w:tabs>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HW49</w:t>
                  </w:r>
                </w:p>
              </w:tc>
              <w:tc>
                <w:tcPr>
                  <w:tcW w:w="1276" w:type="dxa"/>
                  <w:shd w:val="clear" w:color="auto" w:fill="auto"/>
                  <w:vAlign w:val="center"/>
                </w:tcPr>
                <w:p w14:paraId="0384C625">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900-</w:t>
                  </w:r>
                  <w:r>
                    <w:rPr>
                      <w:rFonts w:hint="eastAsia"/>
                      <w:color w:val="auto"/>
                      <w:szCs w:val="21"/>
                      <w:lang w:val="en-US" w:eastAsia="zh-CN"/>
                    </w:rPr>
                    <w:t>041-49</w:t>
                  </w:r>
                </w:p>
              </w:tc>
              <w:tc>
                <w:tcPr>
                  <w:tcW w:w="1170" w:type="dxa"/>
                  <w:shd w:val="clear" w:color="auto" w:fill="auto"/>
                  <w:vAlign w:val="center"/>
                </w:tcPr>
                <w:p w14:paraId="3EBE5AF2">
                  <w:pPr>
                    <w:widowControl/>
                    <w:adjustRightInd w:val="0"/>
                    <w:snapToGrid w:val="0"/>
                    <w:jc w:val="center"/>
                    <w:textAlignment w:val="center"/>
                    <w:rPr>
                      <w:rFonts w:hint="default" w:cs="Times New Roman"/>
                      <w:color w:val="auto"/>
                      <w:szCs w:val="21"/>
                      <w:lang w:val="en-US" w:eastAsia="zh-CN"/>
                    </w:rPr>
                  </w:pPr>
                  <w:r>
                    <w:rPr>
                      <w:rFonts w:hint="eastAsia" w:cs="Times New Roman"/>
                      <w:color w:val="auto"/>
                      <w:szCs w:val="21"/>
                      <w:lang w:val="en-US" w:eastAsia="zh-CN"/>
                    </w:rPr>
                    <w:t>0.77</w:t>
                  </w:r>
                </w:p>
              </w:tc>
              <w:tc>
                <w:tcPr>
                  <w:tcW w:w="1239" w:type="dxa"/>
                  <w:shd w:val="clear" w:color="auto" w:fill="auto"/>
                  <w:vAlign w:val="center"/>
                </w:tcPr>
                <w:p w14:paraId="48D57ABF">
                  <w:pPr>
                    <w:widowControl/>
                    <w:adjustRightInd w:val="0"/>
                    <w:snapToGrid w:val="0"/>
                    <w:jc w:val="center"/>
                    <w:textAlignment w:val="center"/>
                    <w:rPr>
                      <w:rFonts w:hint="default"/>
                      <w:color w:val="auto"/>
                      <w:kern w:val="0"/>
                      <w:szCs w:val="21"/>
                      <w:lang w:val="en-US" w:eastAsia="zh-CN" w:bidi="ar"/>
                    </w:rPr>
                  </w:pPr>
                  <w:r>
                    <w:rPr>
                      <w:rFonts w:hint="eastAsia"/>
                      <w:color w:val="auto"/>
                      <w:kern w:val="0"/>
                      <w:szCs w:val="21"/>
                      <w:lang w:val="en-US" w:eastAsia="zh-CN" w:bidi="ar"/>
                    </w:rPr>
                    <w:t>废气处理</w:t>
                  </w:r>
                </w:p>
              </w:tc>
              <w:tc>
                <w:tcPr>
                  <w:tcW w:w="608" w:type="dxa"/>
                  <w:shd w:val="clear" w:color="auto" w:fill="auto"/>
                  <w:vAlign w:val="center"/>
                </w:tcPr>
                <w:p w14:paraId="5B5FC1DF">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固态</w:t>
                  </w:r>
                </w:p>
              </w:tc>
              <w:tc>
                <w:tcPr>
                  <w:tcW w:w="1170" w:type="dxa"/>
                  <w:shd w:val="clear" w:color="auto" w:fill="auto"/>
                  <w:vAlign w:val="center"/>
                </w:tcPr>
                <w:p w14:paraId="214AED42">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kern w:val="0"/>
                      <w:sz w:val="21"/>
                      <w:szCs w:val="21"/>
                      <w:lang w:val="en-US" w:eastAsia="zh-CN" w:bidi="ar-SA"/>
                    </w:rPr>
                    <w:t>活性炭、有机物</w:t>
                  </w:r>
                </w:p>
              </w:tc>
              <w:tc>
                <w:tcPr>
                  <w:tcW w:w="1020" w:type="dxa"/>
                  <w:shd w:val="clear" w:color="auto" w:fill="auto"/>
                  <w:vAlign w:val="center"/>
                </w:tcPr>
                <w:p w14:paraId="4DBBE84E">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bidi="ar-SA"/>
                    </w:rPr>
                    <w:t>有机物</w:t>
                  </w:r>
                </w:p>
              </w:tc>
              <w:tc>
                <w:tcPr>
                  <w:tcW w:w="900" w:type="dxa"/>
                  <w:vAlign w:val="center"/>
                </w:tcPr>
                <w:p w14:paraId="0B9BC829">
                  <w:pPr>
                    <w:pStyle w:val="6"/>
                    <w:ind w:left="17" w:hanging="16" w:hangingChars="8"/>
                    <w:jc w:val="center"/>
                    <w:rPr>
                      <w:rFonts w:hint="default"/>
                      <w:color w:val="auto"/>
                      <w:szCs w:val="21"/>
                      <w:lang w:val="en-US" w:eastAsia="zh-CN"/>
                    </w:rPr>
                  </w:pPr>
                  <w:r>
                    <w:rPr>
                      <w:rFonts w:hint="eastAsia"/>
                      <w:color w:val="auto"/>
                      <w:szCs w:val="21"/>
                      <w:lang w:val="en-US" w:eastAsia="zh-CN"/>
                    </w:rPr>
                    <w:t>20天</w:t>
                  </w:r>
                </w:p>
              </w:tc>
              <w:tc>
                <w:tcPr>
                  <w:tcW w:w="960" w:type="dxa"/>
                  <w:shd w:val="clear" w:color="auto" w:fill="auto"/>
                  <w:vAlign w:val="center"/>
                </w:tcPr>
                <w:p w14:paraId="6A6F1AEB">
                  <w:pPr>
                    <w:shd w:val="clear" w:color="auto" w:fill="auto"/>
                    <w:adjustRightInd w:val="0"/>
                    <w:snapToGrid w:val="0"/>
                    <w:jc w:val="center"/>
                    <w:rPr>
                      <w:rFonts w:hint="eastAsia" w:eastAsia="宋体"/>
                      <w:color w:val="auto"/>
                      <w:sz w:val="21"/>
                      <w:szCs w:val="21"/>
                      <w:lang w:val="en-US" w:eastAsia="zh-CN"/>
                    </w:rPr>
                  </w:pPr>
                  <w:r>
                    <w:rPr>
                      <w:color w:val="auto"/>
                      <w:szCs w:val="21"/>
                    </w:rPr>
                    <w:t>T/In</w:t>
                  </w:r>
                </w:p>
              </w:tc>
              <w:tc>
                <w:tcPr>
                  <w:tcW w:w="1323" w:type="dxa"/>
                  <w:vMerge w:val="continue"/>
                  <w:vAlign w:val="center"/>
                </w:tcPr>
                <w:p w14:paraId="450956BD">
                  <w:pPr>
                    <w:pStyle w:val="118"/>
                    <w:tabs>
                      <w:tab w:val="clear" w:pos="1080"/>
                    </w:tabs>
                    <w:adjustRightInd w:val="0"/>
                    <w:snapToGrid w:val="0"/>
                    <w:spacing w:line="240" w:lineRule="auto"/>
                    <w:ind w:firstLine="0" w:firstLineChars="0"/>
                    <w:jc w:val="center"/>
                    <w:rPr>
                      <w:rFonts w:hint="default" w:ascii="Times New Roman" w:hAnsi="Times New Roman" w:cs="Times New Roman"/>
                      <w:color w:val="auto"/>
                      <w:sz w:val="21"/>
                      <w:szCs w:val="21"/>
                      <w:lang w:val="en-US"/>
                    </w:rPr>
                  </w:pPr>
                </w:p>
              </w:tc>
            </w:tr>
          </w:tbl>
          <w:p w14:paraId="18E96AEC">
            <w:pPr>
              <w:pStyle w:val="10"/>
              <w:spacing w:before="147" w:beforeLines="50" w:after="0" w:line="240" w:lineRule="auto"/>
              <w:ind w:right="0"/>
              <w:jc w:val="center"/>
              <w:rPr>
                <w:b/>
                <w:bCs/>
                <w:color w:val="auto"/>
                <w:kern w:val="10"/>
                <w:sz w:val="21"/>
                <w:szCs w:val="21"/>
              </w:rPr>
            </w:pPr>
            <w:r>
              <w:rPr>
                <w:rFonts w:hint="eastAsia"/>
                <w:b/>
                <w:bCs/>
                <w:color w:val="auto"/>
                <w:sz w:val="21"/>
                <w:szCs w:val="21"/>
              </w:rPr>
              <w:t>表4-</w:t>
            </w:r>
            <w:r>
              <w:rPr>
                <w:rFonts w:hint="eastAsia"/>
                <w:b/>
                <w:bCs/>
                <w:color w:val="auto"/>
                <w:sz w:val="21"/>
                <w:szCs w:val="21"/>
                <w:lang w:val="en-US" w:eastAsia="zh-CN"/>
              </w:rPr>
              <w:t>30</w:t>
            </w:r>
            <w:r>
              <w:rPr>
                <w:rFonts w:hint="eastAsia"/>
                <w:b/>
                <w:bCs/>
                <w:color w:val="auto"/>
                <w:sz w:val="21"/>
                <w:szCs w:val="21"/>
              </w:rPr>
              <w:t xml:space="preserve"> 本次项目建成后全厂</w:t>
            </w:r>
            <w:r>
              <w:rPr>
                <w:b/>
                <w:bCs/>
                <w:color w:val="auto"/>
                <w:kern w:val="10"/>
                <w:sz w:val="21"/>
                <w:szCs w:val="21"/>
              </w:rPr>
              <w:t>危险废物汇总表</w:t>
            </w:r>
          </w:p>
          <w:tbl>
            <w:tblPr>
              <w:tblStyle w:val="30"/>
              <w:tblW w:w="1258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31"/>
              <w:gridCol w:w="1606"/>
              <w:gridCol w:w="974"/>
              <w:gridCol w:w="1276"/>
              <w:gridCol w:w="850"/>
              <w:gridCol w:w="907"/>
              <w:gridCol w:w="523"/>
              <w:gridCol w:w="1860"/>
              <w:gridCol w:w="1890"/>
              <w:gridCol w:w="615"/>
              <w:gridCol w:w="765"/>
              <w:gridCol w:w="885"/>
            </w:tblGrid>
            <w:tr w14:paraId="4FC24C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1" w:type="dxa"/>
                  <w:vAlign w:val="center"/>
                </w:tcPr>
                <w:p w14:paraId="4DB793E2">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序号</w:t>
                  </w:r>
                </w:p>
              </w:tc>
              <w:tc>
                <w:tcPr>
                  <w:tcW w:w="1606" w:type="dxa"/>
                  <w:vAlign w:val="center"/>
                </w:tcPr>
                <w:p w14:paraId="16B12F21">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危险废物名称</w:t>
                  </w:r>
                </w:p>
              </w:tc>
              <w:tc>
                <w:tcPr>
                  <w:tcW w:w="974" w:type="dxa"/>
                  <w:vAlign w:val="center"/>
                </w:tcPr>
                <w:p w14:paraId="2669B94A">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危险废物类别</w:t>
                  </w:r>
                </w:p>
              </w:tc>
              <w:tc>
                <w:tcPr>
                  <w:tcW w:w="1276" w:type="dxa"/>
                  <w:vAlign w:val="center"/>
                </w:tcPr>
                <w:p w14:paraId="40F61D7B">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危险废物代码</w:t>
                  </w:r>
                </w:p>
              </w:tc>
              <w:tc>
                <w:tcPr>
                  <w:tcW w:w="850" w:type="dxa"/>
                  <w:vAlign w:val="center"/>
                </w:tcPr>
                <w:p w14:paraId="3CD5CA1B">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产生量t/a</w:t>
                  </w:r>
                </w:p>
              </w:tc>
              <w:tc>
                <w:tcPr>
                  <w:tcW w:w="907" w:type="dxa"/>
                  <w:vAlign w:val="center"/>
                </w:tcPr>
                <w:p w14:paraId="70B74027">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产生工序及装置</w:t>
                  </w:r>
                </w:p>
              </w:tc>
              <w:tc>
                <w:tcPr>
                  <w:tcW w:w="523" w:type="dxa"/>
                  <w:vAlign w:val="center"/>
                </w:tcPr>
                <w:p w14:paraId="412509E9">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形态</w:t>
                  </w:r>
                </w:p>
              </w:tc>
              <w:tc>
                <w:tcPr>
                  <w:tcW w:w="1860" w:type="dxa"/>
                  <w:vAlign w:val="center"/>
                </w:tcPr>
                <w:p w14:paraId="44F9FF4B">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主要成分</w:t>
                  </w:r>
                </w:p>
              </w:tc>
              <w:tc>
                <w:tcPr>
                  <w:tcW w:w="1890" w:type="dxa"/>
                  <w:vAlign w:val="center"/>
                </w:tcPr>
                <w:p w14:paraId="45C3BD4F">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有害成分</w:t>
                  </w:r>
                </w:p>
              </w:tc>
              <w:tc>
                <w:tcPr>
                  <w:tcW w:w="615" w:type="dxa"/>
                  <w:vAlign w:val="center"/>
                </w:tcPr>
                <w:p w14:paraId="01424A1B">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产废周期</w:t>
                  </w:r>
                </w:p>
              </w:tc>
              <w:tc>
                <w:tcPr>
                  <w:tcW w:w="765" w:type="dxa"/>
                  <w:vAlign w:val="center"/>
                </w:tcPr>
                <w:p w14:paraId="6721AF72">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危险特性</w:t>
                  </w:r>
                </w:p>
              </w:tc>
              <w:tc>
                <w:tcPr>
                  <w:tcW w:w="885" w:type="dxa"/>
                  <w:vAlign w:val="center"/>
                </w:tcPr>
                <w:p w14:paraId="125486C1">
                  <w:pPr>
                    <w:pStyle w:val="118"/>
                    <w:tabs>
                      <w:tab w:val="clear" w:pos="1080"/>
                    </w:tabs>
                    <w:adjustRightInd w:val="0"/>
                    <w:snapToGrid w:val="0"/>
                    <w:spacing w:line="240" w:lineRule="auto"/>
                    <w:ind w:firstLine="0" w:firstLineChars="0"/>
                    <w:jc w:val="center"/>
                    <w:rPr>
                      <w:rFonts w:ascii="Times New Roman" w:hAnsi="Times New Roman" w:cs="Times New Roman"/>
                      <w:b/>
                      <w:color w:val="auto"/>
                      <w:sz w:val="21"/>
                      <w:szCs w:val="21"/>
                    </w:rPr>
                  </w:pPr>
                  <w:r>
                    <w:rPr>
                      <w:rFonts w:ascii="Times New Roman" w:hAnsi="Times New Roman" w:cs="Times New Roman"/>
                      <w:b/>
                      <w:color w:val="auto"/>
                      <w:sz w:val="21"/>
                      <w:szCs w:val="21"/>
                    </w:rPr>
                    <w:t>污染防治措施</w:t>
                  </w:r>
                </w:p>
              </w:tc>
            </w:tr>
            <w:tr w14:paraId="41384A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1" w:type="dxa"/>
                  <w:vAlign w:val="center"/>
                </w:tcPr>
                <w:p w14:paraId="6C106C8F">
                  <w:pPr>
                    <w:snapToGrid w:val="0"/>
                    <w:jc w:val="center"/>
                    <w:rPr>
                      <w:color w:val="auto"/>
                      <w:szCs w:val="21"/>
                    </w:rPr>
                  </w:pPr>
                  <w:r>
                    <w:rPr>
                      <w:color w:val="auto"/>
                      <w:szCs w:val="21"/>
                    </w:rPr>
                    <w:t>1</w:t>
                  </w:r>
                </w:p>
              </w:tc>
              <w:tc>
                <w:tcPr>
                  <w:tcW w:w="1606" w:type="dxa"/>
                  <w:vAlign w:val="center"/>
                </w:tcPr>
                <w:p w14:paraId="4D21A44F">
                  <w:pPr>
                    <w:pStyle w:val="107"/>
                    <w:spacing w:line="240" w:lineRule="auto"/>
                    <w:ind w:firstLine="0" w:firstLineChars="0"/>
                    <w:jc w:val="center"/>
                    <w:rPr>
                      <w:color w:val="auto"/>
                      <w:sz w:val="21"/>
                      <w:szCs w:val="21"/>
                    </w:rPr>
                  </w:pPr>
                  <w:r>
                    <w:rPr>
                      <w:rFonts w:hint="eastAsia"/>
                      <w:color w:val="auto"/>
                      <w:sz w:val="21"/>
                      <w:szCs w:val="21"/>
                    </w:rPr>
                    <w:t>废脱硝催化剂</w:t>
                  </w:r>
                </w:p>
              </w:tc>
              <w:tc>
                <w:tcPr>
                  <w:tcW w:w="974" w:type="dxa"/>
                  <w:vAlign w:val="center"/>
                </w:tcPr>
                <w:p w14:paraId="1EA93601">
                  <w:pPr>
                    <w:widowControl/>
                    <w:jc w:val="center"/>
                    <w:rPr>
                      <w:color w:val="auto"/>
                      <w:szCs w:val="21"/>
                    </w:rPr>
                  </w:pPr>
                  <w:r>
                    <w:rPr>
                      <w:rFonts w:hint="eastAsia"/>
                      <w:color w:val="auto"/>
                      <w:kern w:val="24"/>
                      <w:szCs w:val="21"/>
                    </w:rPr>
                    <w:t>HW50</w:t>
                  </w:r>
                </w:p>
              </w:tc>
              <w:tc>
                <w:tcPr>
                  <w:tcW w:w="1276" w:type="dxa"/>
                  <w:vAlign w:val="center"/>
                </w:tcPr>
                <w:p w14:paraId="5C898CE4">
                  <w:pPr>
                    <w:widowControl/>
                    <w:jc w:val="center"/>
                    <w:rPr>
                      <w:color w:val="auto"/>
                      <w:kern w:val="0"/>
                      <w:szCs w:val="21"/>
                      <w:lang w:bidi="ar"/>
                    </w:rPr>
                  </w:pPr>
                  <w:r>
                    <w:rPr>
                      <w:rFonts w:hint="eastAsia"/>
                      <w:color w:val="auto"/>
                      <w:kern w:val="24"/>
                      <w:szCs w:val="21"/>
                    </w:rPr>
                    <w:t>772-007-50</w:t>
                  </w:r>
                </w:p>
              </w:tc>
              <w:tc>
                <w:tcPr>
                  <w:tcW w:w="850" w:type="dxa"/>
                  <w:vAlign w:val="center"/>
                </w:tcPr>
                <w:p w14:paraId="23EF0070">
                  <w:pPr>
                    <w:widowControl/>
                    <w:adjustRightInd w:val="0"/>
                    <w:snapToGrid w:val="0"/>
                    <w:jc w:val="center"/>
                    <w:textAlignment w:val="center"/>
                    <w:rPr>
                      <w:color w:val="auto"/>
                      <w:szCs w:val="21"/>
                    </w:rPr>
                  </w:pPr>
                  <w:r>
                    <w:rPr>
                      <w:rFonts w:hint="eastAsia"/>
                      <w:color w:val="auto"/>
                      <w:szCs w:val="21"/>
                    </w:rPr>
                    <w:t>6</w:t>
                  </w:r>
                </w:p>
              </w:tc>
              <w:tc>
                <w:tcPr>
                  <w:tcW w:w="907" w:type="dxa"/>
                  <w:vAlign w:val="center"/>
                </w:tcPr>
                <w:p w14:paraId="22F09AF6">
                  <w:pPr>
                    <w:widowControl/>
                    <w:adjustRightInd w:val="0"/>
                    <w:snapToGrid w:val="0"/>
                    <w:jc w:val="center"/>
                    <w:textAlignment w:val="center"/>
                    <w:rPr>
                      <w:color w:val="auto"/>
                      <w:kern w:val="0"/>
                      <w:szCs w:val="21"/>
                      <w:lang w:bidi="ar"/>
                    </w:rPr>
                  </w:pPr>
                  <w:r>
                    <w:rPr>
                      <w:rFonts w:hint="eastAsia"/>
                      <w:color w:val="auto"/>
                      <w:kern w:val="0"/>
                      <w:szCs w:val="21"/>
                      <w:lang w:bidi="ar"/>
                    </w:rPr>
                    <w:t>废气处理</w:t>
                  </w:r>
                </w:p>
              </w:tc>
              <w:tc>
                <w:tcPr>
                  <w:tcW w:w="523" w:type="dxa"/>
                  <w:vAlign w:val="center"/>
                </w:tcPr>
                <w:p w14:paraId="037593C8">
                  <w:pPr>
                    <w:widowControl/>
                    <w:adjustRightInd w:val="0"/>
                    <w:snapToGrid w:val="0"/>
                    <w:jc w:val="center"/>
                    <w:textAlignment w:val="center"/>
                    <w:rPr>
                      <w:color w:val="auto"/>
                      <w:kern w:val="0"/>
                      <w:szCs w:val="21"/>
                      <w:lang w:bidi="ar"/>
                    </w:rPr>
                  </w:pPr>
                  <w:r>
                    <w:rPr>
                      <w:color w:val="auto"/>
                      <w:kern w:val="0"/>
                      <w:szCs w:val="21"/>
                      <w:lang w:bidi="ar"/>
                    </w:rPr>
                    <w:t>固态</w:t>
                  </w:r>
                </w:p>
              </w:tc>
              <w:tc>
                <w:tcPr>
                  <w:tcW w:w="1860" w:type="dxa"/>
                  <w:vAlign w:val="center"/>
                </w:tcPr>
                <w:p w14:paraId="50B30CEA">
                  <w:pPr>
                    <w:widowControl/>
                    <w:adjustRightInd w:val="0"/>
                    <w:snapToGrid w:val="0"/>
                    <w:jc w:val="center"/>
                    <w:textAlignment w:val="center"/>
                    <w:rPr>
                      <w:color w:val="auto"/>
                      <w:szCs w:val="21"/>
                    </w:rPr>
                  </w:pPr>
                  <w:r>
                    <w:rPr>
                      <w:rFonts w:hint="eastAsia"/>
                      <w:color w:val="auto"/>
                      <w:szCs w:val="21"/>
                    </w:rPr>
                    <w:t>重金属</w:t>
                  </w:r>
                </w:p>
              </w:tc>
              <w:tc>
                <w:tcPr>
                  <w:tcW w:w="1890" w:type="dxa"/>
                  <w:vAlign w:val="center"/>
                </w:tcPr>
                <w:p w14:paraId="00033BC3">
                  <w:pPr>
                    <w:widowControl/>
                    <w:adjustRightInd w:val="0"/>
                    <w:snapToGrid w:val="0"/>
                    <w:jc w:val="center"/>
                    <w:textAlignment w:val="center"/>
                    <w:rPr>
                      <w:color w:val="auto"/>
                      <w:kern w:val="0"/>
                      <w:szCs w:val="21"/>
                      <w:lang w:bidi="ar"/>
                    </w:rPr>
                  </w:pPr>
                  <w:r>
                    <w:rPr>
                      <w:rFonts w:hint="eastAsia"/>
                      <w:color w:val="auto"/>
                      <w:szCs w:val="21"/>
                    </w:rPr>
                    <w:t>重金属</w:t>
                  </w:r>
                </w:p>
              </w:tc>
              <w:tc>
                <w:tcPr>
                  <w:tcW w:w="615" w:type="dxa"/>
                  <w:vAlign w:val="center"/>
                </w:tcPr>
                <w:p w14:paraId="171857A6">
                  <w:pPr>
                    <w:pStyle w:val="6"/>
                    <w:ind w:left="17" w:hanging="16" w:hangingChars="8"/>
                    <w:jc w:val="center"/>
                    <w:rPr>
                      <w:color w:val="auto"/>
                      <w:szCs w:val="21"/>
                    </w:rPr>
                  </w:pPr>
                  <w:r>
                    <w:rPr>
                      <w:rFonts w:hint="eastAsia"/>
                      <w:color w:val="auto"/>
                      <w:szCs w:val="21"/>
                    </w:rPr>
                    <w:t>3年</w:t>
                  </w:r>
                </w:p>
              </w:tc>
              <w:tc>
                <w:tcPr>
                  <w:tcW w:w="765" w:type="dxa"/>
                  <w:vAlign w:val="center"/>
                </w:tcPr>
                <w:p w14:paraId="1BE72A70">
                  <w:pPr>
                    <w:snapToGrid w:val="0"/>
                    <w:jc w:val="center"/>
                    <w:rPr>
                      <w:color w:val="auto"/>
                      <w:kern w:val="0"/>
                      <w:szCs w:val="21"/>
                    </w:rPr>
                  </w:pPr>
                  <w:r>
                    <w:rPr>
                      <w:rFonts w:hint="eastAsia"/>
                      <w:color w:val="auto"/>
                      <w:kern w:val="0"/>
                      <w:szCs w:val="21"/>
                    </w:rPr>
                    <w:t>T</w:t>
                  </w:r>
                </w:p>
              </w:tc>
              <w:tc>
                <w:tcPr>
                  <w:tcW w:w="885" w:type="dxa"/>
                  <w:vMerge w:val="restart"/>
                  <w:vAlign w:val="center"/>
                </w:tcPr>
                <w:p w14:paraId="0E53D5A8">
                  <w:pPr>
                    <w:pStyle w:val="118"/>
                    <w:tabs>
                      <w:tab w:val="clear" w:pos="1080"/>
                    </w:tabs>
                    <w:adjustRightInd w:val="0"/>
                    <w:snapToGrid w:val="0"/>
                    <w:spacing w:line="240" w:lineRule="auto"/>
                    <w:ind w:firstLine="0" w:firstLineChars="0"/>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规范暂存于厂区危废仓库，并</w:t>
                  </w:r>
                  <w:r>
                    <w:rPr>
                      <w:color w:val="auto"/>
                      <w:sz w:val="21"/>
                      <w:szCs w:val="21"/>
                    </w:rPr>
                    <w:t>委托相关资质单位安全处置</w:t>
                  </w:r>
                </w:p>
              </w:tc>
            </w:tr>
            <w:tr w14:paraId="7614AB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1" w:type="dxa"/>
                  <w:vAlign w:val="center"/>
                </w:tcPr>
                <w:p w14:paraId="278A8A93">
                  <w:pPr>
                    <w:pStyle w:val="10"/>
                    <w:spacing w:before="0" w:after="0" w:line="240" w:lineRule="auto"/>
                    <w:ind w:right="0"/>
                    <w:jc w:val="center"/>
                    <w:rPr>
                      <w:color w:val="auto"/>
                      <w:sz w:val="21"/>
                      <w:szCs w:val="21"/>
                    </w:rPr>
                  </w:pPr>
                  <w:r>
                    <w:rPr>
                      <w:color w:val="auto"/>
                      <w:sz w:val="21"/>
                      <w:szCs w:val="21"/>
                    </w:rPr>
                    <w:t>2</w:t>
                  </w:r>
                </w:p>
              </w:tc>
              <w:tc>
                <w:tcPr>
                  <w:tcW w:w="1606" w:type="dxa"/>
                  <w:vAlign w:val="center"/>
                </w:tcPr>
                <w:p w14:paraId="08F2FA07">
                  <w:pPr>
                    <w:pStyle w:val="107"/>
                    <w:spacing w:line="240" w:lineRule="auto"/>
                    <w:ind w:firstLine="0" w:firstLineChars="0"/>
                    <w:jc w:val="center"/>
                    <w:rPr>
                      <w:color w:val="auto"/>
                      <w:sz w:val="21"/>
                      <w:szCs w:val="21"/>
                    </w:rPr>
                  </w:pPr>
                  <w:r>
                    <w:rPr>
                      <w:rFonts w:hint="eastAsia"/>
                      <w:color w:val="auto"/>
                      <w:sz w:val="21"/>
                      <w:szCs w:val="21"/>
                    </w:rPr>
                    <w:t>废矿物油</w:t>
                  </w:r>
                </w:p>
              </w:tc>
              <w:tc>
                <w:tcPr>
                  <w:tcW w:w="974" w:type="dxa"/>
                  <w:vAlign w:val="center"/>
                </w:tcPr>
                <w:p w14:paraId="6C6EA31A">
                  <w:pPr>
                    <w:widowControl/>
                    <w:jc w:val="center"/>
                    <w:rPr>
                      <w:color w:val="auto"/>
                      <w:szCs w:val="21"/>
                    </w:rPr>
                  </w:pPr>
                  <w:r>
                    <w:rPr>
                      <w:rFonts w:hint="eastAsia"/>
                      <w:color w:val="auto"/>
                      <w:kern w:val="24"/>
                      <w:szCs w:val="21"/>
                    </w:rPr>
                    <w:t>HW08</w:t>
                  </w:r>
                </w:p>
              </w:tc>
              <w:tc>
                <w:tcPr>
                  <w:tcW w:w="1276" w:type="dxa"/>
                  <w:vAlign w:val="center"/>
                </w:tcPr>
                <w:p w14:paraId="6B73FE00">
                  <w:pPr>
                    <w:widowControl/>
                    <w:jc w:val="center"/>
                    <w:rPr>
                      <w:color w:val="auto"/>
                      <w:kern w:val="0"/>
                      <w:szCs w:val="21"/>
                      <w:lang w:bidi="ar"/>
                    </w:rPr>
                  </w:pPr>
                  <w:r>
                    <w:rPr>
                      <w:rFonts w:hint="eastAsia"/>
                      <w:color w:val="auto"/>
                      <w:kern w:val="24"/>
                      <w:szCs w:val="21"/>
                    </w:rPr>
                    <w:t>900-217-08</w:t>
                  </w:r>
                </w:p>
              </w:tc>
              <w:tc>
                <w:tcPr>
                  <w:tcW w:w="850" w:type="dxa"/>
                  <w:vAlign w:val="center"/>
                </w:tcPr>
                <w:p w14:paraId="5BE43305">
                  <w:pPr>
                    <w:widowControl/>
                    <w:adjustRightInd w:val="0"/>
                    <w:snapToGrid w:val="0"/>
                    <w:jc w:val="center"/>
                    <w:textAlignment w:val="center"/>
                    <w:rPr>
                      <w:color w:val="auto"/>
                      <w:szCs w:val="21"/>
                    </w:rPr>
                  </w:pPr>
                  <w:r>
                    <w:rPr>
                      <w:rFonts w:hint="eastAsia"/>
                      <w:color w:val="auto"/>
                      <w:szCs w:val="21"/>
                    </w:rPr>
                    <w:t>0.5</w:t>
                  </w:r>
                </w:p>
              </w:tc>
              <w:tc>
                <w:tcPr>
                  <w:tcW w:w="907" w:type="dxa"/>
                  <w:vAlign w:val="center"/>
                </w:tcPr>
                <w:p w14:paraId="5C862BBE">
                  <w:pPr>
                    <w:widowControl/>
                    <w:adjustRightInd w:val="0"/>
                    <w:snapToGrid w:val="0"/>
                    <w:jc w:val="center"/>
                    <w:textAlignment w:val="center"/>
                    <w:rPr>
                      <w:color w:val="auto"/>
                      <w:kern w:val="0"/>
                      <w:szCs w:val="21"/>
                      <w:lang w:bidi="ar"/>
                    </w:rPr>
                  </w:pPr>
                  <w:r>
                    <w:rPr>
                      <w:rFonts w:hint="eastAsia"/>
                      <w:color w:val="auto"/>
                      <w:kern w:val="0"/>
                      <w:szCs w:val="21"/>
                      <w:lang w:bidi="ar"/>
                    </w:rPr>
                    <w:t>设备维护</w:t>
                  </w:r>
                </w:p>
              </w:tc>
              <w:tc>
                <w:tcPr>
                  <w:tcW w:w="523" w:type="dxa"/>
                  <w:vAlign w:val="center"/>
                </w:tcPr>
                <w:p w14:paraId="22490B91">
                  <w:pPr>
                    <w:widowControl/>
                    <w:adjustRightInd w:val="0"/>
                    <w:snapToGrid w:val="0"/>
                    <w:jc w:val="center"/>
                    <w:textAlignment w:val="center"/>
                    <w:rPr>
                      <w:color w:val="auto"/>
                      <w:kern w:val="0"/>
                      <w:szCs w:val="21"/>
                      <w:lang w:bidi="ar"/>
                    </w:rPr>
                  </w:pPr>
                  <w:r>
                    <w:rPr>
                      <w:rFonts w:hint="eastAsia"/>
                      <w:color w:val="auto"/>
                      <w:kern w:val="0"/>
                      <w:szCs w:val="21"/>
                      <w:lang w:bidi="ar"/>
                    </w:rPr>
                    <w:t>液态</w:t>
                  </w:r>
                </w:p>
              </w:tc>
              <w:tc>
                <w:tcPr>
                  <w:tcW w:w="1860" w:type="dxa"/>
                  <w:vAlign w:val="center"/>
                </w:tcPr>
                <w:p w14:paraId="674D7099">
                  <w:pPr>
                    <w:widowControl/>
                    <w:adjustRightInd w:val="0"/>
                    <w:snapToGrid w:val="0"/>
                    <w:jc w:val="center"/>
                    <w:textAlignment w:val="center"/>
                    <w:rPr>
                      <w:color w:val="auto"/>
                      <w:szCs w:val="21"/>
                    </w:rPr>
                  </w:pPr>
                  <w:r>
                    <w:rPr>
                      <w:rFonts w:hint="eastAsia"/>
                      <w:color w:val="auto"/>
                      <w:szCs w:val="21"/>
                    </w:rPr>
                    <w:t>矿物油</w:t>
                  </w:r>
                </w:p>
              </w:tc>
              <w:tc>
                <w:tcPr>
                  <w:tcW w:w="1890" w:type="dxa"/>
                  <w:vAlign w:val="center"/>
                </w:tcPr>
                <w:p w14:paraId="20E57CE5">
                  <w:pPr>
                    <w:widowControl/>
                    <w:adjustRightInd w:val="0"/>
                    <w:snapToGrid w:val="0"/>
                    <w:jc w:val="center"/>
                    <w:textAlignment w:val="center"/>
                    <w:rPr>
                      <w:color w:val="auto"/>
                      <w:szCs w:val="21"/>
                    </w:rPr>
                  </w:pPr>
                  <w:r>
                    <w:rPr>
                      <w:rFonts w:hint="eastAsia"/>
                      <w:color w:val="auto"/>
                      <w:szCs w:val="21"/>
                    </w:rPr>
                    <w:t>矿物油</w:t>
                  </w:r>
                </w:p>
              </w:tc>
              <w:tc>
                <w:tcPr>
                  <w:tcW w:w="615" w:type="dxa"/>
                  <w:vAlign w:val="center"/>
                </w:tcPr>
                <w:p w14:paraId="1EF51278">
                  <w:pPr>
                    <w:pStyle w:val="6"/>
                    <w:ind w:left="17" w:hanging="16" w:hangingChars="8"/>
                    <w:jc w:val="center"/>
                    <w:rPr>
                      <w:color w:val="auto"/>
                      <w:szCs w:val="21"/>
                    </w:rPr>
                  </w:pPr>
                  <w:r>
                    <w:rPr>
                      <w:rFonts w:hint="eastAsia"/>
                      <w:color w:val="auto"/>
                      <w:szCs w:val="21"/>
                    </w:rPr>
                    <w:t>1年</w:t>
                  </w:r>
                </w:p>
              </w:tc>
              <w:tc>
                <w:tcPr>
                  <w:tcW w:w="765" w:type="dxa"/>
                  <w:vAlign w:val="center"/>
                </w:tcPr>
                <w:p w14:paraId="3AD23EB1">
                  <w:pPr>
                    <w:widowControl/>
                    <w:jc w:val="center"/>
                    <w:rPr>
                      <w:color w:val="auto"/>
                      <w:kern w:val="0"/>
                      <w:szCs w:val="21"/>
                    </w:rPr>
                  </w:pPr>
                  <w:r>
                    <w:rPr>
                      <w:color w:val="auto"/>
                      <w:kern w:val="0"/>
                      <w:szCs w:val="21"/>
                      <w:lang w:bidi="ar"/>
                    </w:rPr>
                    <w:t>T，I</w:t>
                  </w:r>
                </w:p>
              </w:tc>
              <w:tc>
                <w:tcPr>
                  <w:tcW w:w="885" w:type="dxa"/>
                  <w:vMerge w:val="continue"/>
                  <w:vAlign w:val="center"/>
                </w:tcPr>
                <w:p w14:paraId="2EBBCF83">
                  <w:pPr>
                    <w:pStyle w:val="118"/>
                    <w:tabs>
                      <w:tab w:val="clear" w:pos="1080"/>
                    </w:tabs>
                    <w:adjustRightInd w:val="0"/>
                    <w:snapToGrid w:val="0"/>
                    <w:spacing w:line="240" w:lineRule="auto"/>
                    <w:ind w:firstLine="0" w:firstLineChars="0"/>
                    <w:jc w:val="center"/>
                    <w:rPr>
                      <w:rFonts w:ascii="Times New Roman" w:hAnsi="Times New Roman" w:cs="Times New Roman"/>
                      <w:color w:val="auto"/>
                      <w:sz w:val="21"/>
                      <w:szCs w:val="21"/>
                    </w:rPr>
                  </w:pPr>
                </w:p>
              </w:tc>
            </w:tr>
            <w:tr w14:paraId="57759A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1" w:type="dxa"/>
                  <w:vAlign w:val="center"/>
                </w:tcPr>
                <w:p w14:paraId="120FE82A">
                  <w:pPr>
                    <w:pStyle w:val="10"/>
                    <w:spacing w:before="0" w:after="0" w:line="240" w:lineRule="auto"/>
                    <w:ind w:right="0"/>
                    <w:jc w:val="center"/>
                    <w:rPr>
                      <w:color w:val="auto"/>
                      <w:sz w:val="21"/>
                      <w:szCs w:val="21"/>
                    </w:rPr>
                  </w:pPr>
                  <w:r>
                    <w:rPr>
                      <w:rFonts w:hint="eastAsia"/>
                      <w:color w:val="auto"/>
                      <w:sz w:val="21"/>
                      <w:szCs w:val="21"/>
                    </w:rPr>
                    <w:t>3</w:t>
                  </w:r>
                </w:p>
              </w:tc>
              <w:tc>
                <w:tcPr>
                  <w:tcW w:w="1606" w:type="dxa"/>
                  <w:vAlign w:val="center"/>
                </w:tcPr>
                <w:p w14:paraId="074A3D26">
                  <w:pPr>
                    <w:pStyle w:val="107"/>
                    <w:spacing w:line="240" w:lineRule="auto"/>
                    <w:ind w:firstLine="0" w:firstLineChars="0"/>
                    <w:jc w:val="center"/>
                    <w:rPr>
                      <w:color w:val="auto"/>
                      <w:sz w:val="21"/>
                      <w:szCs w:val="21"/>
                    </w:rPr>
                  </w:pPr>
                  <w:r>
                    <w:rPr>
                      <w:rFonts w:hint="eastAsia"/>
                      <w:color w:val="auto"/>
                      <w:sz w:val="21"/>
                      <w:szCs w:val="21"/>
                    </w:rPr>
                    <w:t>废矿物油桶</w:t>
                  </w:r>
                </w:p>
              </w:tc>
              <w:tc>
                <w:tcPr>
                  <w:tcW w:w="974" w:type="dxa"/>
                  <w:vAlign w:val="center"/>
                </w:tcPr>
                <w:p w14:paraId="46187C86">
                  <w:pPr>
                    <w:widowControl/>
                    <w:jc w:val="center"/>
                    <w:rPr>
                      <w:color w:val="auto"/>
                      <w:szCs w:val="21"/>
                    </w:rPr>
                  </w:pPr>
                  <w:r>
                    <w:rPr>
                      <w:rFonts w:hint="eastAsia"/>
                      <w:color w:val="auto"/>
                      <w:kern w:val="24"/>
                      <w:szCs w:val="21"/>
                    </w:rPr>
                    <w:t>HW08</w:t>
                  </w:r>
                </w:p>
              </w:tc>
              <w:tc>
                <w:tcPr>
                  <w:tcW w:w="1276" w:type="dxa"/>
                  <w:vAlign w:val="center"/>
                </w:tcPr>
                <w:p w14:paraId="346DF07B">
                  <w:pPr>
                    <w:widowControl/>
                    <w:jc w:val="center"/>
                    <w:rPr>
                      <w:color w:val="auto"/>
                      <w:kern w:val="0"/>
                      <w:szCs w:val="21"/>
                      <w:lang w:bidi="ar"/>
                    </w:rPr>
                  </w:pPr>
                  <w:r>
                    <w:rPr>
                      <w:rFonts w:hint="eastAsia"/>
                      <w:color w:val="auto"/>
                      <w:kern w:val="24"/>
                      <w:szCs w:val="21"/>
                    </w:rPr>
                    <w:t>900-249-08</w:t>
                  </w:r>
                </w:p>
              </w:tc>
              <w:tc>
                <w:tcPr>
                  <w:tcW w:w="850" w:type="dxa"/>
                  <w:vAlign w:val="center"/>
                </w:tcPr>
                <w:p w14:paraId="78AF6351">
                  <w:pPr>
                    <w:widowControl/>
                    <w:adjustRightInd w:val="0"/>
                    <w:snapToGrid w:val="0"/>
                    <w:jc w:val="center"/>
                    <w:textAlignment w:val="center"/>
                    <w:rPr>
                      <w:color w:val="auto"/>
                      <w:szCs w:val="21"/>
                    </w:rPr>
                  </w:pPr>
                  <w:r>
                    <w:rPr>
                      <w:rFonts w:hint="eastAsia"/>
                      <w:color w:val="auto"/>
                      <w:szCs w:val="21"/>
                    </w:rPr>
                    <w:t>0.25</w:t>
                  </w:r>
                </w:p>
              </w:tc>
              <w:tc>
                <w:tcPr>
                  <w:tcW w:w="907" w:type="dxa"/>
                  <w:vAlign w:val="center"/>
                </w:tcPr>
                <w:p w14:paraId="7B8202F3">
                  <w:pPr>
                    <w:widowControl/>
                    <w:adjustRightInd w:val="0"/>
                    <w:snapToGrid w:val="0"/>
                    <w:jc w:val="center"/>
                    <w:textAlignment w:val="center"/>
                    <w:rPr>
                      <w:color w:val="auto"/>
                      <w:kern w:val="0"/>
                      <w:szCs w:val="21"/>
                      <w:lang w:bidi="ar"/>
                    </w:rPr>
                  </w:pPr>
                  <w:r>
                    <w:rPr>
                      <w:rFonts w:hint="eastAsia"/>
                      <w:color w:val="auto"/>
                      <w:kern w:val="0"/>
                      <w:szCs w:val="21"/>
                      <w:lang w:bidi="ar"/>
                    </w:rPr>
                    <w:t>设备维护</w:t>
                  </w:r>
                </w:p>
              </w:tc>
              <w:tc>
                <w:tcPr>
                  <w:tcW w:w="523" w:type="dxa"/>
                  <w:vAlign w:val="center"/>
                </w:tcPr>
                <w:p w14:paraId="45B80D1A">
                  <w:pPr>
                    <w:widowControl/>
                    <w:adjustRightInd w:val="0"/>
                    <w:snapToGrid w:val="0"/>
                    <w:jc w:val="center"/>
                    <w:textAlignment w:val="center"/>
                    <w:rPr>
                      <w:color w:val="auto"/>
                      <w:kern w:val="0"/>
                      <w:szCs w:val="21"/>
                      <w:lang w:bidi="ar"/>
                    </w:rPr>
                  </w:pPr>
                  <w:r>
                    <w:rPr>
                      <w:color w:val="auto"/>
                      <w:kern w:val="0"/>
                      <w:szCs w:val="21"/>
                      <w:lang w:bidi="ar"/>
                    </w:rPr>
                    <w:t>固态</w:t>
                  </w:r>
                </w:p>
              </w:tc>
              <w:tc>
                <w:tcPr>
                  <w:tcW w:w="1860" w:type="dxa"/>
                  <w:vAlign w:val="center"/>
                </w:tcPr>
                <w:p w14:paraId="40DB7CC8">
                  <w:pPr>
                    <w:widowControl/>
                    <w:adjustRightInd w:val="0"/>
                    <w:snapToGrid w:val="0"/>
                    <w:jc w:val="center"/>
                    <w:textAlignment w:val="center"/>
                    <w:rPr>
                      <w:color w:val="auto"/>
                      <w:szCs w:val="21"/>
                    </w:rPr>
                  </w:pPr>
                  <w:r>
                    <w:rPr>
                      <w:rFonts w:hint="eastAsia"/>
                      <w:color w:val="auto"/>
                      <w:szCs w:val="21"/>
                    </w:rPr>
                    <w:t>矿物油</w:t>
                  </w:r>
                </w:p>
              </w:tc>
              <w:tc>
                <w:tcPr>
                  <w:tcW w:w="1890" w:type="dxa"/>
                  <w:vAlign w:val="center"/>
                </w:tcPr>
                <w:p w14:paraId="3F4ED26F">
                  <w:pPr>
                    <w:widowControl/>
                    <w:adjustRightInd w:val="0"/>
                    <w:snapToGrid w:val="0"/>
                    <w:jc w:val="center"/>
                    <w:textAlignment w:val="center"/>
                    <w:rPr>
                      <w:color w:val="auto"/>
                      <w:szCs w:val="21"/>
                    </w:rPr>
                  </w:pPr>
                  <w:r>
                    <w:rPr>
                      <w:rFonts w:hint="eastAsia"/>
                      <w:color w:val="auto"/>
                      <w:szCs w:val="21"/>
                    </w:rPr>
                    <w:t>矿物油</w:t>
                  </w:r>
                </w:p>
              </w:tc>
              <w:tc>
                <w:tcPr>
                  <w:tcW w:w="615" w:type="dxa"/>
                  <w:vAlign w:val="center"/>
                </w:tcPr>
                <w:p w14:paraId="4DEBB4A1">
                  <w:pPr>
                    <w:pStyle w:val="6"/>
                    <w:ind w:left="17" w:hanging="16" w:hangingChars="8"/>
                    <w:jc w:val="center"/>
                    <w:rPr>
                      <w:color w:val="auto"/>
                      <w:szCs w:val="21"/>
                    </w:rPr>
                  </w:pPr>
                  <w:r>
                    <w:rPr>
                      <w:rFonts w:hint="eastAsia"/>
                      <w:color w:val="auto"/>
                      <w:szCs w:val="21"/>
                    </w:rPr>
                    <w:t>1年</w:t>
                  </w:r>
                </w:p>
              </w:tc>
              <w:tc>
                <w:tcPr>
                  <w:tcW w:w="765" w:type="dxa"/>
                  <w:vAlign w:val="center"/>
                </w:tcPr>
                <w:p w14:paraId="667D6931">
                  <w:pPr>
                    <w:widowControl/>
                    <w:jc w:val="center"/>
                    <w:rPr>
                      <w:color w:val="auto"/>
                      <w:kern w:val="0"/>
                      <w:szCs w:val="21"/>
                    </w:rPr>
                  </w:pPr>
                  <w:r>
                    <w:rPr>
                      <w:color w:val="auto"/>
                      <w:kern w:val="0"/>
                      <w:szCs w:val="21"/>
                      <w:lang w:bidi="ar"/>
                    </w:rPr>
                    <w:t>T，I</w:t>
                  </w:r>
                </w:p>
              </w:tc>
              <w:tc>
                <w:tcPr>
                  <w:tcW w:w="885" w:type="dxa"/>
                  <w:vMerge w:val="continue"/>
                  <w:vAlign w:val="center"/>
                </w:tcPr>
                <w:p w14:paraId="74395B6F">
                  <w:pPr>
                    <w:pStyle w:val="118"/>
                    <w:tabs>
                      <w:tab w:val="clear" w:pos="1080"/>
                    </w:tabs>
                    <w:adjustRightInd w:val="0"/>
                    <w:snapToGrid w:val="0"/>
                    <w:spacing w:line="240" w:lineRule="auto"/>
                    <w:ind w:firstLine="0" w:firstLineChars="0"/>
                    <w:jc w:val="center"/>
                    <w:rPr>
                      <w:rFonts w:ascii="Times New Roman" w:hAnsi="Times New Roman" w:cs="Times New Roman"/>
                      <w:color w:val="auto"/>
                      <w:sz w:val="21"/>
                      <w:szCs w:val="21"/>
                    </w:rPr>
                  </w:pPr>
                </w:p>
              </w:tc>
            </w:tr>
            <w:tr w14:paraId="1BAF5A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1" w:type="dxa"/>
                  <w:vAlign w:val="center"/>
                </w:tcPr>
                <w:p w14:paraId="55C720CA">
                  <w:pPr>
                    <w:pStyle w:val="10"/>
                    <w:spacing w:before="0" w:after="0" w:line="240" w:lineRule="auto"/>
                    <w:ind w:right="0"/>
                    <w:jc w:val="center"/>
                    <w:rPr>
                      <w:color w:val="auto"/>
                      <w:sz w:val="21"/>
                      <w:szCs w:val="21"/>
                    </w:rPr>
                  </w:pPr>
                  <w:r>
                    <w:rPr>
                      <w:rFonts w:hint="eastAsia"/>
                      <w:color w:val="auto"/>
                      <w:sz w:val="21"/>
                      <w:szCs w:val="21"/>
                    </w:rPr>
                    <w:t>4</w:t>
                  </w:r>
                </w:p>
              </w:tc>
              <w:tc>
                <w:tcPr>
                  <w:tcW w:w="1606" w:type="dxa"/>
                  <w:vAlign w:val="center"/>
                </w:tcPr>
                <w:p w14:paraId="5341D985">
                  <w:pPr>
                    <w:pStyle w:val="10"/>
                    <w:spacing w:before="0" w:after="0" w:line="240" w:lineRule="auto"/>
                    <w:ind w:right="0"/>
                    <w:jc w:val="center"/>
                    <w:rPr>
                      <w:color w:val="auto"/>
                      <w:sz w:val="21"/>
                      <w:szCs w:val="21"/>
                    </w:rPr>
                  </w:pPr>
                  <w:r>
                    <w:rPr>
                      <w:rFonts w:hint="eastAsia"/>
                      <w:color w:val="auto"/>
                      <w:sz w:val="21"/>
                      <w:szCs w:val="21"/>
                    </w:rPr>
                    <w:t>废漆桶</w:t>
                  </w:r>
                </w:p>
              </w:tc>
              <w:tc>
                <w:tcPr>
                  <w:tcW w:w="974" w:type="dxa"/>
                  <w:vAlign w:val="center"/>
                </w:tcPr>
                <w:p w14:paraId="2042B1FD">
                  <w:pPr>
                    <w:jc w:val="center"/>
                    <w:rPr>
                      <w:color w:val="auto"/>
                      <w:szCs w:val="21"/>
                    </w:rPr>
                  </w:pPr>
                  <w:r>
                    <w:rPr>
                      <w:color w:val="auto"/>
                      <w:szCs w:val="21"/>
                    </w:rPr>
                    <w:t>HW49</w:t>
                  </w:r>
                </w:p>
              </w:tc>
              <w:tc>
                <w:tcPr>
                  <w:tcW w:w="1276" w:type="dxa"/>
                  <w:vAlign w:val="center"/>
                </w:tcPr>
                <w:p w14:paraId="39B2F540">
                  <w:pPr>
                    <w:jc w:val="center"/>
                    <w:rPr>
                      <w:color w:val="auto"/>
                      <w:szCs w:val="21"/>
                    </w:rPr>
                  </w:pPr>
                  <w:r>
                    <w:rPr>
                      <w:color w:val="auto"/>
                      <w:szCs w:val="21"/>
                    </w:rPr>
                    <w:t>900-041-49</w:t>
                  </w:r>
                </w:p>
              </w:tc>
              <w:tc>
                <w:tcPr>
                  <w:tcW w:w="850" w:type="dxa"/>
                  <w:vAlign w:val="center"/>
                </w:tcPr>
                <w:p w14:paraId="217776E3">
                  <w:pPr>
                    <w:jc w:val="center"/>
                    <w:rPr>
                      <w:color w:val="auto"/>
                      <w:szCs w:val="21"/>
                    </w:rPr>
                  </w:pPr>
                  <w:r>
                    <w:rPr>
                      <w:rFonts w:hint="eastAsia"/>
                      <w:color w:val="auto"/>
                      <w:szCs w:val="21"/>
                    </w:rPr>
                    <w:t>1.5</w:t>
                  </w:r>
                </w:p>
              </w:tc>
              <w:tc>
                <w:tcPr>
                  <w:tcW w:w="907" w:type="dxa"/>
                  <w:vAlign w:val="center"/>
                </w:tcPr>
                <w:p w14:paraId="7F18A5BF">
                  <w:pPr>
                    <w:jc w:val="center"/>
                    <w:rPr>
                      <w:color w:val="auto"/>
                      <w:szCs w:val="21"/>
                    </w:rPr>
                  </w:pPr>
                  <w:r>
                    <w:rPr>
                      <w:rFonts w:hint="eastAsia"/>
                      <w:color w:val="auto"/>
                      <w:szCs w:val="21"/>
                    </w:rPr>
                    <w:t>生产</w:t>
                  </w:r>
                </w:p>
              </w:tc>
              <w:tc>
                <w:tcPr>
                  <w:tcW w:w="523" w:type="dxa"/>
                  <w:vAlign w:val="center"/>
                </w:tcPr>
                <w:p w14:paraId="6F9B94EF">
                  <w:pPr>
                    <w:widowControl/>
                    <w:adjustRightInd w:val="0"/>
                    <w:snapToGrid w:val="0"/>
                    <w:jc w:val="center"/>
                    <w:textAlignment w:val="center"/>
                    <w:rPr>
                      <w:color w:val="auto"/>
                      <w:kern w:val="0"/>
                      <w:szCs w:val="21"/>
                      <w:lang w:bidi="ar"/>
                    </w:rPr>
                  </w:pPr>
                  <w:r>
                    <w:rPr>
                      <w:color w:val="auto"/>
                      <w:kern w:val="0"/>
                      <w:szCs w:val="21"/>
                      <w:lang w:bidi="ar"/>
                    </w:rPr>
                    <w:t>固态</w:t>
                  </w:r>
                </w:p>
              </w:tc>
              <w:tc>
                <w:tcPr>
                  <w:tcW w:w="1860" w:type="dxa"/>
                  <w:vAlign w:val="center"/>
                </w:tcPr>
                <w:p w14:paraId="3EAD7B1A">
                  <w:pPr>
                    <w:jc w:val="center"/>
                    <w:rPr>
                      <w:color w:val="auto"/>
                      <w:szCs w:val="21"/>
                    </w:rPr>
                  </w:pPr>
                  <w:r>
                    <w:rPr>
                      <w:rFonts w:hint="eastAsia"/>
                      <w:color w:val="auto"/>
                      <w:szCs w:val="21"/>
                    </w:rPr>
                    <w:t>聚乙烯塑料、有机物</w:t>
                  </w:r>
                </w:p>
              </w:tc>
              <w:tc>
                <w:tcPr>
                  <w:tcW w:w="1890" w:type="dxa"/>
                  <w:vAlign w:val="center"/>
                </w:tcPr>
                <w:p w14:paraId="20586C0A">
                  <w:pPr>
                    <w:jc w:val="center"/>
                    <w:rPr>
                      <w:color w:val="auto"/>
                      <w:szCs w:val="21"/>
                    </w:rPr>
                  </w:pPr>
                  <w:r>
                    <w:rPr>
                      <w:rFonts w:hint="eastAsia"/>
                      <w:color w:val="auto"/>
                      <w:szCs w:val="21"/>
                    </w:rPr>
                    <w:t>聚乙烯塑料、有机物</w:t>
                  </w:r>
                </w:p>
              </w:tc>
              <w:tc>
                <w:tcPr>
                  <w:tcW w:w="615" w:type="dxa"/>
                  <w:vAlign w:val="center"/>
                </w:tcPr>
                <w:p w14:paraId="7B357C11">
                  <w:pPr>
                    <w:pStyle w:val="6"/>
                    <w:ind w:left="17" w:hanging="16" w:hangingChars="8"/>
                    <w:jc w:val="center"/>
                    <w:rPr>
                      <w:color w:val="auto"/>
                      <w:szCs w:val="21"/>
                    </w:rPr>
                  </w:pPr>
                  <w:r>
                    <w:rPr>
                      <w:color w:val="auto"/>
                      <w:szCs w:val="21"/>
                    </w:rPr>
                    <w:t>每</w:t>
                  </w:r>
                  <w:r>
                    <w:rPr>
                      <w:rFonts w:hint="eastAsia"/>
                      <w:color w:val="auto"/>
                      <w:szCs w:val="21"/>
                    </w:rPr>
                    <w:t>天</w:t>
                  </w:r>
                </w:p>
              </w:tc>
              <w:tc>
                <w:tcPr>
                  <w:tcW w:w="765" w:type="dxa"/>
                  <w:vAlign w:val="center"/>
                </w:tcPr>
                <w:p w14:paraId="4DE5A078">
                  <w:pPr>
                    <w:jc w:val="center"/>
                    <w:rPr>
                      <w:color w:val="auto"/>
                      <w:kern w:val="0"/>
                      <w:szCs w:val="21"/>
                      <w:lang w:bidi="ar"/>
                    </w:rPr>
                  </w:pPr>
                  <w:r>
                    <w:rPr>
                      <w:color w:val="auto"/>
                      <w:szCs w:val="21"/>
                    </w:rPr>
                    <w:t>T/In</w:t>
                  </w:r>
                </w:p>
              </w:tc>
              <w:tc>
                <w:tcPr>
                  <w:tcW w:w="885" w:type="dxa"/>
                  <w:vMerge w:val="continue"/>
                  <w:vAlign w:val="center"/>
                </w:tcPr>
                <w:p w14:paraId="7D4A0504">
                  <w:pPr>
                    <w:pStyle w:val="118"/>
                    <w:tabs>
                      <w:tab w:val="clear" w:pos="1080"/>
                    </w:tabs>
                    <w:adjustRightInd w:val="0"/>
                    <w:snapToGrid w:val="0"/>
                    <w:spacing w:line="240" w:lineRule="auto"/>
                    <w:ind w:firstLine="0" w:firstLineChars="0"/>
                    <w:jc w:val="center"/>
                    <w:rPr>
                      <w:rFonts w:ascii="Times New Roman" w:hAnsi="Times New Roman" w:cs="Times New Roman"/>
                      <w:color w:val="auto"/>
                      <w:sz w:val="21"/>
                      <w:szCs w:val="21"/>
                    </w:rPr>
                  </w:pPr>
                </w:p>
              </w:tc>
            </w:tr>
            <w:tr w14:paraId="594F21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1" w:type="dxa"/>
                  <w:vAlign w:val="center"/>
                </w:tcPr>
                <w:p w14:paraId="31203D6F">
                  <w:pPr>
                    <w:pStyle w:val="10"/>
                    <w:spacing w:before="0" w:after="0" w:line="240" w:lineRule="auto"/>
                    <w:ind w:right="0"/>
                    <w:jc w:val="center"/>
                    <w:rPr>
                      <w:color w:val="auto"/>
                      <w:sz w:val="21"/>
                      <w:szCs w:val="21"/>
                    </w:rPr>
                  </w:pPr>
                  <w:r>
                    <w:rPr>
                      <w:rFonts w:hint="eastAsia"/>
                      <w:color w:val="auto"/>
                      <w:sz w:val="21"/>
                      <w:szCs w:val="21"/>
                    </w:rPr>
                    <w:t>5</w:t>
                  </w:r>
                </w:p>
              </w:tc>
              <w:tc>
                <w:tcPr>
                  <w:tcW w:w="1606" w:type="dxa"/>
                  <w:vAlign w:val="center"/>
                </w:tcPr>
                <w:p w14:paraId="3CE1A8AF">
                  <w:pPr>
                    <w:widowControl/>
                    <w:jc w:val="center"/>
                    <w:rPr>
                      <w:rFonts w:hint="eastAsia" w:eastAsia="宋体"/>
                      <w:color w:val="auto"/>
                      <w:szCs w:val="21"/>
                      <w:lang w:eastAsia="zh-CN"/>
                    </w:rPr>
                  </w:pPr>
                  <w:r>
                    <w:rPr>
                      <w:rFonts w:hint="eastAsia"/>
                      <w:color w:val="auto"/>
                      <w:szCs w:val="21"/>
                    </w:rPr>
                    <w:t>废活性炭</w:t>
                  </w:r>
                  <w:r>
                    <w:rPr>
                      <w:rFonts w:hint="eastAsia"/>
                      <w:color w:val="auto"/>
                      <w:szCs w:val="21"/>
                      <w:lang w:eastAsia="zh-CN"/>
                    </w:rPr>
                    <w:t>（</w:t>
                  </w:r>
                  <w:r>
                    <w:rPr>
                      <w:rFonts w:hint="eastAsia"/>
                      <w:color w:val="auto"/>
                      <w:szCs w:val="21"/>
                      <w:lang w:val="en-US" w:eastAsia="zh-CN"/>
                    </w:rPr>
                    <w:t>废气</w:t>
                  </w:r>
                  <w:r>
                    <w:rPr>
                      <w:rFonts w:hint="eastAsia"/>
                      <w:color w:val="auto"/>
                      <w:szCs w:val="21"/>
                      <w:lang w:eastAsia="zh-CN"/>
                    </w:rPr>
                    <w:t>）</w:t>
                  </w:r>
                </w:p>
              </w:tc>
              <w:tc>
                <w:tcPr>
                  <w:tcW w:w="974" w:type="dxa"/>
                  <w:vAlign w:val="center"/>
                </w:tcPr>
                <w:p w14:paraId="381127DA">
                  <w:pPr>
                    <w:jc w:val="center"/>
                    <w:rPr>
                      <w:color w:val="auto"/>
                      <w:szCs w:val="21"/>
                    </w:rPr>
                  </w:pPr>
                  <w:r>
                    <w:rPr>
                      <w:color w:val="auto"/>
                      <w:szCs w:val="21"/>
                    </w:rPr>
                    <w:t>HW49</w:t>
                  </w:r>
                </w:p>
              </w:tc>
              <w:tc>
                <w:tcPr>
                  <w:tcW w:w="1276" w:type="dxa"/>
                  <w:vAlign w:val="center"/>
                </w:tcPr>
                <w:p w14:paraId="0532ADB7">
                  <w:pPr>
                    <w:jc w:val="center"/>
                    <w:rPr>
                      <w:color w:val="auto"/>
                      <w:szCs w:val="21"/>
                    </w:rPr>
                  </w:pPr>
                  <w:r>
                    <w:rPr>
                      <w:color w:val="auto"/>
                      <w:szCs w:val="21"/>
                    </w:rPr>
                    <w:t>900-0</w:t>
                  </w:r>
                  <w:r>
                    <w:rPr>
                      <w:rFonts w:hint="eastAsia"/>
                      <w:color w:val="auto"/>
                      <w:szCs w:val="21"/>
                    </w:rPr>
                    <w:t>39</w:t>
                  </w:r>
                  <w:r>
                    <w:rPr>
                      <w:color w:val="auto"/>
                      <w:szCs w:val="21"/>
                    </w:rPr>
                    <w:t>-49</w:t>
                  </w:r>
                </w:p>
              </w:tc>
              <w:tc>
                <w:tcPr>
                  <w:tcW w:w="850" w:type="dxa"/>
                  <w:vAlign w:val="center"/>
                </w:tcPr>
                <w:p w14:paraId="043EFEF4">
                  <w:pPr>
                    <w:jc w:val="center"/>
                    <w:rPr>
                      <w:rFonts w:hint="eastAsia" w:eastAsia="宋体"/>
                      <w:color w:val="auto"/>
                      <w:szCs w:val="21"/>
                      <w:lang w:eastAsia="zh-CN"/>
                    </w:rPr>
                  </w:pPr>
                  <w:r>
                    <w:rPr>
                      <w:rFonts w:hint="eastAsia"/>
                      <w:color w:val="auto"/>
                      <w:szCs w:val="21"/>
                      <w:lang w:val="en-US" w:eastAsia="zh-CN"/>
                    </w:rPr>
                    <w:t>2</w:t>
                  </w:r>
                </w:p>
              </w:tc>
              <w:tc>
                <w:tcPr>
                  <w:tcW w:w="907" w:type="dxa"/>
                  <w:vAlign w:val="center"/>
                </w:tcPr>
                <w:p w14:paraId="7FC79653">
                  <w:pPr>
                    <w:jc w:val="center"/>
                    <w:rPr>
                      <w:color w:val="auto"/>
                      <w:szCs w:val="21"/>
                    </w:rPr>
                  </w:pPr>
                  <w:r>
                    <w:rPr>
                      <w:rFonts w:hint="eastAsia"/>
                      <w:color w:val="auto"/>
                      <w:szCs w:val="21"/>
                    </w:rPr>
                    <w:t>废气处理</w:t>
                  </w:r>
                </w:p>
              </w:tc>
              <w:tc>
                <w:tcPr>
                  <w:tcW w:w="523" w:type="dxa"/>
                  <w:vAlign w:val="center"/>
                </w:tcPr>
                <w:p w14:paraId="26DEFD7E">
                  <w:pPr>
                    <w:widowControl/>
                    <w:adjustRightInd w:val="0"/>
                    <w:snapToGrid w:val="0"/>
                    <w:jc w:val="center"/>
                    <w:textAlignment w:val="center"/>
                    <w:rPr>
                      <w:color w:val="auto"/>
                      <w:kern w:val="0"/>
                      <w:szCs w:val="21"/>
                      <w:lang w:bidi="ar"/>
                    </w:rPr>
                  </w:pPr>
                  <w:r>
                    <w:rPr>
                      <w:color w:val="auto"/>
                      <w:kern w:val="0"/>
                      <w:szCs w:val="21"/>
                      <w:lang w:bidi="ar"/>
                    </w:rPr>
                    <w:t>固态</w:t>
                  </w:r>
                </w:p>
              </w:tc>
              <w:tc>
                <w:tcPr>
                  <w:tcW w:w="1860" w:type="dxa"/>
                  <w:vAlign w:val="center"/>
                </w:tcPr>
                <w:p w14:paraId="53AF90AE">
                  <w:pPr>
                    <w:jc w:val="center"/>
                    <w:rPr>
                      <w:color w:val="auto"/>
                      <w:szCs w:val="21"/>
                    </w:rPr>
                  </w:pPr>
                  <w:r>
                    <w:rPr>
                      <w:rFonts w:hint="eastAsia"/>
                      <w:color w:val="auto"/>
                      <w:szCs w:val="21"/>
                    </w:rPr>
                    <w:t>活性炭、有机物</w:t>
                  </w:r>
                </w:p>
              </w:tc>
              <w:tc>
                <w:tcPr>
                  <w:tcW w:w="1890" w:type="dxa"/>
                  <w:vAlign w:val="center"/>
                </w:tcPr>
                <w:p w14:paraId="114E4F1C">
                  <w:pPr>
                    <w:jc w:val="center"/>
                    <w:rPr>
                      <w:color w:val="auto"/>
                      <w:szCs w:val="21"/>
                    </w:rPr>
                  </w:pPr>
                  <w:r>
                    <w:rPr>
                      <w:rFonts w:hint="eastAsia"/>
                      <w:color w:val="auto"/>
                      <w:szCs w:val="21"/>
                    </w:rPr>
                    <w:t>活性炭、有机物</w:t>
                  </w:r>
                </w:p>
              </w:tc>
              <w:tc>
                <w:tcPr>
                  <w:tcW w:w="615" w:type="dxa"/>
                  <w:vAlign w:val="center"/>
                </w:tcPr>
                <w:p w14:paraId="043DAE3B">
                  <w:pPr>
                    <w:pStyle w:val="6"/>
                    <w:ind w:left="17" w:hanging="16" w:hangingChars="8"/>
                    <w:jc w:val="center"/>
                    <w:rPr>
                      <w:color w:val="auto"/>
                      <w:szCs w:val="21"/>
                    </w:rPr>
                  </w:pPr>
                  <w:r>
                    <w:rPr>
                      <w:rFonts w:hint="eastAsia"/>
                      <w:color w:val="auto"/>
                      <w:szCs w:val="21"/>
                    </w:rPr>
                    <w:t>2年</w:t>
                  </w:r>
                </w:p>
              </w:tc>
              <w:tc>
                <w:tcPr>
                  <w:tcW w:w="765" w:type="dxa"/>
                  <w:vAlign w:val="center"/>
                </w:tcPr>
                <w:p w14:paraId="4D51C4BB">
                  <w:pPr>
                    <w:jc w:val="center"/>
                    <w:rPr>
                      <w:color w:val="auto"/>
                      <w:kern w:val="0"/>
                      <w:szCs w:val="21"/>
                      <w:lang w:bidi="ar"/>
                    </w:rPr>
                  </w:pPr>
                  <w:r>
                    <w:rPr>
                      <w:color w:val="auto"/>
                      <w:szCs w:val="21"/>
                    </w:rPr>
                    <w:t>T/In</w:t>
                  </w:r>
                </w:p>
              </w:tc>
              <w:tc>
                <w:tcPr>
                  <w:tcW w:w="885" w:type="dxa"/>
                  <w:vMerge w:val="continue"/>
                  <w:vAlign w:val="center"/>
                </w:tcPr>
                <w:p w14:paraId="54F515B8">
                  <w:pPr>
                    <w:pStyle w:val="118"/>
                    <w:tabs>
                      <w:tab w:val="clear" w:pos="1080"/>
                    </w:tabs>
                    <w:adjustRightInd w:val="0"/>
                    <w:snapToGrid w:val="0"/>
                    <w:spacing w:line="240" w:lineRule="auto"/>
                    <w:ind w:firstLine="0" w:firstLineChars="0"/>
                    <w:jc w:val="center"/>
                    <w:rPr>
                      <w:rFonts w:ascii="Times New Roman" w:hAnsi="Times New Roman" w:cs="Times New Roman"/>
                      <w:color w:val="auto"/>
                      <w:sz w:val="21"/>
                      <w:szCs w:val="21"/>
                    </w:rPr>
                  </w:pPr>
                </w:p>
              </w:tc>
            </w:tr>
            <w:tr w14:paraId="429A79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1" w:type="dxa"/>
                  <w:vAlign w:val="center"/>
                </w:tcPr>
                <w:p w14:paraId="4BBB027E">
                  <w:pPr>
                    <w:pStyle w:val="10"/>
                    <w:spacing w:before="0" w:after="0" w:line="240" w:lineRule="auto"/>
                    <w:ind w:right="0"/>
                    <w:jc w:val="center"/>
                    <w:rPr>
                      <w:color w:val="auto"/>
                      <w:sz w:val="21"/>
                      <w:szCs w:val="21"/>
                    </w:rPr>
                  </w:pPr>
                  <w:r>
                    <w:rPr>
                      <w:rFonts w:hint="eastAsia"/>
                      <w:color w:val="auto"/>
                      <w:sz w:val="21"/>
                      <w:szCs w:val="21"/>
                    </w:rPr>
                    <w:t>6</w:t>
                  </w:r>
                </w:p>
              </w:tc>
              <w:tc>
                <w:tcPr>
                  <w:tcW w:w="1606" w:type="dxa"/>
                  <w:vAlign w:val="center"/>
                </w:tcPr>
                <w:p w14:paraId="605B73BD">
                  <w:pPr>
                    <w:pStyle w:val="10"/>
                    <w:spacing w:before="0" w:after="0" w:line="240" w:lineRule="auto"/>
                    <w:ind w:right="0"/>
                    <w:jc w:val="center"/>
                    <w:rPr>
                      <w:color w:val="auto"/>
                      <w:sz w:val="21"/>
                      <w:szCs w:val="21"/>
                    </w:rPr>
                  </w:pPr>
                  <w:r>
                    <w:rPr>
                      <w:rFonts w:hint="eastAsia"/>
                      <w:color w:val="auto"/>
                      <w:sz w:val="21"/>
                      <w:szCs w:val="21"/>
                    </w:rPr>
                    <w:t>废过滤棉</w:t>
                  </w:r>
                </w:p>
              </w:tc>
              <w:tc>
                <w:tcPr>
                  <w:tcW w:w="974" w:type="dxa"/>
                  <w:vAlign w:val="center"/>
                </w:tcPr>
                <w:p w14:paraId="2F73FCF1">
                  <w:pPr>
                    <w:jc w:val="center"/>
                    <w:rPr>
                      <w:color w:val="auto"/>
                      <w:szCs w:val="21"/>
                    </w:rPr>
                  </w:pPr>
                  <w:r>
                    <w:rPr>
                      <w:color w:val="auto"/>
                      <w:szCs w:val="21"/>
                    </w:rPr>
                    <w:t>HW49</w:t>
                  </w:r>
                </w:p>
              </w:tc>
              <w:tc>
                <w:tcPr>
                  <w:tcW w:w="1276" w:type="dxa"/>
                  <w:vAlign w:val="center"/>
                </w:tcPr>
                <w:p w14:paraId="0FBB76E1">
                  <w:pPr>
                    <w:jc w:val="center"/>
                    <w:rPr>
                      <w:color w:val="auto"/>
                      <w:szCs w:val="21"/>
                    </w:rPr>
                  </w:pPr>
                  <w:r>
                    <w:rPr>
                      <w:color w:val="auto"/>
                      <w:szCs w:val="21"/>
                    </w:rPr>
                    <w:t>900-041-49</w:t>
                  </w:r>
                </w:p>
              </w:tc>
              <w:tc>
                <w:tcPr>
                  <w:tcW w:w="850" w:type="dxa"/>
                  <w:vAlign w:val="center"/>
                </w:tcPr>
                <w:p w14:paraId="25CC5A99">
                  <w:pPr>
                    <w:jc w:val="center"/>
                    <w:rPr>
                      <w:color w:val="auto"/>
                      <w:szCs w:val="21"/>
                    </w:rPr>
                  </w:pPr>
                  <w:r>
                    <w:rPr>
                      <w:rFonts w:hint="eastAsia"/>
                      <w:color w:val="auto"/>
                      <w:szCs w:val="21"/>
                    </w:rPr>
                    <w:t>6.4</w:t>
                  </w:r>
                </w:p>
              </w:tc>
              <w:tc>
                <w:tcPr>
                  <w:tcW w:w="907" w:type="dxa"/>
                  <w:vAlign w:val="center"/>
                </w:tcPr>
                <w:p w14:paraId="2BBC76A6">
                  <w:pPr>
                    <w:jc w:val="center"/>
                    <w:rPr>
                      <w:color w:val="auto"/>
                      <w:szCs w:val="21"/>
                    </w:rPr>
                  </w:pPr>
                  <w:r>
                    <w:rPr>
                      <w:rFonts w:hint="eastAsia"/>
                      <w:color w:val="auto"/>
                      <w:szCs w:val="21"/>
                    </w:rPr>
                    <w:t>废气处理</w:t>
                  </w:r>
                </w:p>
              </w:tc>
              <w:tc>
                <w:tcPr>
                  <w:tcW w:w="523" w:type="dxa"/>
                  <w:vAlign w:val="center"/>
                </w:tcPr>
                <w:p w14:paraId="78209AB0">
                  <w:pPr>
                    <w:widowControl/>
                    <w:adjustRightInd w:val="0"/>
                    <w:snapToGrid w:val="0"/>
                    <w:jc w:val="center"/>
                    <w:textAlignment w:val="center"/>
                    <w:rPr>
                      <w:color w:val="auto"/>
                      <w:kern w:val="0"/>
                      <w:szCs w:val="21"/>
                      <w:lang w:bidi="ar"/>
                    </w:rPr>
                  </w:pPr>
                  <w:r>
                    <w:rPr>
                      <w:color w:val="auto"/>
                      <w:kern w:val="0"/>
                      <w:szCs w:val="21"/>
                      <w:lang w:bidi="ar"/>
                    </w:rPr>
                    <w:t>固态</w:t>
                  </w:r>
                </w:p>
              </w:tc>
              <w:tc>
                <w:tcPr>
                  <w:tcW w:w="1860" w:type="dxa"/>
                  <w:vAlign w:val="center"/>
                </w:tcPr>
                <w:p w14:paraId="15DB50B8">
                  <w:pPr>
                    <w:jc w:val="center"/>
                    <w:rPr>
                      <w:color w:val="auto"/>
                      <w:szCs w:val="21"/>
                    </w:rPr>
                  </w:pPr>
                  <w:r>
                    <w:rPr>
                      <w:rFonts w:hint="eastAsia"/>
                      <w:color w:val="auto"/>
                      <w:szCs w:val="21"/>
                    </w:rPr>
                    <w:t>过滤棉、有机物</w:t>
                  </w:r>
                </w:p>
              </w:tc>
              <w:tc>
                <w:tcPr>
                  <w:tcW w:w="1890" w:type="dxa"/>
                  <w:vAlign w:val="center"/>
                </w:tcPr>
                <w:p w14:paraId="19B46336">
                  <w:pPr>
                    <w:jc w:val="center"/>
                    <w:rPr>
                      <w:color w:val="auto"/>
                      <w:szCs w:val="21"/>
                    </w:rPr>
                  </w:pPr>
                  <w:r>
                    <w:rPr>
                      <w:rFonts w:hint="eastAsia"/>
                      <w:color w:val="auto"/>
                      <w:szCs w:val="21"/>
                    </w:rPr>
                    <w:t>过滤棉、有机物</w:t>
                  </w:r>
                </w:p>
              </w:tc>
              <w:tc>
                <w:tcPr>
                  <w:tcW w:w="615" w:type="dxa"/>
                  <w:vAlign w:val="center"/>
                </w:tcPr>
                <w:p w14:paraId="384EC338">
                  <w:pPr>
                    <w:pStyle w:val="6"/>
                    <w:ind w:left="17" w:hanging="16" w:hangingChars="8"/>
                    <w:jc w:val="center"/>
                    <w:rPr>
                      <w:color w:val="auto"/>
                      <w:szCs w:val="21"/>
                    </w:rPr>
                  </w:pPr>
                  <w:r>
                    <w:rPr>
                      <w:color w:val="auto"/>
                      <w:szCs w:val="21"/>
                    </w:rPr>
                    <w:t>每月</w:t>
                  </w:r>
                </w:p>
              </w:tc>
              <w:tc>
                <w:tcPr>
                  <w:tcW w:w="765" w:type="dxa"/>
                  <w:vAlign w:val="center"/>
                </w:tcPr>
                <w:p w14:paraId="40A40273">
                  <w:pPr>
                    <w:jc w:val="center"/>
                    <w:rPr>
                      <w:color w:val="auto"/>
                      <w:kern w:val="0"/>
                      <w:szCs w:val="21"/>
                      <w:lang w:bidi="ar"/>
                    </w:rPr>
                  </w:pPr>
                  <w:r>
                    <w:rPr>
                      <w:color w:val="auto"/>
                      <w:szCs w:val="21"/>
                    </w:rPr>
                    <w:t>T/In</w:t>
                  </w:r>
                </w:p>
              </w:tc>
              <w:tc>
                <w:tcPr>
                  <w:tcW w:w="885" w:type="dxa"/>
                  <w:vMerge w:val="continue"/>
                  <w:vAlign w:val="center"/>
                </w:tcPr>
                <w:p w14:paraId="6EFEDE13">
                  <w:pPr>
                    <w:pStyle w:val="118"/>
                    <w:tabs>
                      <w:tab w:val="clear" w:pos="1080"/>
                    </w:tabs>
                    <w:adjustRightInd w:val="0"/>
                    <w:snapToGrid w:val="0"/>
                    <w:spacing w:line="240" w:lineRule="auto"/>
                    <w:ind w:firstLine="0" w:firstLineChars="0"/>
                    <w:jc w:val="center"/>
                    <w:rPr>
                      <w:rFonts w:ascii="Times New Roman" w:hAnsi="Times New Roman" w:cs="Times New Roman"/>
                      <w:color w:val="auto"/>
                      <w:sz w:val="21"/>
                      <w:szCs w:val="21"/>
                    </w:rPr>
                  </w:pPr>
                </w:p>
              </w:tc>
            </w:tr>
            <w:tr w14:paraId="079902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1" w:type="dxa"/>
                  <w:vAlign w:val="center"/>
                </w:tcPr>
                <w:p w14:paraId="3B250AE7">
                  <w:pPr>
                    <w:pStyle w:val="10"/>
                    <w:spacing w:before="0" w:after="0" w:line="240" w:lineRule="auto"/>
                    <w:ind w:right="0"/>
                    <w:jc w:val="center"/>
                    <w:rPr>
                      <w:color w:val="auto"/>
                      <w:sz w:val="21"/>
                      <w:szCs w:val="21"/>
                    </w:rPr>
                  </w:pPr>
                  <w:r>
                    <w:rPr>
                      <w:rFonts w:hint="eastAsia"/>
                      <w:color w:val="auto"/>
                      <w:sz w:val="21"/>
                      <w:szCs w:val="21"/>
                    </w:rPr>
                    <w:t>7</w:t>
                  </w:r>
                </w:p>
              </w:tc>
              <w:tc>
                <w:tcPr>
                  <w:tcW w:w="1606" w:type="dxa"/>
                  <w:vAlign w:val="center"/>
                </w:tcPr>
                <w:p w14:paraId="172010B2">
                  <w:pPr>
                    <w:pStyle w:val="10"/>
                    <w:spacing w:before="0" w:after="0" w:line="240" w:lineRule="auto"/>
                    <w:ind w:right="0"/>
                    <w:jc w:val="center"/>
                    <w:rPr>
                      <w:color w:val="auto"/>
                      <w:sz w:val="21"/>
                      <w:szCs w:val="21"/>
                    </w:rPr>
                  </w:pPr>
                  <w:r>
                    <w:rPr>
                      <w:rFonts w:hint="eastAsia"/>
                      <w:color w:val="auto"/>
                      <w:sz w:val="21"/>
                      <w:szCs w:val="21"/>
                    </w:rPr>
                    <w:t>废催化剂</w:t>
                  </w:r>
                </w:p>
              </w:tc>
              <w:tc>
                <w:tcPr>
                  <w:tcW w:w="974" w:type="dxa"/>
                  <w:vAlign w:val="center"/>
                </w:tcPr>
                <w:p w14:paraId="442D28CC">
                  <w:pPr>
                    <w:jc w:val="center"/>
                    <w:rPr>
                      <w:color w:val="auto"/>
                      <w:szCs w:val="21"/>
                    </w:rPr>
                  </w:pPr>
                  <w:r>
                    <w:rPr>
                      <w:color w:val="auto"/>
                      <w:szCs w:val="21"/>
                    </w:rPr>
                    <w:t>HW49</w:t>
                  </w:r>
                </w:p>
              </w:tc>
              <w:tc>
                <w:tcPr>
                  <w:tcW w:w="1276" w:type="dxa"/>
                  <w:vAlign w:val="center"/>
                </w:tcPr>
                <w:p w14:paraId="1382F36D">
                  <w:pPr>
                    <w:jc w:val="center"/>
                    <w:rPr>
                      <w:color w:val="auto"/>
                      <w:szCs w:val="21"/>
                    </w:rPr>
                  </w:pPr>
                  <w:r>
                    <w:rPr>
                      <w:color w:val="auto"/>
                      <w:szCs w:val="21"/>
                    </w:rPr>
                    <w:t>900-041-49</w:t>
                  </w:r>
                </w:p>
              </w:tc>
              <w:tc>
                <w:tcPr>
                  <w:tcW w:w="850" w:type="dxa"/>
                  <w:vAlign w:val="center"/>
                </w:tcPr>
                <w:p w14:paraId="21C163DB">
                  <w:pPr>
                    <w:adjustRightInd w:val="0"/>
                    <w:snapToGrid w:val="0"/>
                    <w:jc w:val="center"/>
                    <w:rPr>
                      <w:color w:val="auto"/>
                      <w:szCs w:val="21"/>
                    </w:rPr>
                  </w:pPr>
                  <w:r>
                    <w:rPr>
                      <w:rFonts w:hint="eastAsia"/>
                      <w:color w:val="auto"/>
                      <w:szCs w:val="21"/>
                    </w:rPr>
                    <w:t>0.001t/5a</w:t>
                  </w:r>
                </w:p>
              </w:tc>
              <w:tc>
                <w:tcPr>
                  <w:tcW w:w="907" w:type="dxa"/>
                  <w:vAlign w:val="center"/>
                </w:tcPr>
                <w:p w14:paraId="1320986F">
                  <w:pPr>
                    <w:jc w:val="center"/>
                    <w:rPr>
                      <w:color w:val="auto"/>
                      <w:szCs w:val="21"/>
                    </w:rPr>
                  </w:pPr>
                  <w:r>
                    <w:rPr>
                      <w:rFonts w:hint="eastAsia"/>
                      <w:color w:val="auto"/>
                      <w:szCs w:val="21"/>
                    </w:rPr>
                    <w:t>废气处理</w:t>
                  </w:r>
                </w:p>
              </w:tc>
              <w:tc>
                <w:tcPr>
                  <w:tcW w:w="523" w:type="dxa"/>
                  <w:vAlign w:val="center"/>
                </w:tcPr>
                <w:p w14:paraId="6484A5ED">
                  <w:pPr>
                    <w:widowControl/>
                    <w:adjustRightInd w:val="0"/>
                    <w:snapToGrid w:val="0"/>
                    <w:jc w:val="center"/>
                    <w:textAlignment w:val="center"/>
                    <w:rPr>
                      <w:color w:val="auto"/>
                      <w:kern w:val="0"/>
                      <w:szCs w:val="21"/>
                      <w:lang w:bidi="ar"/>
                    </w:rPr>
                  </w:pPr>
                  <w:r>
                    <w:rPr>
                      <w:color w:val="auto"/>
                      <w:kern w:val="0"/>
                      <w:szCs w:val="21"/>
                      <w:lang w:bidi="ar"/>
                    </w:rPr>
                    <w:t>固态</w:t>
                  </w:r>
                </w:p>
              </w:tc>
              <w:tc>
                <w:tcPr>
                  <w:tcW w:w="1860" w:type="dxa"/>
                  <w:vAlign w:val="center"/>
                </w:tcPr>
                <w:p w14:paraId="4FDE5980">
                  <w:pPr>
                    <w:jc w:val="center"/>
                    <w:rPr>
                      <w:color w:val="auto"/>
                      <w:szCs w:val="21"/>
                    </w:rPr>
                  </w:pPr>
                  <w:r>
                    <w:rPr>
                      <w:rFonts w:hint="eastAsia"/>
                      <w:color w:val="auto"/>
                      <w:szCs w:val="21"/>
                    </w:rPr>
                    <w:t>贵金属、有机物</w:t>
                  </w:r>
                </w:p>
              </w:tc>
              <w:tc>
                <w:tcPr>
                  <w:tcW w:w="1890" w:type="dxa"/>
                  <w:vAlign w:val="center"/>
                </w:tcPr>
                <w:p w14:paraId="201C6CA0">
                  <w:pPr>
                    <w:jc w:val="center"/>
                    <w:rPr>
                      <w:color w:val="auto"/>
                      <w:szCs w:val="21"/>
                    </w:rPr>
                  </w:pPr>
                  <w:r>
                    <w:rPr>
                      <w:rFonts w:hint="eastAsia"/>
                      <w:color w:val="auto"/>
                      <w:szCs w:val="21"/>
                    </w:rPr>
                    <w:t>贵金属、有机物</w:t>
                  </w:r>
                </w:p>
              </w:tc>
              <w:tc>
                <w:tcPr>
                  <w:tcW w:w="615" w:type="dxa"/>
                  <w:vAlign w:val="center"/>
                </w:tcPr>
                <w:p w14:paraId="7D8009E4">
                  <w:pPr>
                    <w:pStyle w:val="6"/>
                    <w:ind w:left="17" w:hanging="16" w:hangingChars="8"/>
                    <w:jc w:val="center"/>
                    <w:rPr>
                      <w:color w:val="auto"/>
                      <w:szCs w:val="21"/>
                    </w:rPr>
                  </w:pPr>
                  <w:r>
                    <w:rPr>
                      <w:rFonts w:hint="eastAsia"/>
                      <w:color w:val="auto"/>
                      <w:szCs w:val="21"/>
                    </w:rPr>
                    <w:t>5年</w:t>
                  </w:r>
                </w:p>
              </w:tc>
              <w:tc>
                <w:tcPr>
                  <w:tcW w:w="765" w:type="dxa"/>
                  <w:vAlign w:val="center"/>
                </w:tcPr>
                <w:p w14:paraId="340872E1">
                  <w:pPr>
                    <w:jc w:val="center"/>
                    <w:rPr>
                      <w:color w:val="auto"/>
                      <w:kern w:val="0"/>
                      <w:szCs w:val="21"/>
                      <w:lang w:bidi="ar"/>
                    </w:rPr>
                  </w:pPr>
                  <w:r>
                    <w:rPr>
                      <w:color w:val="auto"/>
                      <w:szCs w:val="21"/>
                    </w:rPr>
                    <w:t>T/In</w:t>
                  </w:r>
                </w:p>
              </w:tc>
              <w:tc>
                <w:tcPr>
                  <w:tcW w:w="885" w:type="dxa"/>
                  <w:vMerge w:val="continue"/>
                  <w:vAlign w:val="center"/>
                </w:tcPr>
                <w:p w14:paraId="432BEFBD">
                  <w:pPr>
                    <w:pStyle w:val="118"/>
                    <w:tabs>
                      <w:tab w:val="clear" w:pos="1080"/>
                    </w:tabs>
                    <w:adjustRightInd w:val="0"/>
                    <w:snapToGrid w:val="0"/>
                    <w:spacing w:line="240" w:lineRule="auto"/>
                    <w:ind w:firstLine="0" w:firstLineChars="0"/>
                    <w:jc w:val="center"/>
                    <w:rPr>
                      <w:rFonts w:ascii="Times New Roman" w:hAnsi="Times New Roman" w:cs="Times New Roman"/>
                      <w:color w:val="auto"/>
                      <w:sz w:val="21"/>
                      <w:szCs w:val="21"/>
                    </w:rPr>
                  </w:pPr>
                </w:p>
              </w:tc>
            </w:tr>
            <w:tr w14:paraId="769495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1" w:type="dxa"/>
                  <w:vAlign w:val="center"/>
                </w:tcPr>
                <w:p w14:paraId="44E20252">
                  <w:pPr>
                    <w:pStyle w:val="10"/>
                    <w:spacing w:before="0" w:after="0" w:line="240" w:lineRule="auto"/>
                    <w:ind w:right="0"/>
                    <w:jc w:val="center"/>
                    <w:rPr>
                      <w:rFonts w:hint="eastAsia" w:eastAsia="宋体"/>
                      <w:color w:val="auto"/>
                      <w:sz w:val="21"/>
                      <w:szCs w:val="21"/>
                      <w:lang w:val="en-US" w:eastAsia="zh-CN"/>
                    </w:rPr>
                  </w:pPr>
                  <w:r>
                    <w:rPr>
                      <w:rFonts w:hint="eastAsia"/>
                      <w:color w:val="auto"/>
                      <w:sz w:val="21"/>
                      <w:szCs w:val="21"/>
                      <w:lang w:val="en-US" w:eastAsia="zh-CN"/>
                    </w:rPr>
                    <w:t>8</w:t>
                  </w:r>
                </w:p>
              </w:tc>
              <w:tc>
                <w:tcPr>
                  <w:tcW w:w="1606" w:type="dxa"/>
                  <w:shd w:val="clear" w:color="auto" w:fill="auto"/>
                  <w:vAlign w:val="center"/>
                </w:tcPr>
                <w:p w14:paraId="74AA0968">
                  <w:pPr>
                    <w:pStyle w:val="107"/>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废油墨桶</w:t>
                  </w:r>
                </w:p>
              </w:tc>
              <w:tc>
                <w:tcPr>
                  <w:tcW w:w="974" w:type="dxa"/>
                  <w:shd w:val="clear" w:color="auto" w:fill="auto"/>
                  <w:vAlign w:val="center"/>
                </w:tcPr>
                <w:p w14:paraId="4EE6BBE0">
                  <w:pPr>
                    <w:shd w:val="clear" w:color="auto" w:fill="auto"/>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highlight w:val="none"/>
                      <w:lang w:val="en-US" w:eastAsia="zh-CN"/>
                    </w:rPr>
                    <w:t>HW49</w:t>
                  </w:r>
                </w:p>
              </w:tc>
              <w:tc>
                <w:tcPr>
                  <w:tcW w:w="1276" w:type="dxa"/>
                  <w:shd w:val="clear" w:color="auto" w:fill="auto"/>
                  <w:vAlign w:val="center"/>
                </w:tcPr>
                <w:p w14:paraId="3C03F677">
                  <w:pPr>
                    <w:shd w:val="clear" w:color="auto" w:fill="auto"/>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highlight w:val="none"/>
                      <w:lang w:val="en-US" w:eastAsia="zh-CN"/>
                    </w:rPr>
                    <w:t>900-041-49</w:t>
                  </w:r>
                </w:p>
              </w:tc>
              <w:tc>
                <w:tcPr>
                  <w:tcW w:w="850" w:type="dxa"/>
                  <w:shd w:val="clear" w:color="auto" w:fill="auto"/>
                  <w:vAlign w:val="center"/>
                </w:tcPr>
                <w:p w14:paraId="27760B1A">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0.08</w:t>
                  </w:r>
                </w:p>
              </w:tc>
              <w:tc>
                <w:tcPr>
                  <w:tcW w:w="907" w:type="dxa"/>
                  <w:shd w:val="clear" w:color="auto" w:fill="auto"/>
                  <w:vAlign w:val="center"/>
                </w:tcPr>
                <w:p w14:paraId="75B1DA20">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直印、移印</w:t>
                  </w:r>
                </w:p>
              </w:tc>
              <w:tc>
                <w:tcPr>
                  <w:tcW w:w="523" w:type="dxa"/>
                  <w:shd w:val="clear" w:color="auto" w:fill="auto"/>
                  <w:vAlign w:val="center"/>
                </w:tcPr>
                <w:p w14:paraId="71BB968B">
                  <w:pPr>
                    <w:widowControl/>
                    <w:adjustRightInd w:val="0"/>
                    <w:snapToGrid w:val="0"/>
                    <w:jc w:val="center"/>
                    <w:textAlignment w:val="center"/>
                    <w:rPr>
                      <w:rFonts w:ascii="Times New Roman" w:hAnsi="Times New Roman" w:eastAsia="宋体" w:cs="Times New Roman"/>
                      <w:color w:val="auto"/>
                      <w:kern w:val="0"/>
                      <w:sz w:val="21"/>
                      <w:szCs w:val="21"/>
                      <w:lang w:val="en-US" w:eastAsia="zh-CN" w:bidi="ar"/>
                    </w:rPr>
                  </w:pPr>
                  <w:r>
                    <w:rPr>
                      <w:color w:val="auto"/>
                      <w:kern w:val="0"/>
                      <w:szCs w:val="21"/>
                      <w:lang w:bidi="ar"/>
                    </w:rPr>
                    <w:t>固态</w:t>
                  </w:r>
                </w:p>
              </w:tc>
              <w:tc>
                <w:tcPr>
                  <w:tcW w:w="1860" w:type="dxa"/>
                  <w:shd w:val="clear" w:color="auto" w:fill="auto"/>
                  <w:vAlign w:val="center"/>
                </w:tcPr>
                <w:p w14:paraId="0EFD2CB6">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塑料桶、油墨</w:t>
                  </w:r>
                </w:p>
              </w:tc>
              <w:tc>
                <w:tcPr>
                  <w:tcW w:w="1890" w:type="dxa"/>
                  <w:shd w:val="clear" w:color="auto" w:fill="auto"/>
                  <w:vAlign w:val="center"/>
                </w:tcPr>
                <w:p w14:paraId="464A7538">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szCs w:val="21"/>
                      <w:lang w:val="en-US" w:eastAsia="zh-CN"/>
                    </w:rPr>
                    <w:t>油墨</w:t>
                  </w:r>
                </w:p>
              </w:tc>
              <w:tc>
                <w:tcPr>
                  <w:tcW w:w="615" w:type="dxa"/>
                  <w:shd w:val="clear" w:color="auto" w:fill="auto"/>
                  <w:vAlign w:val="center"/>
                </w:tcPr>
                <w:p w14:paraId="753C6533">
                  <w:pPr>
                    <w:pStyle w:val="6"/>
                    <w:ind w:left="16" w:leftChars="0" w:hanging="16" w:hangingChars="8"/>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每天</w:t>
                  </w:r>
                </w:p>
              </w:tc>
              <w:tc>
                <w:tcPr>
                  <w:tcW w:w="765" w:type="dxa"/>
                  <w:shd w:val="clear" w:color="auto" w:fill="auto"/>
                  <w:vAlign w:val="center"/>
                </w:tcPr>
                <w:p w14:paraId="72CB73C6">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highlight w:val="none"/>
                      <w:lang w:val="en-US" w:eastAsia="zh-CN"/>
                    </w:rPr>
                    <w:t>T/In</w:t>
                  </w:r>
                </w:p>
              </w:tc>
              <w:tc>
                <w:tcPr>
                  <w:tcW w:w="885" w:type="dxa"/>
                  <w:vMerge w:val="continue"/>
                  <w:vAlign w:val="center"/>
                </w:tcPr>
                <w:p w14:paraId="62E25B81">
                  <w:pPr>
                    <w:pStyle w:val="118"/>
                    <w:tabs>
                      <w:tab w:val="clear" w:pos="1080"/>
                    </w:tabs>
                    <w:adjustRightInd w:val="0"/>
                    <w:snapToGrid w:val="0"/>
                    <w:spacing w:line="240" w:lineRule="auto"/>
                    <w:ind w:firstLine="0" w:firstLineChars="0"/>
                    <w:jc w:val="center"/>
                    <w:rPr>
                      <w:rFonts w:ascii="Times New Roman" w:hAnsi="Times New Roman" w:cs="Times New Roman"/>
                      <w:color w:val="auto"/>
                      <w:sz w:val="21"/>
                      <w:szCs w:val="21"/>
                    </w:rPr>
                  </w:pPr>
                </w:p>
              </w:tc>
            </w:tr>
            <w:tr w14:paraId="29A478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1" w:type="dxa"/>
                  <w:vAlign w:val="center"/>
                </w:tcPr>
                <w:p w14:paraId="02E4A5C4">
                  <w:pPr>
                    <w:pStyle w:val="10"/>
                    <w:spacing w:before="0" w:after="0" w:line="240" w:lineRule="auto"/>
                    <w:ind w:right="0"/>
                    <w:jc w:val="center"/>
                    <w:rPr>
                      <w:rFonts w:hint="eastAsia" w:eastAsia="宋体"/>
                      <w:color w:val="auto"/>
                      <w:sz w:val="21"/>
                      <w:szCs w:val="21"/>
                      <w:lang w:val="en-US" w:eastAsia="zh-CN"/>
                    </w:rPr>
                  </w:pPr>
                  <w:r>
                    <w:rPr>
                      <w:rFonts w:hint="eastAsia"/>
                      <w:color w:val="auto"/>
                      <w:sz w:val="21"/>
                      <w:szCs w:val="21"/>
                      <w:lang w:val="en-US" w:eastAsia="zh-CN"/>
                    </w:rPr>
                    <w:t>9</w:t>
                  </w:r>
                </w:p>
              </w:tc>
              <w:tc>
                <w:tcPr>
                  <w:tcW w:w="1606" w:type="dxa"/>
                  <w:shd w:val="clear" w:color="auto" w:fill="auto"/>
                  <w:vAlign w:val="center"/>
                </w:tcPr>
                <w:p w14:paraId="40714AA5">
                  <w:pPr>
                    <w:pStyle w:val="107"/>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废抹布、手套</w:t>
                  </w:r>
                </w:p>
              </w:tc>
              <w:tc>
                <w:tcPr>
                  <w:tcW w:w="974" w:type="dxa"/>
                  <w:shd w:val="clear" w:color="auto" w:fill="auto"/>
                  <w:vAlign w:val="center"/>
                </w:tcPr>
                <w:p w14:paraId="0C5455ED">
                  <w:pPr>
                    <w:shd w:val="clear" w:color="auto" w:fill="auto"/>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highlight w:val="none"/>
                      <w:lang w:val="en-US" w:eastAsia="zh-CN"/>
                    </w:rPr>
                    <w:t>HW49</w:t>
                  </w:r>
                </w:p>
              </w:tc>
              <w:tc>
                <w:tcPr>
                  <w:tcW w:w="1276" w:type="dxa"/>
                  <w:shd w:val="clear" w:color="auto" w:fill="auto"/>
                  <w:vAlign w:val="center"/>
                </w:tcPr>
                <w:p w14:paraId="1692AD8C">
                  <w:pPr>
                    <w:shd w:val="clear" w:color="auto" w:fill="auto"/>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highlight w:val="none"/>
                      <w:lang w:val="en-US" w:eastAsia="zh-CN"/>
                    </w:rPr>
                    <w:t>900-041-49</w:t>
                  </w:r>
                </w:p>
              </w:tc>
              <w:tc>
                <w:tcPr>
                  <w:tcW w:w="850" w:type="dxa"/>
                  <w:shd w:val="clear" w:color="auto" w:fill="auto"/>
                  <w:vAlign w:val="center"/>
                </w:tcPr>
                <w:p w14:paraId="581168E5">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0.002</w:t>
                  </w:r>
                </w:p>
              </w:tc>
              <w:tc>
                <w:tcPr>
                  <w:tcW w:w="907" w:type="dxa"/>
                  <w:shd w:val="clear" w:color="auto" w:fill="auto"/>
                  <w:vAlign w:val="center"/>
                </w:tcPr>
                <w:p w14:paraId="409B8237">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设备清洁</w:t>
                  </w:r>
                </w:p>
              </w:tc>
              <w:tc>
                <w:tcPr>
                  <w:tcW w:w="523" w:type="dxa"/>
                  <w:shd w:val="clear" w:color="auto" w:fill="auto"/>
                  <w:vAlign w:val="center"/>
                </w:tcPr>
                <w:p w14:paraId="2136C993">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固态</w:t>
                  </w:r>
                </w:p>
              </w:tc>
              <w:tc>
                <w:tcPr>
                  <w:tcW w:w="1860" w:type="dxa"/>
                  <w:shd w:val="clear" w:color="auto" w:fill="auto"/>
                  <w:vAlign w:val="center"/>
                </w:tcPr>
                <w:p w14:paraId="3CAF2205">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布、油墨</w:t>
                  </w:r>
                </w:p>
              </w:tc>
              <w:tc>
                <w:tcPr>
                  <w:tcW w:w="1890" w:type="dxa"/>
                  <w:shd w:val="clear" w:color="auto" w:fill="auto"/>
                  <w:vAlign w:val="center"/>
                </w:tcPr>
                <w:p w14:paraId="6D08E309">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油墨</w:t>
                  </w:r>
                </w:p>
              </w:tc>
              <w:tc>
                <w:tcPr>
                  <w:tcW w:w="615" w:type="dxa"/>
                  <w:shd w:val="clear" w:color="auto" w:fill="auto"/>
                  <w:vAlign w:val="center"/>
                </w:tcPr>
                <w:p w14:paraId="736ABCAF">
                  <w:pPr>
                    <w:pStyle w:val="6"/>
                    <w:ind w:left="16" w:leftChars="0" w:hanging="16" w:hangingChars="8"/>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1年</w:t>
                  </w:r>
                </w:p>
              </w:tc>
              <w:tc>
                <w:tcPr>
                  <w:tcW w:w="765" w:type="dxa"/>
                  <w:shd w:val="clear" w:color="auto" w:fill="auto"/>
                  <w:vAlign w:val="center"/>
                </w:tcPr>
                <w:p w14:paraId="6DD9CFF5">
                  <w:pPr>
                    <w:shd w:val="clear" w:color="auto" w:fill="auto"/>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highlight w:val="none"/>
                      <w:lang w:val="en-US" w:eastAsia="zh-CN"/>
                    </w:rPr>
                    <w:t>T/In</w:t>
                  </w:r>
                </w:p>
              </w:tc>
              <w:tc>
                <w:tcPr>
                  <w:tcW w:w="885" w:type="dxa"/>
                  <w:vMerge w:val="continue"/>
                  <w:vAlign w:val="center"/>
                </w:tcPr>
                <w:p w14:paraId="1D884EFF">
                  <w:pPr>
                    <w:pStyle w:val="118"/>
                    <w:tabs>
                      <w:tab w:val="clear" w:pos="1080"/>
                    </w:tabs>
                    <w:adjustRightInd w:val="0"/>
                    <w:snapToGrid w:val="0"/>
                    <w:spacing w:line="240" w:lineRule="auto"/>
                    <w:ind w:firstLine="0" w:firstLineChars="0"/>
                    <w:jc w:val="center"/>
                    <w:rPr>
                      <w:rFonts w:ascii="Times New Roman" w:hAnsi="Times New Roman" w:cs="Times New Roman"/>
                      <w:color w:val="auto"/>
                      <w:sz w:val="21"/>
                      <w:szCs w:val="21"/>
                    </w:rPr>
                  </w:pPr>
                </w:p>
              </w:tc>
            </w:tr>
            <w:tr w14:paraId="71F581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1" w:type="dxa"/>
                  <w:vAlign w:val="center"/>
                </w:tcPr>
                <w:p w14:paraId="4965D66B">
                  <w:pPr>
                    <w:pStyle w:val="10"/>
                    <w:spacing w:before="0" w:after="0" w:line="240" w:lineRule="auto"/>
                    <w:ind w:right="0"/>
                    <w:jc w:val="center"/>
                    <w:rPr>
                      <w:rFonts w:hint="default"/>
                      <w:color w:val="auto"/>
                      <w:sz w:val="21"/>
                      <w:szCs w:val="21"/>
                      <w:lang w:val="en-US" w:eastAsia="zh-CN"/>
                    </w:rPr>
                  </w:pPr>
                  <w:r>
                    <w:rPr>
                      <w:rFonts w:hint="eastAsia"/>
                      <w:color w:val="auto"/>
                      <w:sz w:val="21"/>
                      <w:szCs w:val="21"/>
                      <w:lang w:val="en-US" w:eastAsia="zh-CN"/>
                    </w:rPr>
                    <w:t>10</w:t>
                  </w:r>
                </w:p>
              </w:tc>
              <w:tc>
                <w:tcPr>
                  <w:tcW w:w="1606" w:type="dxa"/>
                  <w:shd w:val="clear" w:color="auto" w:fill="auto"/>
                  <w:vAlign w:val="center"/>
                </w:tcPr>
                <w:p w14:paraId="64A78898">
                  <w:pPr>
                    <w:pStyle w:val="107"/>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s="Times New Roman"/>
                      <w:color w:val="auto"/>
                      <w:kern w:val="24"/>
                      <w:sz w:val="21"/>
                      <w:szCs w:val="21"/>
                      <w:lang w:val="en-US" w:eastAsia="zh-CN" w:bidi="ar-SA"/>
                    </w:rPr>
                    <w:t>废石英砂</w:t>
                  </w:r>
                </w:p>
              </w:tc>
              <w:tc>
                <w:tcPr>
                  <w:tcW w:w="974" w:type="dxa"/>
                  <w:shd w:val="clear" w:color="auto" w:fill="auto"/>
                  <w:vAlign w:val="center"/>
                </w:tcPr>
                <w:p w14:paraId="562638C5">
                  <w:pPr>
                    <w:tabs>
                      <w:tab w:val="center" w:pos="4153"/>
                      <w:tab w:val="right" w:pos="8306"/>
                    </w:tabs>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HW49</w:t>
                  </w:r>
                </w:p>
              </w:tc>
              <w:tc>
                <w:tcPr>
                  <w:tcW w:w="1276" w:type="dxa"/>
                  <w:shd w:val="clear" w:color="auto" w:fill="auto"/>
                  <w:vAlign w:val="center"/>
                </w:tcPr>
                <w:p w14:paraId="5EA07842">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900-</w:t>
                  </w:r>
                  <w:r>
                    <w:rPr>
                      <w:rFonts w:hint="eastAsia"/>
                      <w:color w:val="auto"/>
                      <w:szCs w:val="21"/>
                      <w:lang w:val="en-US" w:eastAsia="zh-CN"/>
                    </w:rPr>
                    <w:t>041-49</w:t>
                  </w:r>
                </w:p>
              </w:tc>
              <w:tc>
                <w:tcPr>
                  <w:tcW w:w="850" w:type="dxa"/>
                  <w:shd w:val="clear" w:color="auto" w:fill="auto"/>
                  <w:vAlign w:val="center"/>
                </w:tcPr>
                <w:p w14:paraId="7CDA4191">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0.5</w:t>
                  </w:r>
                  <w:r>
                    <w:rPr>
                      <w:rFonts w:hint="default" w:ascii="Times New Roman" w:hAnsi="Times New Roman" w:cs="Times New Roman"/>
                      <w:color w:val="auto"/>
                      <w:szCs w:val="21"/>
                      <w:lang w:val="en-US" w:eastAsia="zh-CN"/>
                    </w:rPr>
                    <w:t>t/</w:t>
                  </w:r>
                  <w:r>
                    <w:rPr>
                      <w:rFonts w:hint="eastAsia" w:cs="Times New Roman"/>
                      <w:color w:val="auto"/>
                      <w:szCs w:val="21"/>
                      <w:lang w:val="en-US" w:eastAsia="zh-CN"/>
                    </w:rPr>
                    <w:t>3</w:t>
                  </w:r>
                  <w:r>
                    <w:rPr>
                      <w:rFonts w:hint="default" w:ascii="Times New Roman" w:hAnsi="Times New Roman" w:cs="Times New Roman"/>
                      <w:color w:val="auto"/>
                      <w:szCs w:val="21"/>
                      <w:lang w:val="en-US" w:eastAsia="zh-CN"/>
                    </w:rPr>
                    <w:t>a</w:t>
                  </w:r>
                </w:p>
              </w:tc>
              <w:tc>
                <w:tcPr>
                  <w:tcW w:w="907" w:type="dxa"/>
                  <w:shd w:val="clear" w:color="auto" w:fill="auto"/>
                  <w:vAlign w:val="center"/>
                </w:tcPr>
                <w:p w14:paraId="2FDAC70D">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废水处理</w:t>
                  </w:r>
                </w:p>
              </w:tc>
              <w:tc>
                <w:tcPr>
                  <w:tcW w:w="523" w:type="dxa"/>
                  <w:shd w:val="clear" w:color="auto" w:fill="auto"/>
                  <w:vAlign w:val="center"/>
                </w:tcPr>
                <w:p w14:paraId="1ECDB93A">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固态</w:t>
                  </w:r>
                </w:p>
              </w:tc>
              <w:tc>
                <w:tcPr>
                  <w:tcW w:w="1860" w:type="dxa"/>
                  <w:shd w:val="clear" w:color="auto" w:fill="auto"/>
                  <w:vAlign w:val="center"/>
                </w:tcPr>
                <w:p w14:paraId="306609FD">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kern w:val="0"/>
                      <w:sz w:val="21"/>
                      <w:szCs w:val="21"/>
                      <w:lang w:val="en-US" w:eastAsia="zh-CN" w:bidi="ar-SA"/>
                    </w:rPr>
                    <w:t>石英砂、有机物</w:t>
                  </w:r>
                </w:p>
              </w:tc>
              <w:tc>
                <w:tcPr>
                  <w:tcW w:w="1890" w:type="dxa"/>
                  <w:shd w:val="clear" w:color="auto" w:fill="auto"/>
                  <w:vAlign w:val="center"/>
                </w:tcPr>
                <w:p w14:paraId="1B008884">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kern w:val="0"/>
                      <w:sz w:val="21"/>
                      <w:szCs w:val="21"/>
                      <w:lang w:val="en-US" w:eastAsia="zh-CN" w:bidi="ar-SA"/>
                    </w:rPr>
                    <w:t>有机物</w:t>
                  </w:r>
                </w:p>
              </w:tc>
              <w:tc>
                <w:tcPr>
                  <w:tcW w:w="615" w:type="dxa"/>
                  <w:shd w:val="clear" w:color="auto" w:fill="auto"/>
                  <w:vAlign w:val="center"/>
                </w:tcPr>
                <w:p w14:paraId="0700290D">
                  <w:pPr>
                    <w:pStyle w:val="6"/>
                    <w:ind w:left="16" w:leftChars="0" w:hanging="16" w:hangingChars="8"/>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3年</w:t>
                  </w:r>
                </w:p>
              </w:tc>
              <w:tc>
                <w:tcPr>
                  <w:tcW w:w="765" w:type="dxa"/>
                  <w:shd w:val="clear" w:color="auto" w:fill="auto"/>
                  <w:vAlign w:val="center"/>
                </w:tcPr>
                <w:p w14:paraId="6FE75E20">
                  <w:pPr>
                    <w:shd w:val="clear" w:color="auto" w:fill="auto"/>
                    <w:adjustRightInd w:val="0"/>
                    <w:snapToGrid w:val="0"/>
                    <w:jc w:val="center"/>
                    <w:rPr>
                      <w:rFonts w:hint="eastAsia" w:ascii="Times New Roman" w:hAnsi="Times New Roman" w:eastAsia="宋体" w:cs="Times New Roman"/>
                      <w:color w:val="auto"/>
                      <w:kern w:val="2"/>
                      <w:sz w:val="21"/>
                      <w:szCs w:val="21"/>
                      <w:highlight w:val="none"/>
                      <w:lang w:val="en-US" w:eastAsia="zh-CN" w:bidi="ar-SA"/>
                    </w:rPr>
                  </w:pPr>
                  <w:r>
                    <w:rPr>
                      <w:rFonts w:hint="eastAsia" w:eastAsia="宋体"/>
                      <w:color w:val="auto"/>
                      <w:sz w:val="21"/>
                      <w:szCs w:val="21"/>
                      <w:lang w:val="en-US" w:eastAsia="zh-CN"/>
                    </w:rPr>
                    <w:t>T/In</w:t>
                  </w:r>
                </w:p>
              </w:tc>
              <w:tc>
                <w:tcPr>
                  <w:tcW w:w="885" w:type="dxa"/>
                  <w:vMerge w:val="continue"/>
                  <w:vAlign w:val="center"/>
                </w:tcPr>
                <w:p w14:paraId="10EF746B">
                  <w:pPr>
                    <w:pStyle w:val="118"/>
                    <w:tabs>
                      <w:tab w:val="clear" w:pos="1080"/>
                    </w:tabs>
                    <w:adjustRightInd w:val="0"/>
                    <w:snapToGrid w:val="0"/>
                    <w:spacing w:line="240" w:lineRule="auto"/>
                    <w:ind w:firstLine="0" w:firstLineChars="0"/>
                    <w:jc w:val="center"/>
                    <w:rPr>
                      <w:rFonts w:ascii="Times New Roman" w:hAnsi="Times New Roman" w:cs="Times New Roman"/>
                      <w:color w:val="auto"/>
                      <w:sz w:val="21"/>
                      <w:szCs w:val="21"/>
                    </w:rPr>
                  </w:pPr>
                </w:p>
              </w:tc>
            </w:tr>
            <w:tr w14:paraId="0AE4D9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1" w:type="dxa"/>
                  <w:vAlign w:val="center"/>
                </w:tcPr>
                <w:p w14:paraId="5256B2F6">
                  <w:pPr>
                    <w:pStyle w:val="10"/>
                    <w:spacing w:before="0" w:after="0" w:line="240" w:lineRule="auto"/>
                    <w:ind w:right="0"/>
                    <w:jc w:val="center"/>
                    <w:rPr>
                      <w:rFonts w:hint="default"/>
                      <w:color w:val="auto"/>
                      <w:sz w:val="21"/>
                      <w:szCs w:val="21"/>
                      <w:lang w:val="en-US" w:eastAsia="zh-CN"/>
                    </w:rPr>
                  </w:pPr>
                  <w:r>
                    <w:rPr>
                      <w:rFonts w:hint="eastAsia"/>
                      <w:color w:val="auto"/>
                      <w:sz w:val="21"/>
                      <w:szCs w:val="21"/>
                      <w:lang w:val="en-US" w:eastAsia="zh-CN"/>
                    </w:rPr>
                    <w:t>11</w:t>
                  </w:r>
                </w:p>
              </w:tc>
              <w:tc>
                <w:tcPr>
                  <w:tcW w:w="1606" w:type="dxa"/>
                  <w:shd w:val="clear" w:color="auto" w:fill="auto"/>
                  <w:vAlign w:val="center"/>
                </w:tcPr>
                <w:p w14:paraId="41DB6EC1">
                  <w:pPr>
                    <w:pStyle w:val="107"/>
                    <w:spacing w:line="240" w:lineRule="auto"/>
                    <w:ind w:firstLine="0" w:firstLineChars="0"/>
                    <w:jc w:val="center"/>
                    <w:rPr>
                      <w:rFonts w:hint="eastAsia" w:cs="Times New Roman"/>
                      <w:color w:val="auto"/>
                      <w:kern w:val="24"/>
                      <w:sz w:val="21"/>
                      <w:szCs w:val="21"/>
                      <w:lang w:val="en-US" w:eastAsia="zh-CN" w:bidi="ar-SA"/>
                    </w:rPr>
                  </w:pPr>
                  <w:r>
                    <w:rPr>
                      <w:rFonts w:hint="eastAsia" w:cs="Times New Roman"/>
                      <w:color w:val="auto"/>
                      <w:kern w:val="24"/>
                      <w:sz w:val="21"/>
                      <w:szCs w:val="21"/>
                      <w:lang w:val="en-US" w:eastAsia="zh-CN" w:bidi="ar-SA"/>
                    </w:rPr>
                    <w:t>废活性炭（废水）</w:t>
                  </w:r>
                </w:p>
              </w:tc>
              <w:tc>
                <w:tcPr>
                  <w:tcW w:w="974" w:type="dxa"/>
                  <w:shd w:val="clear" w:color="auto" w:fill="auto"/>
                  <w:vAlign w:val="center"/>
                </w:tcPr>
                <w:p w14:paraId="61F80BEB">
                  <w:pPr>
                    <w:tabs>
                      <w:tab w:val="center" w:pos="4153"/>
                      <w:tab w:val="right" w:pos="8306"/>
                    </w:tabs>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HW49</w:t>
                  </w:r>
                </w:p>
              </w:tc>
              <w:tc>
                <w:tcPr>
                  <w:tcW w:w="1276" w:type="dxa"/>
                  <w:shd w:val="clear" w:color="auto" w:fill="auto"/>
                  <w:vAlign w:val="center"/>
                </w:tcPr>
                <w:p w14:paraId="46288E2B">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900-</w:t>
                  </w:r>
                  <w:r>
                    <w:rPr>
                      <w:rFonts w:hint="eastAsia"/>
                      <w:color w:val="auto"/>
                      <w:szCs w:val="21"/>
                      <w:lang w:val="en-US" w:eastAsia="zh-CN"/>
                    </w:rPr>
                    <w:t>041-49</w:t>
                  </w:r>
                </w:p>
              </w:tc>
              <w:tc>
                <w:tcPr>
                  <w:tcW w:w="850" w:type="dxa"/>
                  <w:shd w:val="clear" w:color="auto" w:fill="auto"/>
                  <w:vAlign w:val="center"/>
                </w:tcPr>
                <w:p w14:paraId="4C94D670">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0.25</w:t>
                  </w:r>
                  <w:r>
                    <w:rPr>
                      <w:rFonts w:hint="default" w:ascii="Times New Roman" w:hAnsi="Times New Roman" w:cs="Times New Roman"/>
                      <w:color w:val="auto"/>
                      <w:szCs w:val="21"/>
                      <w:lang w:val="en-US" w:eastAsia="zh-CN"/>
                    </w:rPr>
                    <w:t>t/</w:t>
                  </w:r>
                  <w:r>
                    <w:rPr>
                      <w:rFonts w:hint="eastAsia" w:cs="Times New Roman"/>
                      <w:color w:val="auto"/>
                      <w:szCs w:val="21"/>
                      <w:lang w:val="en-US" w:eastAsia="zh-CN"/>
                    </w:rPr>
                    <w:t>1.5</w:t>
                  </w:r>
                  <w:r>
                    <w:rPr>
                      <w:rFonts w:hint="default" w:ascii="Times New Roman" w:hAnsi="Times New Roman" w:cs="Times New Roman"/>
                      <w:color w:val="auto"/>
                      <w:szCs w:val="21"/>
                      <w:lang w:val="en-US" w:eastAsia="zh-CN"/>
                    </w:rPr>
                    <w:t>a</w:t>
                  </w:r>
                </w:p>
              </w:tc>
              <w:tc>
                <w:tcPr>
                  <w:tcW w:w="907" w:type="dxa"/>
                  <w:shd w:val="clear" w:color="auto" w:fill="auto"/>
                  <w:vAlign w:val="center"/>
                </w:tcPr>
                <w:p w14:paraId="25996C89">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废水处理</w:t>
                  </w:r>
                </w:p>
              </w:tc>
              <w:tc>
                <w:tcPr>
                  <w:tcW w:w="523" w:type="dxa"/>
                  <w:shd w:val="clear" w:color="auto" w:fill="auto"/>
                  <w:vAlign w:val="center"/>
                </w:tcPr>
                <w:p w14:paraId="2FA636C8">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固态</w:t>
                  </w:r>
                </w:p>
              </w:tc>
              <w:tc>
                <w:tcPr>
                  <w:tcW w:w="1860" w:type="dxa"/>
                  <w:shd w:val="clear" w:color="auto" w:fill="auto"/>
                  <w:vAlign w:val="center"/>
                </w:tcPr>
                <w:p w14:paraId="2BACAE05">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kern w:val="0"/>
                      <w:sz w:val="21"/>
                      <w:szCs w:val="21"/>
                      <w:lang w:val="en-US" w:eastAsia="zh-CN" w:bidi="ar-SA"/>
                    </w:rPr>
                    <w:t>活性炭、有机物</w:t>
                  </w:r>
                </w:p>
              </w:tc>
              <w:tc>
                <w:tcPr>
                  <w:tcW w:w="1890" w:type="dxa"/>
                  <w:shd w:val="clear" w:color="auto" w:fill="auto"/>
                  <w:vAlign w:val="center"/>
                </w:tcPr>
                <w:p w14:paraId="25FE18DC">
                  <w:pPr>
                    <w:widowControl/>
                    <w:adjustRightInd w:val="0"/>
                    <w:snapToGrid w:val="0"/>
                    <w:jc w:val="center"/>
                    <w:textAlignment w:val="center"/>
                    <w:rPr>
                      <w:rFonts w:hint="eastAsia"/>
                      <w:color w:val="auto"/>
                      <w:kern w:val="0"/>
                      <w:sz w:val="21"/>
                      <w:szCs w:val="21"/>
                      <w:lang w:val="en-US" w:eastAsia="zh-CN" w:bidi="ar-SA"/>
                    </w:rPr>
                  </w:pPr>
                  <w:r>
                    <w:rPr>
                      <w:rFonts w:hint="eastAsia"/>
                      <w:color w:val="auto"/>
                      <w:kern w:val="0"/>
                      <w:sz w:val="21"/>
                      <w:szCs w:val="21"/>
                      <w:lang w:val="en-US" w:eastAsia="zh-CN" w:bidi="ar-SA"/>
                    </w:rPr>
                    <w:t>有机物</w:t>
                  </w:r>
                </w:p>
              </w:tc>
              <w:tc>
                <w:tcPr>
                  <w:tcW w:w="615" w:type="dxa"/>
                  <w:shd w:val="clear" w:color="auto" w:fill="auto"/>
                  <w:vAlign w:val="center"/>
                </w:tcPr>
                <w:p w14:paraId="7BB95C9C">
                  <w:pPr>
                    <w:pStyle w:val="6"/>
                    <w:ind w:left="16" w:leftChars="0" w:hanging="16" w:hangingChars="8"/>
                    <w:jc w:val="center"/>
                    <w:rPr>
                      <w:rFonts w:hint="default"/>
                      <w:color w:val="auto"/>
                      <w:szCs w:val="21"/>
                      <w:lang w:val="en-US" w:eastAsia="zh-CN"/>
                    </w:rPr>
                  </w:pPr>
                  <w:r>
                    <w:rPr>
                      <w:rFonts w:hint="eastAsia"/>
                      <w:color w:val="auto"/>
                      <w:szCs w:val="21"/>
                      <w:lang w:val="en-US" w:eastAsia="zh-CN"/>
                    </w:rPr>
                    <w:t>1.5年</w:t>
                  </w:r>
                </w:p>
              </w:tc>
              <w:tc>
                <w:tcPr>
                  <w:tcW w:w="765" w:type="dxa"/>
                  <w:shd w:val="clear" w:color="auto" w:fill="auto"/>
                  <w:vAlign w:val="center"/>
                </w:tcPr>
                <w:p w14:paraId="6B79C07D">
                  <w:pPr>
                    <w:shd w:val="clear" w:color="auto" w:fill="auto"/>
                    <w:adjustRightInd w:val="0"/>
                    <w:snapToGrid w:val="0"/>
                    <w:jc w:val="center"/>
                    <w:rPr>
                      <w:rFonts w:hint="eastAsia" w:eastAsia="宋体"/>
                      <w:color w:val="auto"/>
                      <w:sz w:val="21"/>
                      <w:szCs w:val="21"/>
                      <w:lang w:val="en-US" w:eastAsia="zh-CN"/>
                    </w:rPr>
                  </w:pPr>
                  <w:r>
                    <w:rPr>
                      <w:rFonts w:hint="eastAsia" w:eastAsia="宋体"/>
                      <w:color w:val="auto"/>
                      <w:sz w:val="21"/>
                      <w:szCs w:val="21"/>
                      <w:lang w:val="en-US" w:eastAsia="zh-CN"/>
                    </w:rPr>
                    <w:t>T/In</w:t>
                  </w:r>
                </w:p>
              </w:tc>
              <w:tc>
                <w:tcPr>
                  <w:tcW w:w="885" w:type="dxa"/>
                  <w:vMerge w:val="continue"/>
                  <w:vAlign w:val="center"/>
                </w:tcPr>
                <w:p w14:paraId="60BDF397">
                  <w:pPr>
                    <w:pStyle w:val="118"/>
                    <w:tabs>
                      <w:tab w:val="clear" w:pos="1080"/>
                    </w:tabs>
                    <w:adjustRightInd w:val="0"/>
                    <w:snapToGrid w:val="0"/>
                    <w:spacing w:line="240" w:lineRule="auto"/>
                    <w:ind w:firstLine="0" w:firstLineChars="0"/>
                    <w:jc w:val="center"/>
                    <w:rPr>
                      <w:rFonts w:ascii="Times New Roman" w:hAnsi="Times New Roman" w:cs="Times New Roman"/>
                      <w:color w:val="auto"/>
                      <w:sz w:val="21"/>
                      <w:szCs w:val="21"/>
                    </w:rPr>
                  </w:pPr>
                </w:p>
              </w:tc>
            </w:tr>
            <w:tr w14:paraId="7C96FC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1" w:type="dxa"/>
                  <w:vAlign w:val="center"/>
                </w:tcPr>
                <w:p w14:paraId="152C9AA7">
                  <w:pPr>
                    <w:pStyle w:val="10"/>
                    <w:spacing w:before="0" w:after="0" w:line="240" w:lineRule="auto"/>
                    <w:ind w:right="0"/>
                    <w:jc w:val="center"/>
                    <w:rPr>
                      <w:rFonts w:hint="default"/>
                      <w:color w:val="auto"/>
                      <w:sz w:val="21"/>
                      <w:szCs w:val="21"/>
                      <w:lang w:val="en-US" w:eastAsia="zh-CN"/>
                    </w:rPr>
                  </w:pPr>
                  <w:r>
                    <w:rPr>
                      <w:rFonts w:hint="eastAsia"/>
                      <w:color w:val="auto"/>
                      <w:sz w:val="21"/>
                      <w:szCs w:val="21"/>
                      <w:lang w:val="en-US" w:eastAsia="zh-CN"/>
                    </w:rPr>
                    <w:t>12</w:t>
                  </w:r>
                </w:p>
              </w:tc>
              <w:tc>
                <w:tcPr>
                  <w:tcW w:w="1606" w:type="dxa"/>
                  <w:shd w:val="clear" w:color="auto" w:fill="auto"/>
                  <w:vAlign w:val="center"/>
                </w:tcPr>
                <w:p w14:paraId="5CC9BDBC">
                  <w:pPr>
                    <w:pStyle w:val="107"/>
                    <w:spacing w:line="240" w:lineRule="auto"/>
                    <w:ind w:firstLine="0" w:firstLineChars="0"/>
                    <w:jc w:val="center"/>
                    <w:rPr>
                      <w:rFonts w:hint="eastAsia" w:cs="Times New Roman"/>
                      <w:color w:val="auto"/>
                      <w:kern w:val="24"/>
                      <w:sz w:val="21"/>
                      <w:szCs w:val="21"/>
                      <w:lang w:val="en-US" w:eastAsia="zh-CN" w:bidi="ar-SA"/>
                    </w:rPr>
                  </w:pPr>
                  <w:r>
                    <w:rPr>
                      <w:rFonts w:hint="eastAsia"/>
                      <w:color w:val="auto"/>
                      <w:sz w:val="21"/>
                      <w:szCs w:val="21"/>
                    </w:rPr>
                    <w:t>废活性炭</w:t>
                  </w:r>
                  <w:r>
                    <w:rPr>
                      <w:rFonts w:hint="eastAsia"/>
                      <w:color w:val="auto"/>
                      <w:sz w:val="21"/>
                      <w:szCs w:val="21"/>
                      <w:lang w:eastAsia="zh-CN"/>
                    </w:rPr>
                    <w:t>（</w:t>
                  </w:r>
                  <w:r>
                    <w:rPr>
                      <w:rFonts w:hint="eastAsia"/>
                      <w:color w:val="auto"/>
                      <w:sz w:val="21"/>
                      <w:szCs w:val="21"/>
                      <w:lang w:val="en-US" w:eastAsia="zh-CN"/>
                    </w:rPr>
                    <w:t>废气</w:t>
                  </w:r>
                  <w:r>
                    <w:rPr>
                      <w:rFonts w:hint="eastAsia"/>
                      <w:color w:val="auto"/>
                      <w:sz w:val="21"/>
                      <w:szCs w:val="21"/>
                      <w:lang w:eastAsia="zh-CN"/>
                    </w:rPr>
                    <w:t>）</w:t>
                  </w:r>
                </w:p>
              </w:tc>
              <w:tc>
                <w:tcPr>
                  <w:tcW w:w="974" w:type="dxa"/>
                  <w:shd w:val="clear" w:color="auto" w:fill="auto"/>
                  <w:vAlign w:val="center"/>
                </w:tcPr>
                <w:p w14:paraId="2670233B">
                  <w:pPr>
                    <w:jc w:val="center"/>
                    <w:rPr>
                      <w:rFonts w:hint="eastAsia" w:ascii="Times New Roman" w:hAnsi="Times New Roman" w:eastAsia="宋体" w:cs="Times New Roman"/>
                      <w:color w:val="auto"/>
                      <w:kern w:val="2"/>
                      <w:sz w:val="21"/>
                      <w:szCs w:val="21"/>
                      <w:lang w:val="en-US" w:eastAsia="zh-CN" w:bidi="ar-SA"/>
                    </w:rPr>
                  </w:pPr>
                  <w:r>
                    <w:rPr>
                      <w:color w:val="auto"/>
                      <w:szCs w:val="21"/>
                    </w:rPr>
                    <w:t>HW49</w:t>
                  </w:r>
                </w:p>
              </w:tc>
              <w:tc>
                <w:tcPr>
                  <w:tcW w:w="1276" w:type="dxa"/>
                  <w:shd w:val="clear" w:color="auto" w:fill="auto"/>
                  <w:vAlign w:val="center"/>
                </w:tcPr>
                <w:p w14:paraId="63E2B832">
                  <w:pPr>
                    <w:jc w:val="center"/>
                    <w:rPr>
                      <w:rFonts w:hint="eastAsia" w:ascii="Times New Roman" w:hAnsi="Times New Roman" w:eastAsia="宋体" w:cs="Times New Roman"/>
                      <w:color w:val="auto"/>
                      <w:kern w:val="2"/>
                      <w:sz w:val="21"/>
                      <w:szCs w:val="21"/>
                      <w:lang w:val="en-US" w:eastAsia="zh-CN" w:bidi="ar-SA"/>
                    </w:rPr>
                  </w:pPr>
                  <w:r>
                    <w:rPr>
                      <w:color w:val="auto"/>
                      <w:szCs w:val="21"/>
                    </w:rPr>
                    <w:t>900-0</w:t>
                  </w:r>
                  <w:r>
                    <w:rPr>
                      <w:rFonts w:hint="eastAsia"/>
                      <w:color w:val="auto"/>
                      <w:szCs w:val="21"/>
                    </w:rPr>
                    <w:t>39</w:t>
                  </w:r>
                  <w:r>
                    <w:rPr>
                      <w:color w:val="auto"/>
                      <w:szCs w:val="21"/>
                    </w:rPr>
                    <w:t>-49</w:t>
                  </w:r>
                </w:p>
              </w:tc>
              <w:tc>
                <w:tcPr>
                  <w:tcW w:w="850" w:type="dxa"/>
                  <w:shd w:val="clear" w:color="auto" w:fill="auto"/>
                  <w:vAlign w:val="center"/>
                </w:tcPr>
                <w:p w14:paraId="0941C025">
                  <w:pPr>
                    <w:widowControl/>
                    <w:adjustRightInd w:val="0"/>
                    <w:snapToGrid w:val="0"/>
                    <w:jc w:val="center"/>
                    <w:textAlignment w:val="center"/>
                    <w:rPr>
                      <w:rFonts w:hint="default" w:cs="Times New Roman"/>
                      <w:color w:val="auto"/>
                      <w:szCs w:val="21"/>
                      <w:lang w:val="en-US" w:eastAsia="zh-CN"/>
                    </w:rPr>
                  </w:pPr>
                  <w:r>
                    <w:rPr>
                      <w:rFonts w:hint="eastAsia" w:cs="Times New Roman"/>
                      <w:color w:val="auto"/>
                      <w:szCs w:val="21"/>
                      <w:lang w:val="en-US" w:eastAsia="zh-CN"/>
                    </w:rPr>
                    <w:t>0.77</w:t>
                  </w:r>
                </w:p>
              </w:tc>
              <w:tc>
                <w:tcPr>
                  <w:tcW w:w="907" w:type="dxa"/>
                  <w:shd w:val="clear" w:color="auto" w:fill="auto"/>
                  <w:vAlign w:val="center"/>
                </w:tcPr>
                <w:p w14:paraId="0195ED63">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废气处理</w:t>
                  </w:r>
                </w:p>
              </w:tc>
              <w:tc>
                <w:tcPr>
                  <w:tcW w:w="523" w:type="dxa"/>
                  <w:shd w:val="clear" w:color="auto" w:fill="auto"/>
                  <w:vAlign w:val="center"/>
                </w:tcPr>
                <w:p w14:paraId="61DB3703">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固态</w:t>
                  </w:r>
                </w:p>
              </w:tc>
              <w:tc>
                <w:tcPr>
                  <w:tcW w:w="1860" w:type="dxa"/>
                  <w:shd w:val="clear" w:color="auto" w:fill="auto"/>
                  <w:vAlign w:val="center"/>
                </w:tcPr>
                <w:p w14:paraId="25094CA2">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kern w:val="0"/>
                      <w:sz w:val="21"/>
                      <w:szCs w:val="21"/>
                      <w:lang w:val="en-US" w:eastAsia="zh-CN" w:bidi="ar-SA"/>
                    </w:rPr>
                    <w:t>活性炭、有机物</w:t>
                  </w:r>
                </w:p>
              </w:tc>
              <w:tc>
                <w:tcPr>
                  <w:tcW w:w="1890" w:type="dxa"/>
                  <w:shd w:val="clear" w:color="auto" w:fill="auto"/>
                  <w:vAlign w:val="center"/>
                </w:tcPr>
                <w:p w14:paraId="1EA9F7CD">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bidi="ar-SA"/>
                    </w:rPr>
                    <w:t>有机物</w:t>
                  </w:r>
                </w:p>
              </w:tc>
              <w:tc>
                <w:tcPr>
                  <w:tcW w:w="615" w:type="dxa"/>
                  <w:shd w:val="clear" w:color="auto" w:fill="auto"/>
                  <w:vAlign w:val="center"/>
                </w:tcPr>
                <w:p w14:paraId="69CFDBE4">
                  <w:pPr>
                    <w:pStyle w:val="6"/>
                    <w:ind w:left="16" w:leftChars="0" w:hanging="16" w:hangingChars="8"/>
                    <w:jc w:val="center"/>
                    <w:rPr>
                      <w:rFonts w:hint="default"/>
                      <w:color w:val="auto"/>
                      <w:szCs w:val="21"/>
                      <w:lang w:val="en-US" w:eastAsia="zh-CN"/>
                    </w:rPr>
                  </w:pPr>
                  <w:r>
                    <w:rPr>
                      <w:rFonts w:hint="eastAsia"/>
                      <w:color w:val="auto"/>
                      <w:szCs w:val="21"/>
                      <w:lang w:val="en-US" w:eastAsia="zh-CN"/>
                    </w:rPr>
                    <w:t>20天</w:t>
                  </w:r>
                </w:p>
              </w:tc>
              <w:tc>
                <w:tcPr>
                  <w:tcW w:w="765" w:type="dxa"/>
                  <w:shd w:val="clear" w:color="auto" w:fill="auto"/>
                  <w:vAlign w:val="center"/>
                </w:tcPr>
                <w:p w14:paraId="787875A8">
                  <w:pPr>
                    <w:shd w:val="clear" w:color="auto" w:fill="auto"/>
                    <w:adjustRightInd w:val="0"/>
                    <w:snapToGrid w:val="0"/>
                    <w:jc w:val="center"/>
                    <w:rPr>
                      <w:rFonts w:hint="eastAsia" w:eastAsia="宋体"/>
                      <w:color w:val="auto"/>
                      <w:sz w:val="21"/>
                      <w:szCs w:val="21"/>
                      <w:lang w:val="en-US" w:eastAsia="zh-CN"/>
                    </w:rPr>
                  </w:pPr>
                  <w:r>
                    <w:rPr>
                      <w:color w:val="auto"/>
                      <w:szCs w:val="21"/>
                    </w:rPr>
                    <w:t>T/In</w:t>
                  </w:r>
                </w:p>
              </w:tc>
              <w:tc>
                <w:tcPr>
                  <w:tcW w:w="885" w:type="dxa"/>
                  <w:vMerge w:val="continue"/>
                  <w:vAlign w:val="center"/>
                </w:tcPr>
                <w:p w14:paraId="743E0451">
                  <w:pPr>
                    <w:pStyle w:val="118"/>
                    <w:tabs>
                      <w:tab w:val="clear" w:pos="1080"/>
                    </w:tabs>
                    <w:adjustRightInd w:val="0"/>
                    <w:snapToGrid w:val="0"/>
                    <w:spacing w:line="240" w:lineRule="auto"/>
                    <w:ind w:firstLine="0" w:firstLineChars="0"/>
                    <w:jc w:val="center"/>
                    <w:rPr>
                      <w:rFonts w:ascii="Times New Roman" w:hAnsi="Times New Roman" w:cs="Times New Roman"/>
                      <w:color w:val="auto"/>
                      <w:sz w:val="21"/>
                      <w:szCs w:val="21"/>
                    </w:rPr>
                  </w:pPr>
                </w:p>
              </w:tc>
            </w:tr>
          </w:tbl>
          <w:p w14:paraId="44774574">
            <w:pPr>
              <w:pStyle w:val="27"/>
              <w:jc w:val="both"/>
              <w:outlineLvl w:val="0"/>
              <w:rPr>
                <w:rFonts w:hint="eastAsia" w:ascii="黑体" w:hAnsi="黑体" w:eastAsia="黑体"/>
                <w:snapToGrid w:val="0"/>
                <w:color w:val="auto"/>
                <w:sz w:val="30"/>
                <w:szCs w:val="30"/>
              </w:rPr>
            </w:pPr>
          </w:p>
          <w:p w14:paraId="1981C2B3">
            <w:pPr>
              <w:pStyle w:val="27"/>
              <w:jc w:val="both"/>
              <w:outlineLvl w:val="0"/>
              <w:rPr>
                <w:rFonts w:hint="eastAsia" w:ascii="黑体" w:hAnsi="黑体" w:eastAsia="黑体"/>
                <w:snapToGrid w:val="0"/>
                <w:color w:val="auto"/>
                <w:sz w:val="30"/>
                <w:szCs w:val="30"/>
              </w:rPr>
            </w:pPr>
          </w:p>
        </w:tc>
      </w:tr>
    </w:tbl>
    <w:p w14:paraId="53C4AA2A">
      <w:pPr>
        <w:pStyle w:val="27"/>
        <w:jc w:val="center"/>
        <w:rPr>
          <w:rFonts w:ascii="Times New Roman" w:hAnsi="Times New Roman" w:eastAsia="黑体"/>
          <w:snapToGrid w:val="0"/>
          <w:sz w:val="30"/>
          <w:szCs w:val="30"/>
        </w:rPr>
        <w:sectPr>
          <w:pgSz w:w="16840" w:h="11907" w:orient="landscape"/>
          <w:pgMar w:top="1531" w:right="1701" w:bottom="1531" w:left="2127" w:header="851" w:footer="851" w:gutter="0"/>
          <w:pgBorders>
            <w:top w:val="none" w:sz="0" w:space="0"/>
            <w:left w:val="none" w:sz="0" w:space="0"/>
            <w:bottom w:val="none" w:sz="0" w:space="0"/>
            <w:right w:val="none" w:sz="0" w:space="0"/>
          </w:pgBorders>
          <w:cols w:space="720" w:num="1"/>
          <w:docGrid w:type="lines" w:linePitch="294" w:charSpace="0"/>
        </w:sectPr>
      </w:pPr>
    </w:p>
    <w:tbl>
      <w:tblPr>
        <w:tblStyle w:val="30"/>
        <w:tblW w:w="940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0"/>
        <w:gridCol w:w="8650"/>
      </w:tblGrid>
      <w:tr w14:paraId="7DDAD2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50" w:type="dxa"/>
            <w:tcMar>
              <w:left w:w="28" w:type="dxa"/>
              <w:right w:w="28" w:type="dxa"/>
            </w:tcMar>
            <w:vAlign w:val="center"/>
          </w:tcPr>
          <w:p w14:paraId="23AA0792">
            <w:pPr>
              <w:adjustRightInd w:val="0"/>
              <w:snapToGrid w:val="0"/>
              <w:jc w:val="center"/>
              <w:rPr>
                <w:rFonts w:cs="宋体"/>
                <w:bCs/>
                <w:szCs w:val="21"/>
              </w:rPr>
            </w:pPr>
          </w:p>
        </w:tc>
        <w:tc>
          <w:tcPr>
            <w:tcW w:w="8650" w:type="dxa"/>
          </w:tcPr>
          <w:p w14:paraId="4CF13B9D">
            <w:pPr>
              <w:spacing w:line="360" w:lineRule="auto"/>
              <w:rPr>
                <w:b/>
                <w:bCs/>
                <w:color w:val="auto"/>
                <w:szCs w:val="21"/>
              </w:rPr>
            </w:pPr>
            <w:r>
              <w:rPr>
                <w:rFonts w:hint="eastAsia"/>
                <w:b/>
                <w:bCs/>
                <w:color w:val="auto"/>
                <w:szCs w:val="21"/>
              </w:rPr>
              <w:t>4.2固体废物管理要求</w:t>
            </w:r>
          </w:p>
          <w:p w14:paraId="5D88CC20">
            <w:pPr>
              <w:spacing w:line="360" w:lineRule="auto"/>
              <w:ind w:firstLine="420" w:firstLineChars="200"/>
              <w:rPr>
                <w:color w:val="auto"/>
                <w:szCs w:val="21"/>
                <w:lang w:bidi="ar"/>
              </w:rPr>
            </w:pPr>
            <w:r>
              <w:rPr>
                <w:color w:val="auto"/>
                <w:szCs w:val="21"/>
              </w:rPr>
              <w:t>①</w:t>
            </w:r>
            <w:r>
              <w:rPr>
                <w:color w:val="auto"/>
                <w:szCs w:val="21"/>
                <w:lang w:bidi="ar"/>
              </w:rPr>
              <w:t>厂区现有</w:t>
            </w:r>
            <w:r>
              <w:rPr>
                <w:color w:val="auto"/>
                <w:szCs w:val="21"/>
              </w:rPr>
              <w:t>危废暂存区</w:t>
            </w:r>
            <w:r>
              <w:rPr>
                <w:color w:val="auto"/>
                <w:szCs w:val="21"/>
                <w:lang w:bidi="ar"/>
              </w:rPr>
              <w:t>和一般固废</w:t>
            </w:r>
            <w:r>
              <w:rPr>
                <w:rFonts w:hint="eastAsia"/>
                <w:color w:val="auto"/>
                <w:szCs w:val="21"/>
                <w:lang w:bidi="ar"/>
              </w:rPr>
              <w:t>区</w:t>
            </w:r>
            <w:r>
              <w:rPr>
                <w:color w:val="auto"/>
                <w:szCs w:val="21"/>
                <w:lang w:bidi="ar"/>
              </w:rPr>
              <w:t>建设情况</w:t>
            </w:r>
          </w:p>
          <w:p w14:paraId="640BDC83">
            <w:pPr>
              <w:pStyle w:val="5"/>
              <w:spacing w:before="0" w:after="0" w:line="360" w:lineRule="auto"/>
              <w:ind w:firstLine="420" w:firstLineChars="200"/>
              <w:rPr>
                <w:b w:val="0"/>
                <w:bCs w:val="0"/>
                <w:color w:val="auto"/>
                <w:sz w:val="21"/>
                <w:szCs w:val="21"/>
              </w:rPr>
            </w:pPr>
            <w:r>
              <w:rPr>
                <w:rFonts w:hint="eastAsia"/>
                <w:b w:val="0"/>
                <w:bCs w:val="0"/>
                <w:color w:val="auto"/>
                <w:sz w:val="21"/>
                <w:szCs w:val="21"/>
              </w:rPr>
              <w:t>本项目产生的危废依托现有危废暂存库，该危废仓库位于厂区西北角，面积50</w:t>
            </w:r>
            <w:r>
              <w:rPr>
                <w:b w:val="0"/>
                <w:bCs w:val="0"/>
                <w:color w:val="auto"/>
                <w:sz w:val="21"/>
                <w:szCs w:val="21"/>
              </w:rPr>
              <w:t>m</w:t>
            </w:r>
            <w:r>
              <w:rPr>
                <w:b w:val="0"/>
                <w:bCs w:val="0"/>
                <w:color w:val="auto"/>
                <w:sz w:val="21"/>
                <w:szCs w:val="21"/>
                <w:vertAlign w:val="superscript"/>
              </w:rPr>
              <w:t>2</w:t>
            </w:r>
            <w:r>
              <w:rPr>
                <w:rFonts w:hint="eastAsia"/>
                <w:b w:val="0"/>
                <w:bCs w:val="0"/>
                <w:color w:val="auto"/>
                <w:sz w:val="21"/>
                <w:szCs w:val="21"/>
              </w:rPr>
              <w:t>，满足使用需求。</w:t>
            </w:r>
          </w:p>
          <w:p w14:paraId="36177537">
            <w:pPr>
              <w:pStyle w:val="5"/>
              <w:spacing w:before="0" w:after="0" w:line="360" w:lineRule="auto"/>
              <w:ind w:firstLine="420" w:firstLineChars="200"/>
              <w:rPr>
                <w:b w:val="0"/>
                <w:bCs w:val="0"/>
                <w:color w:val="auto"/>
                <w:sz w:val="21"/>
                <w:szCs w:val="21"/>
                <w:lang w:bidi="ar"/>
              </w:rPr>
            </w:pPr>
            <w:r>
              <w:rPr>
                <w:rFonts w:hint="eastAsia"/>
                <w:b w:val="0"/>
                <w:bCs w:val="0"/>
                <w:color w:val="auto"/>
                <w:sz w:val="21"/>
                <w:szCs w:val="21"/>
              </w:rPr>
              <w:t>本项目产生的一般固废依托现有一般固废堆放区，该一般固废堆放区位于厂区西北角，面积70</w:t>
            </w:r>
            <w:r>
              <w:rPr>
                <w:b w:val="0"/>
                <w:bCs w:val="0"/>
                <w:color w:val="auto"/>
                <w:sz w:val="21"/>
                <w:szCs w:val="21"/>
              </w:rPr>
              <w:t>m</w:t>
            </w:r>
            <w:r>
              <w:rPr>
                <w:b w:val="0"/>
                <w:bCs w:val="0"/>
                <w:color w:val="auto"/>
                <w:sz w:val="21"/>
                <w:szCs w:val="21"/>
                <w:vertAlign w:val="superscript"/>
              </w:rPr>
              <w:t>2</w:t>
            </w:r>
            <w:r>
              <w:rPr>
                <w:rFonts w:hint="eastAsia"/>
                <w:b w:val="0"/>
                <w:bCs w:val="0"/>
                <w:color w:val="auto"/>
                <w:sz w:val="21"/>
                <w:szCs w:val="21"/>
              </w:rPr>
              <w:t>。一般固体废物在厂内暂存、处置过程中</w:t>
            </w:r>
            <w:r>
              <w:rPr>
                <w:b w:val="0"/>
                <w:bCs w:val="0"/>
                <w:color w:val="auto"/>
                <w:sz w:val="21"/>
                <w:szCs w:val="24"/>
              </w:rPr>
              <w:t>按照《一般工业固体废物贮存和填埋污染控制标准》（GB18599-2020）中要求建设，对一般固废堆放区地面进行了硬化，并做好防腐、防渗和防漏处理，制定了</w:t>
            </w:r>
            <w:r>
              <w:rPr>
                <w:rFonts w:hint="eastAsia" w:ascii="宋体" w:hAnsi="宋体" w:cs="宋体"/>
                <w:b w:val="0"/>
                <w:bCs w:val="0"/>
                <w:color w:val="auto"/>
                <w:sz w:val="21"/>
                <w:szCs w:val="24"/>
              </w:rPr>
              <w:t>“</w:t>
            </w:r>
            <w:r>
              <w:rPr>
                <w:b w:val="0"/>
                <w:bCs w:val="0"/>
                <w:color w:val="auto"/>
                <w:sz w:val="21"/>
                <w:szCs w:val="24"/>
              </w:rPr>
              <w:t>一般固废</w:t>
            </w:r>
            <w:r>
              <w:rPr>
                <w:rFonts w:hint="eastAsia"/>
                <w:b w:val="0"/>
                <w:bCs w:val="0"/>
                <w:color w:val="auto"/>
                <w:sz w:val="21"/>
                <w:szCs w:val="24"/>
              </w:rPr>
              <w:t>区</w:t>
            </w:r>
            <w:r>
              <w:rPr>
                <w:b w:val="0"/>
                <w:bCs w:val="0"/>
                <w:color w:val="auto"/>
                <w:sz w:val="21"/>
                <w:szCs w:val="24"/>
              </w:rPr>
              <w:t>管理制度</w:t>
            </w:r>
            <w:r>
              <w:rPr>
                <w:rFonts w:hint="eastAsia" w:ascii="宋体" w:hAnsi="宋体" w:cs="宋体"/>
                <w:b w:val="0"/>
                <w:bCs w:val="0"/>
                <w:color w:val="auto"/>
                <w:sz w:val="21"/>
                <w:szCs w:val="24"/>
              </w:rPr>
              <w:t>”</w:t>
            </w:r>
            <w:r>
              <w:rPr>
                <w:b w:val="0"/>
                <w:bCs w:val="0"/>
                <w:color w:val="auto"/>
                <w:sz w:val="21"/>
                <w:szCs w:val="24"/>
              </w:rPr>
              <w:t>、</w:t>
            </w:r>
            <w:r>
              <w:rPr>
                <w:rFonts w:hint="eastAsia" w:ascii="宋体" w:hAnsi="宋体" w:cs="宋体"/>
                <w:b w:val="0"/>
                <w:bCs w:val="0"/>
                <w:color w:val="auto"/>
                <w:sz w:val="21"/>
                <w:szCs w:val="24"/>
              </w:rPr>
              <w:t>“</w:t>
            </w:r>
            <w:r>
              <w:rPr>
                <w:b w:val="0"/>
                <w:bCs w:val="0"/>
                <w:color w:val="auto"/>
                <w:sz w:val="21"/>
                <w:szCs w:val="24"/>
              </w:rPr>
              <w:t>一般工业固废处置管理规定</w:t>
            </w:r>
            <w:r>
              <w:rPr>
                <w:rFonts w:hint="eastAsia" w:ascii="宋体" w:hAnsi="宋体" w:cs="宋体"/>
                <w:b w:val="0"/>
                <w:bCs w:val="0"/>
                <w:color w:val="auto"/>
                <w:sz w:val="21"/>
                <w:szCs w:val="24"/>
              </w:rPr>
              <w:t>”</w:t>
            </w:r>
            <w:r>
              <w:rPr>
                <w:b w:val="0"/>
                <w:bCs w:val="0"/>
                <w:color w:val="auto"/>
                <w:sz w:val="21"/>
                <w:szCs w:val="24"/>
              </w:rPr>
              <w:t>，由专人维护。</w:t>
            </w:r>
          </w:p>
          <w:p w14:paraId="3CF8A0D6">
            <w:pPr>
              <w:pStyle w:val="10"/>
              <w:spacing w:before="0" w:after="0" w:line="360" w:lineRule="auto"/>
              <w:ind w:right="0" w:firstLine="420" w:firstLineChars="200"/>
              <w:rPr>
                <w:color w:val="auto"/>
                <w:sz w:val="21"/>
                <w:szCs w:val="21"/>
              </w:rPr>
            </w:pPr>
            <w:r>
              <w:rPr>
                <w:color w:val="auto"/>
                <w:sz w:val="21"/>
                <w:szCs w:val="21"/>
              </w:rPr>
              <w:t>②</w:t>
            </w:r>
            <w:r>
              <w:rPr>
                <w:rFonts w:hint="eastAsia"/>
                <w:color w:val="auto"/>
                <w:sz w:val="21"/>
                <w:szCs w:val="21"/>
              </w:rPr>
              <w:t>一般固体废弃物</w:t>
            </w:r>
          </w:p>
          <w:p w14:paraId="293F1420">
            <w:pPr>
              <w:spacing w:line="360" w:lineRule="auto"/>
              <w:ind w:firstLine="420" w:firstLineChars="200"/>
              <w:rPr>
                <w:color w:val="auto"/>
                <w:szCs w:val="21"/>
              </w:rPr>
            </w:pPr>
            <w:r>
              <w:rPr>
                <w:rFonts w:hint="eastAsia"/>
                <w:color w:val="auto"/>
                <w:szCs w:val="21"/>
              </w:rPr>
              <w:t>对于项目产生的一般固废，可回收的固废及时收集、暂存后外售，不可回收的固废委托专门处置单位合理规范处置，通过调整一般固废的处理处置周期，固废暂存区域大小能够满足本项目一般固废的暂存要求。</w:t>
            </w:r>
          </w:p>
          <w:p w14:paraId="73F3D60E">
            <w:pPr>
              <w:pStyle w:val="10"/>
              <w:spacing w:before="0" w:after="0" w:line="360" w:lineRule="auto"/>
              <w:ind w:right="0" w:firstLine="420" w:firstLineChars="200"/>
              <w:rPr>
                <w:color w:val="auto"/>
                <w:sz w:val="21"/>
                <w:szCs w:val="21"/>
              </w:rPr>
            </w:pPr>
            <w:r>
              <w:rPr>
                <w:color w:val="auto"/>
                <w:sz w:val="21"/>
                <w:szCs w:val="21"/>
              </w:rPr>
              <w:t>③</w:t>
            </w:r>
            <w:r>
              <w:rPr>
                <w:rFonts w:hint="eastAsia"/>
                <w:color w:val="auto"/>
                <w:sz w:val="21"/>
                <w:szCs w:val="21"/>
              </w:rPr>
              <w:t>危险废物</w:t>
            </w:r>
          </w:p>
          <w:p w14:paraId="6C67CD65">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color w:val="auto"/>
                <w:szCs w:val="21"/>
              </w:rPr>
            </w:pPr>
            <w:r>
              <w:rPr>
                <w:color w:val="auto"/>
                <w:szCs w:val="21"/>
              </w:rPr>
              <w:t>根据《建设项目危险废物环境影响评价指南》要求，危险废物贮存情况见表4-</w:t>
            </w:r>
            <w:r>
              <w:rPr>
                <w:rFonts w:hint="eastAsia"/>
                <w:color w:val="auto"/>
                <w:szCs w:val="21"/>
                <w:lang w:val="en-US" w:eastAsia="zh-CN"/>
              </w:rPr>
              <w:t>31</w:t>
            </w:r>
            <w:r>
              <w:rPr>
                <w:color w:val="auto"/>
                <w:szCs w:val="21"/>
              </w:rPr>
              <w:t>。</w:t>
            </w:r>
          </w:p>
          <w:p w14:paraId="653F94B3">
            <w:pPr>
              <w:widowControl/>
              <w:adjustRightInd w:val="0"/>
              <w:snapToGrid w:val="0"/>
              <w:spacing w:before="147" w:beforeLines="50"/>
              <w:jc w:val="center"/>
              <w:rPr>
                <w:b/>
                <w:bCs/>
                <w:color w:val="auto"/>
                <w:szCs w:val="21"/>
              </w:rPr>
            </w:pPr>
            <w:r>
              <w:rPr>
                <w:rFonts w:hint="eastAsia"/>
                <w:b/>
                <w:bCs/>
                <w:color w:val="auto"/>
                <w:szCs w:val="21"/>
              </w:rPr>
              <w:t>表4-</w:t>
            </w:r>
            <w:r>
              <w:rPr>
                <w:rFonts w:hint="eastAsia"/>
                <w:b/>
                <w:bCs/>
                <w:color w:val="auto"/>
                <w:szCs w:val="21"/>
                <w:lang w:val="en-US" w:eastAsia="zh-CN"/>
              </w:rPr>
              <w:t>31</w:t>
            </w:r>
            <w:r>
              <w:rPr>
                <w:rFonts w:hint="eastAsia"/>
                <w:b/>
                <w:bCs/>
                <w:color w:val="auto"/>
                <w:szCs w:val="21"/>
              </w:rPr>
              <w:t xml:space="preserve"> 本次</w:t>
            </w:r>
            <w:r>
              <w:rPr>
                <w:rFonts w:hint="eastAsia"/>
                <w:b/>
                <w:bCs/>
                <w:color w:val="auto"/>
                <w:szCs w:val="21"/>
                <w:lang w:val="en-US" w:eastAsia="zh-CN"/>
              </w:rPr>
              <w:t>扩建</w:t>
            </w:r>
            <w:r>
              <w:rPr>
                <w:rFonts w:hint="eastAsia"/>
                <w:b/>
                <w:bCs/>
                <w:color w:val="auto"/>
                <w:szCs w:val="21"/>
              </w:rPr>
              <w:t>项目危险废物贮存场所基本情况</w:t>
            </w:r>
          </w:p>
          <w:tbl>
            <w:tblPr>
              <w:tblStyle w:val="30"/>
              <w:tblW w:w="8235" w:type="dxa"/>
              <w:jc w:val="center"/>
              <w:tblBorders>
                <w:top w:val="single" w:color="auto" w:sz="12" w:space="0"/>
                <w:left w:val="none" w:color="auto" w:sz="0" w:space="0"/>
                <w:bottom w:val="single" w:color="auto" w:sz="12" w:space="0"/>
                <w:right w:val="none" w:color="auto" w:sz="0" w:space="0"/>
                <w:insideH w:val="single" w:color="auto" w:sz="4" w:space="0"/>
                <w:insideV w:val="single" w:color="000000" w:sz="4" w:space="0"/>
              </w:tblBorders>
              <w:tblLayout w:type="fixed"/>
              <w:tblCellMar>
                <w:top w:w="0" w:type="dxa"/>
                <w:left w:w="28" w:type="dxa"/>
                <w:bottom w:w="0" w:type="dxa"/>
                <w:right w:w="28" w:type="dxa"/>
              </w:tblCellMar>
            </w:tblPr>
            <w:tblGrid>
              <w:gridCol w:w="737"/>
              <w:gridCol w:w="1361"/>
              <w:gridCol w:w="736"/>
              <w:gridCol w:w="1076"/>
              <w:gridCol w:w="1116"/>
              <w:gridCol w:w="645"/>
              <w:gridCol w:w="1035"/>
              <w:gridCol w:w="675"/>
              <w:gridCol w:w="854"/>
            </w:tblGrid>
            <w:tr w14:paraId="784706A5">
              <w:tblPrEx>
                <w:tblBorders>
                  <w:top w:val="single" w:color="auto" w:sz="12" w:space="0"/>
                  <w:left w:val="none" w:color="auto" w:sz="0" w:space="0"/>
                  <w:bottom w:val="single" w:color="auto" w:sz="12" w:space="0"/>
                  <w:right w:val="none" w:color="auto" w:sz="0" w:space="0"/>
                  <w:insideH w:val="single" w:color="auto" w:sz="4" w:space="0"/>
                  <w:insideV w:val="single" w:color="000000" w:sz="4" w:space="0"/>
                </w:tblBorders>
                <w:tblCellMar>
                  <w:top w:w="0" w:type="dxa"/>
                  <w:left w:w="28" w:type="dxa"/>
                  <w:bottom w:w="0" w:type="dxa"/>
                  <w:right w:w="28" w:type="dxa"/>
                </w:tblCellMar>
              </w:tblPrEx>
              <w:trPr>
                <w:trHeight w:val="340" w:hRule="atLeast"/>
                <w:jc w:val="center"/>
              </w:trPr>
              <w:tc>
                <w:tcPr>
                  <w:tcW w:w="737" w:type="dxa"/>
                  <w:vAlign w:val="center"/>
                </w:tcPr>
                <w:p w14:paraId="53387E5A">
                  <w:pPr>
                    <w:adjustRightInd w:val="0"/>
                    <w:snapToGrid w:val="0"/>
                    <w:jc w:val="center"/>
                    <w:rPr>
                      <w:b/>
                      <w:bCs/>
                      <w:color w:val="auto"/>
                      <w:szCs w:val="21"/>
                    </w:rPr>
                  </w:pPr>
                  <w:r>
                    <w:rPr>
                      <w:rFonts w:hint="eastAsia"/>
                      <w:b/>
                      <w:bCs/>
                      <w:color w:val="auto"/>
                      <w:szCs w:val="21"/>
                    </w:rPr>
                    <w:t>贮存场所名称</w:t>
                  </w:r>
                </w:p>
              </w:tc>
              <w:tc>
                <w:tcPr>
                  <w:tcW w:w="1361" w:type="dxa"/>
                  <w:vAlign w:val="center"/>
                </w:tcPr>
                <w:p w14:paraId="39542F0B">
                  <w:pPr>
                    <w:adjustRightInd w:val="0"/>
                    <w:snapToGrid w:val="0"/>
                    <w:jc w:val="center"/>
                    <w:rPr>
                      <w:b/>
                      <w:bCs/>
                      <w:color w:val="auto"/>
                      <w:szCs w:val="21"/>
                    </w:rPr>
                  </w:pPr>
                  <w:r>
                    <w:rPr>
                      <w:rFonts w:hint="eastAsia"/>
                      <w:b/>
                      <w:bCs/>
                      <w:color w:val="auto"/>
                      <w:szCs w:val="21"/>
                    </w:rPr>
                    <w:t>危险废物名称</w:t>
                  </w:r>
                </w:p>
              </w:tc>
              <w:tc>
                <w:tcPr>
                  <w:tcW w:w="736" w:type="dxa"/>
                  <w:vAlign w:val="center"/>
                </w:tcPr>
                <w:p w14:paraId="6D9D857F">
                  <w:pPr>
                    <w:adjustRightInd w:val="0"/>
                    <w:snapToGrid w:val="0"/>
                    <w:jc w:val="center"/>
                    <w:rPr>
                      <w:b/>
                      <w:bCs/>
                      <w:color w:val="auto"/>
                      <w:szCs w:val="21"/>
                    </w:rPr>
                  </w:pPr>
                  <w:r>
                    <w:rPr>
                      <w:rFonts w:hint="eastAsia"/>
                      <w:b/>
                      <w:bCs/>
                      <w:color w:val="auto"/>
                      <w:szCs w:val="21"/>
                    </w:rPr>
                    <w:t>危险废物类别</w:t>
                  </w:r>
                </w:p>
              </w:tc>
              <w:tc>
                <w:tcPr>
                  <w:tcW w:w="1076" w:type="dxa"/>
                  <w:vAlign w:val="center"/>
                </w:tcPr>
                <w:p w14:paraId="4F17446F">
                  <w:pPr>
                    <w:adjustRightInd w:val="0"/>
                    <w:snapToGrid w:val="0"/>
                    <w:jc w:val="center"/>
                    <w:rPr>
                      <w:b/>
                      <w:bCs/>
                      <w:color w:val="auto"/>
                      <w:szCs w:val="21"/>
                    </w:rPr>
                  </w:pPr>
                  <w:r>
                    <w:rPr>
                      <w:rFonts w:hint="eastAsia"/>
                      <w:b/>
                      <w:bCs/>
                      <w:color w:val="auto"/>
                      <w:szCs w:val="21"/>
                    </w:rPr>
                    <w:t>危险废物代码</w:t>
                  </w:r>
                </w:p>
              </w:tc>
              <w:tc>
                <w:tcPr>
                  <w:tcW w:w="1116" w:type="dxa"/>
                  <w:vAlign w:val="center"/>
                </w:tcPr>
                <w:p w14:paraId="4AA9345C">
                  <w:pPr>
                    <w:adjustRightInd w:val="0"/>
                    <w:snapToGrid w:val="0"/>
                    <w:jc w:val="center"/>
                    <w:rPr>
                      <w:b/>
                      <w:bCs/>
                      <w:color w:val="auto"/>
                      <w:szCs w:val="21"/>
                    </w:rPr>
                  </w:pPr>
                  <w:r>
                    <w:rPr>
                      <w:rFonts w:hint="eastAsia"/>
                      <w:b/>
                      <w:bCs/>
                      <w:color w:val="auto"/>
                      <w:szCs w:val="21"/>
                    </w:rPr>
                    <w:t>位置</w:t>
                  </w:r>
                </w:p>
              </w:tc>
              <w:tc>
                <w:tcPr>
                  <w:tcW w:w="645" w:type="dxa"/>
                  <w:vAlign w:val="center"/>
                </w:tcPr>
                <w:p w14:paraId="584A85B0">
                  <w:pPr>
                    <w:adjustRightInd w:val="0"/>
                    <w:snapToGrid w:val="0"/>
                    <w:jc w:val="center"/>
                    <w:rPr>
                      <w:b/>
                      <w:bCs/>
                      <w:color w:val="auto"/>
                      <w:szCs w:val="21"/>
                    </w:rPr>
                  </w:pPr>
                  <w:r>
                    <w:rPr>
                      <w:rFonts w:hint="eastAsia"/>
                      <w:b/>
                      <w:bCs/>
                      <w:color w:val="auto"/>
                      <w:szCs w:val="21"/>
                    </w:rPr>
                    <w:t>占地面积</w:t>
                  </w:r>
                </w:p>
              </w:tc>
              <w:tc>
                <w:tcPr>
                  <w:tcW w:w="1035" w:type="dxa"/>
                  <w:vAlign w:val="center"/>
                </w:tcPr>
                <w:p w14:paraId="3DF789BA">
                  <w:pPr>
                    <w:adjustRightInd w:val="0"/>
                    <w:snapToGrid w:val="0"/>
                    <w:jc w:val="center"/>
                    <w:rPr>
                      <w:b/>
                      <w:bCs/>
                      <w:color w:val="auto"/>
                      <w:szCs w:val="21"/>
                    </w:rPr>
                  </w:pPr>
                  <w:r>
                    <w:rPr>
                      <w:rFonts w:hint="eastAsia"/>
                      <w:b/>
                      <w:bCs/>
                      <w:color w:val="auto"/>
                      <w:szCs w:val="21"/>
                    </w:rPr>
                    <w:t>贮存方式</w:t>
                  </w:r>
                </w:p>
              </w:tc>
              <w:tc>
                <w:tcPr>
                  <w:tcW w:w="675" w:type="dxa"/>
                  <w:vAlign w:val="center"/>
                </w:tcPr>
                <w:p w14:paraId="5C6B87C6">
                  <w:pPr>
                    <w:adjustRightInd w:val="0"/>
                    <w:snapToGrid w:val="0"/>
                    <w:jc w:val="center"/>
                    <w:rPr>
                      <w:b/>
                      <w:bCs/>
                      <w:color w:val="auto"/>
                      <w:szCs w:val="21"/>
                    </w:rPr>
                  </w:pPr>
                  <w:r>
                    <w:rPr>
                      <w:rFonts w:hint="eastAsia"/>
                      <w:b/>
                      <w:bCs/>
                      <w:color w:val="auto"/>
                      <w:szCs w:val="21"/>
                    </w:rPr>
                    <w:t>贮存能力</w:t>
                  </w:r>
                </w:p>
              </w:tc>
              <w:tc>
                <w:tcPr>
                  <w:tcW w:w="854" w:type="dxa"/>
                  <w:vAlign w:val="center"/>
                </w:tcPr>
                <w:p w14:paraId="2444A3A7">
                  <w:pPr>
                    <w:adjustRightInd w:val="0"/>
                    <w:snapToGrid w:val="0"/>
                    <w:jc w:val="center"/>
                    <w:rPr>
                      <w:b/>
                      <w:bCs/>
                      <w:color w:val="auto"/>
                      <w:szCs w:val="21"/>
                    </w:rPr>
                  </w:pPr>
                  <w:r>
                    <w:rPr>
                      <w:rFonts w:hint="eastAsia"/>
                      <w:b/>
                      <w:bCs/>
                      <w:color w:val="auto"/>
                      <w:szCs w:val="21"/>
                    </w:rPr>
                    <w:t>贮存周期</w:t>
                  </w:r>
                </w:p>
              </w:tc>
            </w:tr>
            <w:tr w14:paraId="34880093">
              <w:tblPrEx>
                <w:tblBorders>
                  <w:top w:val="single" w:color="auto" w:sz="12" w:space="0"/>
                  <w:left w:val="none" w:color="auto" w:sz="0" w:space="0"/>
                  <w:bottom w:val="single" w:color="auto" w:sz="12" w:space="0"/>
                  <w:right w:val="none" w:color="auto" w:sz="0" w:space="0"/>
                  <w:insideH w:val="single" w:color="auto" w:sz="4" w:space="0"/>
                  <w:insideV w:val="single" w:color="000000" w:sz="4" w:space="0"/>
                </w:tblBorders>
                <w:tblCellMar>
                  <w:top w:w="0" w:type="dxa"/>
                  <w:left w:w="28" w:type="dxa"/>
                  <w:bottom w:w="0" w:type="dxa"/>
                  <w:right w:w="28" w:type="dxa"/>
                </w:tblCellMar>
              </w:tblPrEx>
              <w:trPr>
                <w:trHeight w:val="340" w:hRule="atLeast"/>
                <w:jc w:val="center"/>
              </w:trPr>
              <w:tc>
                <w:tcPr>
                  <w:tcW w:w="737" w:type="dxa"/>
                  <w:vMerge w:val="restart"/>
                  <w:vAlign w:val="center"/>
                </w:tcPr>
                <w:p w14:paraId="57D6E4FF">
                  <w:pPr>
                    <w:jc w:val="center"/>
                    <w:rPr>
                      <w:bCs/>
                      <w:color w:val="auto"/>
                      <w:szCs w:val="21"/>
                    </w:rPr>
                  </w:pPr>
                  <w:r>
                    <w:rPr>
                      <w:color w:val="auto"/>
                      <w:szCs w:val="21"/>
                    </w:rPr>
                    <w:t>危废暂存区</w:t>
                  </w:r>
                </w:p>
              </w:tc>
              <w:tc>
                <w:tcPr>
                  <w:tcW w:w="1361" w:type="dxa"/>
                  <w:shd w:val="clear" w:color="auto" w:fill="auto"/>
                  <w:vAlign w:val="center"/>
                </w:tcPr>
                <w:p w14:paraId="6A1BEA9E">
                  <w:pPr>
                    <w:pStyle w:val="107"/>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废油墨桶</w:t>
                  </w:r>
                </w:p>
              </w:tc>
              <w:tc>
                <w:tcPr>
                  <w:tcW w:w="736" w:type="dxa"/>
                  <w:shd w:val="clear" w:color="auto" w:fill="auto"/>
                  <w:vAlign w:val="center"/>
                </w:tcPr>
                <w:p w14:paraId="4C04A363">
                  <w:pPr>
                    <w:shd w:val="clear" w:color="auto" w:fill="auto"/>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highlight w:val="none"/>
                      <w:lang w:val="en-US" w:eastAsia="zh-CN"/>
                    </w:rPr>
                    <w:t>HW49</w:t>
                  </w:r>
                </w:p>
              </w:tc>
              <w:tc>
                <w:tcPr>
                  <w:tcW w:w="1076" w:type="dxa"/>
                  <w:shd w:val="clear" w:color="auto" w:fill="auto"/>
                  <w:vAlign w:val="center"/>
                </w:tcPr>
                <w:p w14:paraId="68FCEDB2">
                  <w:pPr>
                    <w:shd w:val="clear" w:color="auto" w:fill="auto"/>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highlight w:val="none"/>
                      <w:lang w:val="en-US" w:eastAsia="zh-CN"/>
                    </w:rPr>
                    <w:t>900-041-49</w:t>
                  </w:r>
                </w:p>
              </w:tc>
              <w:tc>
                <w:tcPr>
                  <w:tcW w:w="1116" w:type="dxa"/>
                  <w:vMerge w:val="restart"/>
                  <w:vAlign w:val="center"/>
                </w:tcPr>
                <w:p w14:paraId="4A37B29C">
                  <w:pPr>
                    <w:adjustRightInd w:val="0"/>
                    <w:snapToGrid w:val="0"/>
                    <w:jc w:val="center"/>
                    <w:rPr>
                      <w:color w:val="auto"/>
                      <w:szCs w:val="21"/>
                    </w:rPr>
                  </w:pPr>
                  <w:r>
                    <w:rPr>
                      <w:rFonts w:hint="eastAsia"/>
                      <w:bCs/>
                      <w:color w:val="auto"/>
                      <w:szCs w:val="21"/>
                    </w:rPr>
                    <w:t>厂区西北角</w:t>
                  </w:r>
                </w:p>
              </w:tc>
              <w:tc>
                <w:tcPr>
                  <w:tcW w:w="645" w:type="dxa"/>
                  <w:vMerge w:val="restart"/>
                  <w:vAlign w:val="center"/>
                </w:tcPr>
                <w:p w14:paraId="55CBE88E">
                  <w:pPr>
                    <w:adjustRightInd w:val="0"/>
                    <w:snapToGrid w:val="0"/>
                    <w:jc w:val="center"/>
                    <w:rPr>
                      <w:color w:val="auto"/>
                      <w:szCs w:val="21"/>
                    </w:rPr>
                  </w:pPr>
                  <w:r>
                    <w:rPr>
                      <w:rFonts w:hint="eastAsia"/>
                      <w:color w:val="auto"/>
                      <w:szCs w:val="21"/>
                    </w:rPr>
                    <w:t>50m</w:t>
                  </w:r>
                  <w:r>
                    <w:rPr>
                      <w:rFonts w:hint="eastAsia"/>
                      <w:color w:val="auto"/>
                      <w:szCs w:val="21"/>
                      <w:vertAlign w:val="superscript"/>
                    </w:rPr>
                    <w:t>2</w:t>
                  </w:r>
                </w:p>
              </w:tc>
              <w:tc>
                <w:tcPr>
                  <w:tcW w:w="1035" w:type="dxa"/>
                  <w:vAlign w:val="center"/>
                </w:tcPr>
                <w:p w14:paraId="0AA58048">
                  <w:pPr>
                    <w:adjustRightInd w:val="0"/>
                    <w:snapToGrid w:val="0"/>
                    <w:jc w:val="center"/>
                    <w:rPr>
                      <w:rFonts w:hint="default" w:eastAsia="宋体"/>
                      <w:color w:val="auto"/>
                      <w:szCs w:val="21"/>
                      <w:lang w:val="en-US" w:eastAsia="zh-CN"/>
                    </w:rPr>
                  </w:pPr>
                  <w:r>
                    <w:rPr>
                      <w:rFonts w:hint="eastAsia"/>
                      <w:color w:val="auto"/>
                      <w:szCs w:val="21"/>
                      <w:lang w:val="en-US" w:eastAsia="zh-CN"/>
                    </w:rPr>
                    <w:t>加盖密闭</w:t>
                  </w:r>
                </w:p>
              </w:tc>
              <w:tc>
                <w:tcPr>
                  <w:tcW w:w="675" w:type="dxa"/>
                  <w:vAlign w:val="center"/>
                </w:tcPr>
                <w:p w14:paraId="0A3704D4">
                  <w:pPr>
                    <w:widowControl/>
                    <w:adjustRightInd w:val="0"/>
                    <w:snapToGrid w:val="0"/>
                    <w:jc w:val="center"/>
                    <w:textAlignment w:val="center"/>
                    <w:rPr>
                      <w:rFonts w:hint="default" w:eastAsia="宋体"/>
                      <w:color w:val="auto"/>
                      <w:szCs w:val="21"/>
                      <w:lang w:val="en-US" w:eastAsia="zh-CN"/>
                    </w:rPr>
                  </w:pPr>
                  <w:r>
                    <w:rPr>
                      <w:rFonts w:hint="eastAsia"/>
                      <w:color w:val="auto"/>
                      <w:szCs w:val="21"/>
                      <w:lang w:val="en-US" w:eastAsia="zh-CN"/>
                    </w:rPr>
                    <w:t>0.01t</w:t>
                  </w:r>
                </w:p>
              </w:tc>
              <w:tc>
                <w:tcPr>
                  <w:tcW w:w="854" w:type="dxa"/>
                  <w:vAlign w:val="center"/>
                </w:tcPr>
                <w:p w14:paraId="7BC0F51B">
                  <w:pPr>
                    <w:adjustRightInd w:val="0"/>
                    <w:snapToGrid w:val="0"/>
                    <w:jc w:val="center"/>
                    <w:rPr>
                      <w:rFonts w:hint="default" w:eastAsia="宋体"/>
                      <w:color w:val="auto"/>
                      <w:szCs w:val="21"/>
                      <w:lang w:val="en-US" w:eastAsia="zh-CN"/>
                    </w:rPr>
                  </w:pPr>
                  <w:r>
                    <w:rPr>
                      <w:rFonts w:hint="eastAsia"/>
                      <w:color w:val="auto"/>
                      <w:szCs w:val="21"/>
                      <w:lang w:val="en-US" w:eastAsia="zh-CN"/>
                    </w:rPr>
                    <w:t>1个半月</w:t>
                  </w:r>
                </w:p>
              </w:tc>
            </w:tr>
            <w:tr w14:paraId="126BD94A">
              <w:tblPrEx>
                <w:tblBorders>
                  <w:top w:val="single" w:color="auto" w:sz="12" w:space="0"/>
                  <w:left w:val="none" w:color="auto" w:sz="0" w:space="0"/>
                  <w:bottom w:val="single" w:color="auto" w:sz="12" w:space="0"/>
                  <w:right w:val="none" w:color="auto" w:sz="0" w:space="0"/>
                  <w:insideH w:val="single" w:color="auto" w:sz="4" w:space="0"/>
                  <w:insideV w:val="single" w:color="000000" w:sz="4" w:space="0"/>
                </w:tblBorders>
                <w:tblCellMar>
                  <w:top w:w="0" w:type="dxa"/>
                  <w:left w:w="28" w:type="dxa"/>
                  <w:bottom w:w="0" w:type="dxa"/>
                  <w:right w:w="28" w:type="dxa"/>
                </w:tblCellMar>
              </w:tblPrEx>
              <w:trPr>
                <w:trHeight w:val="340" w:hRule="atLeast"/>
                <w:jc w:val="center"/>
              </w:trPr>
              <w:tc>
                <w:tcPr>
                  <w:tcW w:w="737" w:type="dxa"/>
                  <w:vMerge w:val="continue"/>
                  <w:vAlign w:val="center"/>
                </w:tcPr>
                <w:p w14:paraId="608AD34E">
                  <w:pPr>
                    <w:jc w:val="center"/>
                    <w:rPr>
                      <w:color w:val="auto"/>
                      <w:szCs w:val="21"/>
                    </w:rPr>
                  </w:pPr>
                </w:p>
              </w:tc>
              <w:tc>
                <w:tcPr>
                  <w:tcW w:w="1361" w:type="dxa"/>
                  <w:shd w:val="clear" w:color="auto" w:fill="auto"/>
                  <w:vAlign w:val="center"/>
                </w:tcPr>
                <w:p w14:paraId="48D93140">
                  <w:pPr>
                    <w:pStyle w:val="107"/>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废抹布、手套</w:t>
                  </w:r>
                </w:p>
              </w:tc>
              <w:tc>
                <w:tcPr>
                  <w:tcW w:w="736" w:type="dxa"/>
                  <w:shd w:val="clear" w:color="auto" w:fill="auto"/>
                  <w:vAlign w:val="center"/>
                </w:tcPr>
                <w:p w14:paraId="4F433CE4">
                  <w:pPr>
                    <w:shd w:val="clear" w:color="auto" w:fill="auto"/>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highlight w:val="none"/>
                      <w:lang w:val="en-US" w:eastAsia="zh-CN"/>
                    </w:rPr>
                    <w:t>HW49</w:t>
                  </w:r>
                </w:p>
              </w:tc>
              <w:tc>
                <w:tcPr>
                  <w:tcW w:w="1076" w:type="dxa"/>
                  <w:shd w:val="clear" w:color="auto" w:fill="auto"/>
                  <w:vAlign w:val="center"/>
                </w:tcPr>
                <w:p w14:paraId="6183CC18">
                  <w:pPr>
                    <w:shd w:val="clear" w:color="auto" w:fill="auto"/>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highlight w:val="none"/>
                      <w:lang w:val="en-US" w:eastAsia="zh-CN"/>
                    </w:rPr>
                    <w:t>900-041-49</w:t>
                  </w:r>
                </w:p>
              </w:tc>
              <w:tc>
                <w:tcPr>
                  <w:tcW w:w="1116" w:type="dxa"/>
                  <w:vMerge w:val="continue"/>
                  <w:vAlign w:val="center"/>
                </w:tcPr>
                <w:p w14:paraId="1839A9AF">
                  <w:pPr>
                    <w:adjustRightInd w:val="0"/>
                    <w:snapToGrid w:val="0"/>
                    <w:jc w:val="center"/>
                    <w:rPr>
                      <w:bCs/>
                      <w:color w:val="auto"/>
                      <w:szCs w:val="21"/>
                    </w:rPr>
                  </w:pPr>
                </w:p>
              </w:tc>
              <w:tc>
                <w:tcPr>
                  <w:tcW w:w="645" w:type="dxa"/>
                  <w:vMerge w:val="continue"/>
                  <w:vAlign w:val="center"/>
                </w:tcPr>
                <w:p w14:paraId="772F66CD">
                  <w:pPr>
                    <w:adjustRightInd w:val="0"/>
                    <w:snapToGrid w:val="0"/>
                    <w:jc w:val="center"/>
                    <w:rPr>
                      <w:color w:val="auto"/>
                      <w:szCs w:val="21"/>
                    </w:rPr>
                  </w:pPr>
                </w:p>
              </w:tc>
              <w:tc>
                <w:tcPr>
                  <w:tcW w:w="1035" w:type="dxa"/>
                  <w:vAlign w:val="center"/>
                </w:tcPr>
                <w:p w14:paraId="7087CA92">
                  <w:pPr>
                    <w:adjustRightInd w:val="0"/>
                    <w:snapToGrid w:val="0"/>
                    <w:jc w:val="center"/>
                    <w:rPr>
                      <w:rFonts w:hint="eastAsia" w:eastAsia="宋体"/>
                      <w:color w:val="auto"/>
                      <w:szCs w:val="21"/>
                      <w:lang w:eastAsia="zh-CN"/>
                    </w:rPr>
                  </w:pPr>
                  <w:r>
                    <w:rPr>
                      <w:rFonts w:hint="eastAsia"/>
                      <w:color w:val="auto"/>
                      <w:szCs w:val="21"/>
                    </w:rPr>
                    <w:t>密闭、</w:t>
                  </w:r>
                  <w:r>
                    <w:rPr>
                      <w:rFonts w:hint="eastAsia"/>
                      <w:color w:val="auto"/>
                      <w:szCs w:val="21"/>
                      <w:lang w:val="en-US" w:eastAsia="zh-CN"/>
                    </w:rPr>
                    <w:t>袋装</w:t>
                  </w:r>
                </w:p>
              </w:tc>
              <w:tc>
                <w:tcPr>
                  <w:tcW w:w="675" w:type="dxa"/>
                  <w:vAlign w:val="center"/>
                </w:tcPr>
                <w:p w14:paraId="247325DF">
                  <w:pPr>
                    <w:widowControl/>
                    <w:adjustRightInd w:val="0"/>
                    <w:snapToGrid w:val="0"/>
                    <w:jc w:val="center"/>
                    <w:textAlignment w:val="center"/>
                    <w:rPr>
                      <w:rFonts w:hint="default" w:eastAsia="宋体"/>
                      <w:color w:val="auto"/>
                      <w:szCs w:val="21"/>
                      <w:lang w:val="en-US" w:eastAsia="zh-CN"/>
                    </w:rPr>
                  </w:pPr>
                  <w:r>
                    <w:rPr>
                      <w:rFonts w:hint="eastAsia"/>
                      <w:color w:val="auto"/>
                      <w:szCs w:val="21"/>
                      <w:lang w:val="en-US" w:eastAsia="zh-CN"/>
                    </w:rPr>
                    <w:t>0.002t</w:t>
                  </w:r>
                </w:p>
              </w:tc>
              <w:tc>
                <w:tcPr>
                  <w:tcW w:w="854" w:type="dxa"/>
                  <w:vAlign w:val="center"/>
                </w:tcPr>
                <w:p w14:paraId="7080A5F7">
                  <w:pPr>
                    <w:adjustRightInd w:val="0"/>
                    <w:snapToGrid w:val="0"/>
                    <w:jc w:val="center"/>
                    <w:rPr>
                      <w:rFonts w:hint="default" w:eastAsia="宋体"/>
                      <w:color w:val="auto"/>
                      <w:szCs w:val="21"/>
                      <w:lang w:val="en-US" w:eastAsia="zh-CN"/>
                    </w:rPr>
                  </w:pPr>
                  <w:r>
                    <w:rPr>
                      <w:rFonts w:hint="eastAsia"/>
                      <w:color w:val="auto"/>
                      <w:szCs w:val="21"/>
                      <w:lang w:val="en-US" w:eastAsia="zh-CN"/>
                    </w:rPr>
                    <w:t>1年</w:t>
                  </w:r>
                </w:p>
              </w:tc>
            </w:tr>
            <w:tr w14:paraId="52BF1AE7">
              <w:tblPrEx>
                <w:tblBorders>
                  <w:top w:val="single" w:color="auto" w:sz="12" w:space="0"/>
                  <w:left w:val="none" w:color="auto" w:sz="0" w:space="0"/>
                  <w:bottom w:val="single" w:color="auto" w:sz="12" w:space="0"/>
                  <w:right w:val="none" w:color="auto" w:sz="0" w:space="0"/>
                  <w:insideH w:val="single" w:color="auto" w:sz="4" w:space="0"/>
                  <w:insideV w:val="single" w:color="000000" w:sz="4" w:space="0"/>
                </w:tblBorders>
                <w:tblCellMar>
                  <w:top w:w="0" w:type="dxa"/>
                  <w:left w:w="28" w:type="dxa"/>
                  <w:bottom w:w="0" w:type="dxa"/>
                  <w:right w:w="28" w:type="dxa"/>
                </w:tblCellMar>
              </w:tblPrEx>
              <w:trPr>
                <w:trHeight w:val="340" w:hRule="atLeast"/>
                <w:jc w:val="center"/>
              </w:trPr>
              <w:tc>
                <w:tcPr>
                  <w:tcW w:w="737" w:type="dxa"/>
                  <w:vMerge w:val="continue"/>
                  <w:vAlign w:val="center"/>
                </w:tcPr>
                <w:p w14:paraId="320F7A33">
                  <w:pPr>
                    <w:jc w:val="center"/>
                    <w:rPr>
                      <w:color w:val="auto"/>
                      <w:szCs w:val="21"/>
                    </w:rPr>
                  </w:pPr>
                </w:p>
              </w:tc>
              <w:tc>
                <w:tcPr>
                  <w:tcW w:w="1361" w:type="dxa"/>
                  <w:shd w:val="clear" w:color="auto" w:fill="auto"/>
                  <w:vAlign w:val="center"/>
                </w:tcPr>
                <w:p w14:paraId="38E21F01">
                  <w:pPr>
                    <w:pStyle w:val="107"/>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24"/>
                      <w:sz w:val="21"/>
                      <w:szCs w:val="21"/>
                      <w:lang w:val="en-US" w:eastAsia="zh-CN" w:bidi="ar-SA"/>
                    </w:rPr>
                    <w:t>废石英砂</w:t>
                  </w:r>
                </w:p>
              </w:tc>
              <w:tc>
                <w:tcPr>
                  <w:tcW w:w="736" w:type="dxa"/>
                  <w:shd w:val="clear" w:color="auto" w:fill="auto"/>
                  <w:vAlign w:val="center"/>
                </w:tcPr>
                <w:p w14:paraId="0AF0FE73">
                  <w:pPr>
                    <w:tabs>
                      <w:tab w:val="center" w:pos="4153"/>
                      <w:tab w:val="right" w:pos="8306"/>
                    </w:tabs>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HW49</w:t>
                  </w:r>
                </w:p>
              </w:tc>
              <w:tc>
                <w:tcPr>
                  <w:tcW w:w="1076" w:type="dxa"/>
                  <w:shd w:val="clear" w:color="auto" w:fill="auto"/>
                  <w:vAlign w:val="center"/>
                </w:tcPr>
                <w:p w14:paraId="342FB57F">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900-</w:t>
                  </w:r>
                  <w:r>
                    <w:rPr>
                      <w:rFonts w:hint="eastAsia"/>
                      <w:color w:val="auto"/>
                      <w:szCs w:val="21"/>
                      <w:lang w:val="en-US" w:eastAsia="zh-CN"/>
                    </w:rPr>
                    <w:t>041-49</w:t>
                  </w:r>
                </w:p>
              </w:tc>
              <w:tc>
                <w:tcPr>
                  <w:tcW w:w="1116" w:type="dxa"/>
                  <w:vMerge w:val="continue"/>
                  <w:vAlign w:val="center"/>
                </w:tcPr>
                <w:p w14:paraId="2B01E636">
                  <w:pPr>
                    <w:adjustRightInd w:val="0"/>
                    <w:snapToGrid w:val="0"/>
                    <w:jc w:val="center"/>
                    <w:rPr>
                      <w:bCs/>
                      <w:color w:val="auto"/>
                      <w:szCs w:val="21"/>
                    </w:rPr>
                  </w:pPr>
                </w:p>
              </w:tc>
              <w:tc>
                <w:tcPr>
                  <w:tcW w:w="645" w:type="dxa"/>
                  <w:vMerge w:val="continue"/>
                  <w:vAlign w:val="center"/>
                </w:tcPr>
                <w:p w14:paraId="516FB109">
                  <w:pPr>
                    <w:adjustRightInd w:val="0"/>
                    <w:snapToGrid w:val="0"/>
                    <w:jc w:val="center"/>
                    <w:rPr>
                      <w:color w:val="auto"/>
                      <w:szCs w:val="21"/>
                    </w:rPr>
                  </w:pPr>
                </w:p>
              </w:tc>
              <w:tc>
                <w:tcPr>
                  <w:tcW w:w="1035" w:type="dxa"/>
                  <w:vAlign w:val="center"/>
                </w:tcPr>
                <w:p w14:paraId="6704F264">
                  <w:pPr>
                    <w:adjustRightInd w:val="0"/>
                    <w:snapToGrid w:val="0"/>
                    <w:jc w:val="center"/>
                    <w:rPr>
                      <w:rFonts w:hint="eastAsia"/>
                      <w:color w:val="auto"/>
                      <w:szCs w:val="21"/>
                    </w:rPr>
                  </w:pPr>
                  <w:r>
                    <w:rPr>
                      <w:rFonts w:hint="eastAsia"/>
                      <w:color w:val="auto"/>
                      <w:szCs w:val="21"/>
                    </w:rPr>
                    <w:t>密闭、</w:t>
                  </w:r>
                  <w:r>
                    <w:rPr>
                      <w:rFonts w:hint="eastAsia"/>
                      <w:color w:val="auto"/>
                      <w:szCs w:val="21"/>
                      <w:lang w:val="en-US" w:eastAsia="zh-CN"/>
                    </w:rPr>
                    <w:t>袋装</w:t>
                  </w:r>
                </w:p>
              </w:tc>
              <w:tc>
                <w:tcPr>
                  <w:tcW w:w="675" w:type="dxa"/>
                  <w:vAlign w:val="center"/>
                </w:tcPr>
                <w:p w14:paraId="1945939B">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0.5t</w:t>
                  </w:r>
                </w:p>
              </w:tc>
              <w:tc>
                <w:tcPr>
                  <w:tcW w:w="854" w:type="dxa"/>
                  <w:vAlign w:val="center"/>
                </w:tcPr>
                <w:p w14:paraId="1599A2A6">
                  <w:pPr>
                    <w:adjustRightInd w:val="0"/>
                    <w:snapToGrid w:val="0"/>
                    <w:jc w:val="center"/>
                    <w:rPr>
                      <w:rFonts w:hint="default"/>
                      <w:color w:val="auto"/>
                      <w:szCs w:val="21"/>
                      <w:lang w:val="en-US" w:eastAsia="zh-CN"/>
                    </w:rPr>
                  </w:pPr>
                  <w:r>
                    <w:rPr>
                      <w:rFonts w:hint="eastAsia"/>
                      <w:color w:val="auto"/>
                      <w:szCs w:val="21"/>
                      <w:lang w:val="en-US" w:eastAsia="zh-CN"/>
                    </w:rPr>
                    <w:t>1个月</w:t>
                  </w:r>
                </w:p>
              </w:tc>
            </w:tr>
            <w:tr w14:paraId="206802B8">
              <w:tblPrEx>
                <w:tblBorders>
                  <w:top w:val="single" w:color="auto" w:sz="12" w:space="0"/>
                  <w:left w:val="none" w:color="auto" w:sz="0" w:space="0"/>
                  <w:bottom w:val="single" w:color="auto" w:sz="12" w:space="0"/>
                  <w:right w:val="none" w:color="auto" w:sz="0" w:space="0"/>
                  <w:insideH w:val="single" w:color="auto" w:sz="4" w:space="0"/>
                  <w:insideV w:val="single" w:color="000000" w:sz="4" w:space="0"/>
                </w:tblBorders>
                <w:tblCellMar>
                  <w:top w:w="0" w:type="dxa"/>
                  <w:left w:w="28" w:type="dxa"/>
                  <w:bottom w:w="0" w:type="dxa"/>
                  <w:right w:w="28" w:type="dxa"/>
                </w:tblCellMar>
              </w:tblPrEx>
              <w:trPr>
                <w:trHeight w:val="340" w:hRule="atLeast"/>
                <w:jc w:val="center"/>
              </w:trPr>
              <w:tc>
                <w:tcPr>
                  <w:tcW w:w="737" w:type="dxa"/>
                  <w:vMerge w:val="continue"/>
                  <w:vAlign w:val="center"/>
                </w:tcPr>
                <w:p w14:paraId="2288BF7B">
                  <w:pPr>
                    <w:jc w:val="center"/>
                    <w:rPr>
                      <w:color w:val="auto"/>
                      <w:szCs w:val="21"/>
                    </w:rPr>
                  </w:pPr>
                </w:p>
              </w:tc>
              <w:tc>
                <w:tcPr>
                  <w:tcW w:w="1361" w:type="dxa"/>
                  <w:shd w:val="clear" w:color="auto" w:fill="auto"/>
                  <w:vAlign w:val="center"/>
                </w:tcPr>
                <w:p w14:paraId="697620CF">
                  <w:pPr>
                    <w:pStyle w:val="107"/>
                    <w:spacing w:line="240" w:lineRule="auto"/>
                    <w:ind w:firstLine="0" w:firstLineChars="0"/>
                    <w:jc w:val="center"/>
                    <w:rPr>
                      <w:rFonts w:hint="eastAsia" w:ascii="Times New Roman" w:hAnsi="Times New Roman" w:eastAsia="宋体" w:cs="Times New Roman"/>
                      <w:color w:val="auto"/>
                      <w:kern w:val="24"/>
                      <w:sz w:val="21"/>
                      <w:szCs w:val="21"/>
                      <w:lang w:val="en-US" w:eastAsia="zh-CN" w:bidi="ar-SA"/>
                    </w:rPr>
                  </w:pPr>
                  <w:r>
                    <w:rPr>
                      <w:rFonts w:hint="eastAsia" w:cs="Times New Roman"/>
                      <w:color w:val="auto"/>
                      <w:kern w:val="24"/>
                      <w:sz w:val="21"/>
                      <w:szCs w:val="21"/>
                      <w:lang w:val="en-US" w:eastAsia="zh-CN" w:bidi="ar-SA"/>
                    </w:rPr>
                    <w:t>废活性炭（废水处理）</w:t>
                  </w:r>
                </w:p>
              </w:tc>
              <w:tc>
                <w:tcPr>
                  <w:tcW w:w="736" w:type="dxa"/>
                  <w:shd w:val="clear" w:color="auto" w:fill="auto"/>
                  <w:vAlign w:val="center"/>
                </w:tcPr>
                <w:p w14:paraId="0E9D4EBA">
                  <w:pPr>
                    <w:tabs>
                      <w:tab w:val="center" w:pos="4153"/>
                      <w:tab w:val="right" w:pos="8306"/>
                    </w:tabs>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HW49</w:t>
                  </w:r>
                </w:p>
              </w:tc>
              <w:tc>
                <w:tcPr>
                  <w:tcW w:w="1076" w:type="dxa"/>
                  <w:shd w:val="clear" w:color="auto" w:fill="auto"/>
                  <w:vAlign w:val="center"/>
                </w:tcPr>
                <w:p w14:paraId="2EDFC413">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900-</w:t>
                  </w:r>
                  <w:r>
                    <w:rPr>
                      <w:rFonts w:hint="eastAsia"/>
                      <w:color w:val="auto"/>
                      <w:szCs w:val="21"/>
                      <w:lang w:val="en-US" w:eastAsia="zh-CN"/>
                    </w:rPr>
                    <w:t>041-49</w:t>
                  </w:r>
                </w:p>
              </w:tc>
              <w:tc>
                <w:tcPr>
                  <w:tcW w:w="1116" w:type="dxa"/>
                  <w:vMerge w:val="continue"/>
                  <w:vAlign w:val="center"/>
                </w:tcPr>
                <w:p w14:paraId="61C86275">
                  <w:pPr>
                    <w:adjustRightInd w:val="0"/>
                    <w:snapToGrid w:val="0"/>
                    <w:jc w:val="center"/>
                    <w:rPr>
                      <w:bCs/>
                      <w:color w:val="auto"/>
                      <w:szCs w:val="21"/>
                    </w:rPr>
                  </w:pPr>
                </w:p>
              </w:tc>
              <w:tc>
                <w:tcPr>
                  <w:tcW w:w="645" w:type="dxa"/>
                  <w:vMerge w:val="continue"/>
                  <w:vAlign w:val="center"/>
                </w:tcPr>
                <w:p w14:paraId="328F0BDB">
                  <w:pPr>
                    <w:adjustRightInd w:val="0"/>
                    <w:snapToGrid w:val="0"/>
                    <w:jc w:val="center"/>
                    <w:rPr>
                      <w:color w:val="auto"/>
                      <w:szCs w:val="21"/>
                    </w:rPr>
                  </w:pPr>
                </w:p>
              </w:tc>
              <w:tc>
                <w:tcPr>
                  <w:tcW w:w="1035" w:type="dxa"/>
                  <w:vAlign w:val="center"/>
                </w:tcPr>
                <w:p w14:paraId="7222E009">
                  <w:pPr>
                    <w:adjustRightInd w:val="0"/>
                    <w:snapToGrid w:val="0"/>
                    <w:jc w:val="center"/>
                    <w:rPr>
                      <w:rFonts w:hint="eastAsia"/>
                      <w:color w:val="auto"/>
                      <w:szCs w:val="21"/>
                    </w:rPr>
                  </w:pPr>
                  <w:r>
                    <w:rPr>
                      <w:rFonts w:hint="eastAsia"/>
                      <w:color w:val="auto"/>
                      <w:szCs w:val="21"/>
                    </w:rPr>
                    <w:t>密闭、</w:t>
                  </w:r>
                  <w:r>
                    <w:rPr>
                      <w:rFonts w:hint="eastAsia"/>
                      <w:color w:val="auto"/>
                      <w:szCs w:val="21"/>
                      <w:lang w:val="en-US" w:eastAsia="zh-CN"/>
                    </w:rPr>
                    <w:t>袋装</w:t>
                  </w:r>
                </w:p>
              </w:tc>
              <w:tc>
                <w:tcPr>
                  <w:tcW w:w="675" w:type="dxa"/>
                  <w:vAlign w:val="center"/>
                </w:tcPr>
                <w:p w14:paraId="5CF05909">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0.25t</w:t>
                  </w:r>
                </w:p>
              </w:tc>
              <w:tc>
                <w:tcPr>
                  <w:tcW w:w="854" w:type="dxa"/>
                  <w:vAlign w:val="center"/>
                </w:tcPr>
                <w:p w14:paraId="6CAE845E">
                  <w:pPr>
                    <w:adjustRightInd w:val="0"/>
                    <w:snapToGrid w:val="0"/>
                    <w:jc w:val="center"/>
                    <w:rPr>
                      <w:rFonts w:hint="default"/>
                      <w:color w:val="auto"/>
                      <w:szCs w:val="21"/>
                      <w:lang w:val="en-US" w:eastAsia="zh-CN"/>
                    </w:rPr>
                  </w:pPr>
                  <w:r>
                    <w:rPr>
                      <w:rFonts w:hint="eastAsia"/>
                      <w:color w:val="auto"/>
                      <w:szCs w:val="21"/>
                      <w:lang w:val="en-US" w:eastAsia="zh-CN"/>
                    </w:rPr>
                    <w:t>1个月</w:t>
                  </w:r>
                </w:p>
              </w:tc>
            </w:tr>
            <w:tr w14:paraId="3317E4AF">
              <w:tblPrEx>
                <w:tblBorders>
                  <w:top w:val="single" w:color="auto" w:sz="12" w:space="0"/>
                  <w:left w:val="none" w:color="auto" w:sz="0" w:space="0"/>
                  <w:bottom w:val="single" w:color="auto" w:sz="12" w:space="0"/>
                  <w:right w:val="none" w:color="auto" w:sz="0" w:space="0"/>
                  <w:insideH w:val="single" w:color="auto" w:sz="4" w:space="0"/>
                  <w:insideV w:val="single" w:color="000000" w:sz="4" w:space="0"/>
                </w:tblBorders>
                <w:tblCellMar>
                  <w:top w:w="0" w:type="dxa"/>
                  <w:left w:w="28" w:type="dxa"/>
                  <w:bottom w:w="0" w:type="dxa"/>
                  <w:right w:w="28" w:type="dxa"/>
                </w:tblCellMar>
              </w:tblPrEx>
              <w:trPr>
                <w:trHeight w:val="340" w:hRule="atLeast"/>
                <w:jc w:val="center"/>
              </w:trPr>
              <w:tc>
                <w:tcPr>
                  <w:tcW w:w="737" w:type="dxa"/>
                  <w:vMerge w:val="continue"/>
                  <w:vAlign w:val="center"/>
                </w:tcPr>
                <w:p w14:paraId="7F591BEB">
                  <w:pPr>
                    <w:jc w:val="center"/>
                    <w:rPr>
                      <w:color w:val="auto"/>
                      <w:szCs w:val="21"/>
                    </w:rPr>
                  </w:pPr>
                </w:p>
              </w:tc>
              <w:tc>
                <w:tcPr>
                  <w:tcW w:w="1361" w:type="dxa"/>
                  <w:shd w:val="clear" w:color="auto" w:fill="auto"/>
                  <w:vAlign w:val="center"/>
                </w:tcPr>
                <w:p w14:paraId="1124733D">
                  <w:pPr>
                    <w:pStyle w:val="107"/>
                    <w:spacing w:line="240" w:lineRule="auto"/>
                    <w:ind w:firstLine="0" w:firstLineChars="0"/>
                    <w:jc w:val="center"/>
                    <w:rPr>
                      <w:rFonts w:hint="eastAsia" w:cs="Times New Roman"/>
                      <w:color w:val="auto"/>
                      <w:kern w:val="24"/>
                      <w:sz w:val="21"/>
                      <w:szCs w:val="21"/>
                      <w:lang w:val="en-US" w:eastAsia="zh-CN" w:bidi="ar-SA"/>
                    </w:rPr>
                  </w:pPr>
                  <w:r>
                    <w:rPr>
                      <w:rFonts w:hint="eastAsia" w:cs="Times New Roman"/>
                      <w:color w:val="auto"/>
                      <w:kern w:val="24"/>
                      <w:sz w:val="21"/>
                      <w:szCs w:val="21"/>
                      <w:lang w:val="en-US" w:eastAsia="zh-CN" w:bidi="ar-SA"/>
                    </w:rPr>
                    <w:t>废活性炭（废气处理）</w:t>
                  </w:r>
                </w:p>
              </w:tc>
              <w:tc>
                <w:tcPr>
                  <w:tcW w:w="736" w:type="dxa"/>
                  <w:shd w:val="clear" w:color="auto" w:fill="auto"/>
                  <w:vAlign w:val="center"/>
                </w:tcPr>
                <w:p w14:paraId="4EF4E40B">
                  <w:pPr>
                    <w:tabs>
                      <w:tab w:val="center" w:pos="4153"/>
                      <w:tab w:val="right" w:pos="8306"/>
                    </w:tabs>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HW49</w:t>
                  </w:r>
                </w:p>
              </w:tc>
              <w:tc>
                <w:tcPr>
                  <w:tcW w:w="1076" w:type="dxa"/>
                  <w:shd w:val="clear" w:color="auto" w:fill="auto"/>
                  <w:vAlign w:val="center"/>
                </w:tcPr>
                <w:p w14:paraId="2AE08FC2">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900-</w:t>
                  </w:r>
                  <w:r>
                    <w:rPr>
                      <w:rFonts w:hint="eastAsia"/>
                      <w:color w:val="auto"/>
                      <w:szCs w:val="21"/>
                      <w:lang w:val="en-US" w:eastAsia="zh-CN"/>
                    </w:rPr>
                    <w:t>041-49</w:t>
                  </w:r>
                </w:p>
              </w:tc>
              <w:tc>
                <w:tcPr>
                  <w:tcW w:w="1116" w:type="dxa"/>
                  <w:vMerge w:val="continue"/>
                  <w:vAlign w:val="center"/>
                </w:tcPr>
                <w:p w14:paraId="0533EEBC">
                  <w:pPr>
                    <w:adjustRightInd w:val="0"/>
                    <w:snapToGrid w:val="0"/>
                    <w:jc w:val="center"/>
                    <w:rPr>
                      <w:bCs/>
                      <w:color w:val="auto"/>
                      <w:szCs w:val="21"/>
                    </w:rPr>
                  </w:pPr>
                </w:p>
              </w:tc>
              <w:tc>
                <w:tcPr>
                  <w:tcW w:w="645" w:type="dxa"/>
                  <w:vMerge w:val="continue"/>
                  <w:vAlign w:val="center"/>
                </w:tcPr>
                <w:p w14:paraId="1C5F1F6D">
                  <w:pPr>
                    <w:adjustRightInd w:val="0"/>
                    <w:snapToGrid w:val="0"/>
                    <w:jc w:val="center"/>
                    <w:rPr>
                      <w:color w:val="auto"/>
                      <w:szCs w:val="21"/>
                    </w:rPr>
                  </w:pPr>
                </w:p>
              </w:tc>
              <w:tc>
                <w:tcPr>
                  <w:tcW w:w="1035" w:type="dxa"/>
                  <w:shd w:val="clear" w:color="auto" w:fill="auto"/>
                  <w:vAlign w:val="center"/>
                </w:tcPr>
                <w:p w14:paraId="5FC72D41">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密闭、</w:t>
                  </w:r>
                  <w:r>
                    <w:rPr>
                      <w:rFonts w:hint="eastAsia"/>
                      <w:color w:val="auto"/>
                      <w:szCs w:val="21"/>
                      <w:lang w:val="en-US" w:eastAsia="zh-CN"/>
                    </w:rPr>
                    <w:t>袋装</w:t>
                  </w:r>
                </w:p>
              </w:tc>
              <w:tc>
                <w:tcPr>
                  <w:tcW w:w="675" w:type="dxa"/>
                  <w:shd w:val="clear" w:color="auto" w:fill="auto"/>
                  <w:vAlign w:val="center"/>
                </w:tcPr>
                <w:p w14:paraId="73400FD2">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0.385t</w:t>
                  </w:r>
                </w:p>
              </w:tc>
              <w:tc>
                <w:tcPr>
                  <w:tcW w:w="854" w:type="dxa"/>
                  <w:vAlign w:val="center"/>
                </w:tcPr>
                <w:p w14:paraId="0D17F82F">
                  <w:pPr>
                    <w:adjustRightInd w:val="0"/>
                    <w:snapToGrid w:val="0"/>
                    <w:jc w:val="center"/>
                    <w:rPr>
                      <w:rFonts w:hint="default"/>
                      <w:color w:val="auto"/>
                      <w:szCs w:val="21"/>
                      <w:lang w:val="en-US" w:eastAsia="zh-CN"/>
                    </w:rPr>
                  </w:pPr>
                  <w:r>
                    <w:rPr>
                      <w:rFonts w:hint="eastAsia"/>
                      <w:color w:val="auto"/>
                      <w:szCs w:val="21"/>
                      <w:lang w:val="en-US" w:eastAsia="zh-CN"/>
                    </w:rPr>
                    <w:t>半年</w:t>
                  </w:r>
                </w:p>
              </w:tc>
            </w:tr>
            <w:tr w14:paraId="49A77F7C">
              <w:tblPrEx>
                <w:tblBorders>
                  <w:top w:val="single" w:color="auto" w:sz="12" w:space="0"/>
                  <w:left w:val="none" w:color="auto" w:sz="0" w:space="0"/>
                  <w:bottom w:val="single" w:color="auto" w:sz="12" w:space="0"/>
                  <w:right w:val="none" w:color="auto" w:sz="0" w:space="0"/>
                  <w:insideH w:val="single" w:color="auto" w:sz="4" w:space="0"/>
                  <w:insideV w:val="single" w:color="000000" w:sz="4" w:space="0"/>
                </w:tblBorders>
                <w:tblCellMar>
                  <w:top w:w="0" w:type="dxa"/>
                  <w:left w:w="28" w:type="dxa"/>
                  <w:bottom w:w="0" w:type="dxa"/>
                  <w:right w:w="28" w:type="dxa"/>
                </w:tblCellMar>
              </w:tblPrEx>
              <w:trPr>
                <w:trHeight w:val="340" w:hRule="atLeast"/>
                <w:jc w:val="center"/>
              </w:trPr>
              <w:tc>
                <w:tcPr>
                  <w:tcW w:w="737" w:type="dxa"/>
                  <w:vMerge w:val="continue"/>
                  <w:vAlign w:val="center"/>
                </w:tcPr>
                <w:p w14:paraId="2FB5BB15">
                  <w:pPr>
                    <w:jc w:val="center"/>
                    <w:rPr>
                      <w:color w:val="auto"/>
                      <w:szCs w:val="21"/>
                    </w:rPr>
                  </w:pPr>
                </w:p>
              </w:tc>
              <w:tc>
                <w:tcPr>
                  <w:tcW w:w="1361" w:type="dxa"/>
                  <w:vAlign w:val="center"/>
                </w:tcPr>
                <w:p w14:paraId="76446D9C">
                  <w:pPr>
                    <w:pStyle w:val="107"/>
                    <w:spacing w:line="240" w:lineRule="auto"/>
                    <w:ind w:firstLine="0" w:firstLineChars="0"/>
                    <w:jc w:val="center"/>
                    <w:rPr>
                      <w:rFonts w:hint="default" w:eastAsia="宋体"/>
                      <w:color w:val="auto"/>
                      <w:szCs w:val="21"/>
                      <w:lang w:val="en-US" w:eastAsia="zh-CN"/>
                    </w:rPr>
                  </w:pPr>
                  <w:r>
                    <w:rPr>
                      <w:rFonts w:hint="eastAsia"/>
                      <w:color w:val="auto"/>
                      <w:sz w:val="21"/>
                      <w:szCs w:val="21"/>
                      <w:lang w:val="en-US" w:eastAsia="zh-CN"/>
                    </w:rPr>
                    <w:t>空酸桶*</w:t>
                  </w:r>
                </w:p>
              </w:tc>
              <w:tc>
                <w:tcPr>
                  <w:tcW w:w="736" w:type="dxa"/>
                  <w:shd w:val="clear" w:color="auto" w:fill="auto"/>
                  <w:vAlign w:val="center"/>
                </w:tcPr>
                <w:p w14:paraId="3A2DF53B">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HW49</w:t>
                  </w:r>
                </w:p>
              </w:tc>
              <w:tc>
                <w:tcPr>
                  <w:tcW w:w="1076" w:type="dxa"/>
                  <w:shd w:val="clear" w:color="auto" w:fill="auto"/>
                  <w:vAlign w:val="center"/>
                </w:tcPr>
                <w:p w14:paraId="1025A025">
                  <w:pPr>
                    <w:widowControl/>
                    <w:jc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bidi="ar"/>
                    </w:rPr>
                    <w:t>900-0</w:t>
                  </w:r>
                  <w:r>
                    <w:rPr>
                      <w:rFonts w:hint="eastAsia"/>
                      <w:color w:val="auto"/>
                      <w:kern w:val="0"/>
                      <w:szCs w:val="21"/>
                      <w:lang w:val="en-US" w:eastAsia="zh-CN" w:bidi="ar"/>
                    </w:rPr>
                    <w:t>41</w:t>
                  </w:r>
                  <w:r>
                    <w:rPr>
                      <w:rFonts w:hint="eastAsia"/>
                      <w:color w:val="auto"/>
                      <w:kern w:val="0"/>
                      <w:szCs w:val="21"/>
                      <w:lang w:bidi="ar"/>
                    </w:rPr>
                    <w:t>-49</w:t>
                  </w:r>
                </w:p>
              </w:tc>
              <w:tc>
                <w:tcPr>
                  <w:tcW w:w="1116" w:type="dxa"/>
                  <w:vMerge w:val="continue"/>
                  <w:vAlign w:val="center"/>
                </w:tcPr>
                <w:p w14:paraId="0E7D5867">
                  <w:pPr>
                    <w:adjustRightInd w:val="0"/>
                    <w:snapToGrid w:val="0"/>
                    <w:jc w:val="center"/>
                    <w:rPr>
                      <w:bCs/>
                      <w:color w:val="auto"/>
                      <w:szCs w:val="21"/>
                    </w:rPr>
                  </w:pPr>
                </w:p>
              </w:tc>
              <w:tc>
                <w:tcPr>
                  <w:tcW w:w="645" w:type="dxa"/>
                  <w:vMerge w:val="continue"/>
                  <w:vAlign w:val="center"/>
                </w:tcPr>
                <w:p w14:paraId="79B51A4B">
                  <w:pPr>
                    <w:adjustRightInd w:val="0"/>
                    <w:snapToGrid w:val="0"/>
                    <w:jc w:val="center"/>
                    <w:rPr>
                      <w:color w:val="auto"/>
                      <w:szCs w:val="21"/>
                    </w:rPr>
                  </w:pPr>
                </w:p>
              </w:tc>
              <w:tc>
                <w:tcPr>
                  <w:tcW w:w="1035" w:type="dxa"/>
                  <w:vAlign w:val="center"/>
                </w:tcPr>
                <w:p w14:paraId="33BE95E6">
                  <w:pPr>
                    <w:adjustRightInd w:val="0"/>
                    <w:snapToGrid w:val="0"/>
                    <w:jc w:val="center"/>
                    <w:rPr>
                      <w:color w:val="auto"/>
                      <w:szCs w:val="21"/>
                    </w:rPr>
                  </w:pPr>
                  <w:r>
                    <w:rPr>
                      <w:rFonts w:hint="eastAsia"/>
                      <w:color w:val="auto"/>
                      <w:szCs w:val="21"/>
                      <w:lang w:val="en-US" w:eastAsia="zh-CN"/>
                    </w:rPr>
                    <w:t>加盖密闭</w:t>
                  </w:r>
                </w:p>
              </w:tc>
              <w:tc>
                <w:tcPr>
                  <w:tcW w:w="675" w:type="dxa"/>
                  <w:vAlign w:val="center"/>
                </w:tcPr>
                <w:p w14:paraId="31896CB3">
                  <w:pPr>
                    <w:widowControl/>
                    <w:adjustRightInd w:val="0"/>
                    <w:snapToGrid w:val="0"/>
                    <w:jc w:val="center"/>
                    <w:textAlignment w:val="center"/>
                    <w:rPr>
                      <w:rFonts w:hint="default" w:eastAsia="宋体"/>
                      <w:color w:val="auto"/>
                      <w:szCs w:val="21"/>
                      <w:lang w:val="en-US" w:eastAsia="zh-CN"/>
                    </w:rPr>
                  </w:pPr>
                  <w:r>
                    <w:rPr>
                      <w:rFonts w:hint="eastAsia"/>
                      <w:color w:val="auto"/>
                      <w:szCs w:val="21"/>
                      <w:lang w:val="en-US" w:eastAsia="zh-CN"/>
                    </w:rPr>
                    <w:t>0.025t</w:t>
                  </w:r>
                </w:p>
              </w:tc>
              <w:tc>
                <w:tcPr>
                  <w:tcW w:w="854" w:type="dxa"/>
                  <w:vAlign w:val="center"/>
                </w:tcPr>
                <w:p w14:paraId="001BE832">
                  <w:pPr>
                    <w:adjustRightInd w:val="0"/>
                    <w:snapToGrid w:val="0"/>
                    <w:jc w:val="center"/>
                    <w:rPr>
                      <w:rFonts w:hint="default" w:eastAsia="宋体"/>
                      <w:color w:val="auto"/>
                      <w:szCs w:val="21"/>
                      <w:lang w:val="en-US" w:eastAsia="zh-CN"/>
                    </w:rPr>
                  </w:pPr>
                  <w:r>
                    <w:rPr>
                      <w:rFonts w:hint="eastAsia"/>
                      <w:color w:val="auto"/>
                      <w:szCs w:val="21"/>
                      <w:lang w:val="en-US" w:eastAsia="zh-CN"/>
                    </w:rPr>
                    <w:t>3个月</w:t>
                  </w:r>
                </w:p>
              </w:tc>
            </w:tr>
            <w:tr w14:paraId="42A50051">
              <w:tblPrEx>
                <w:tblBorders>
                  <w:top w:val="single" w:color="auto" w:sz="12" w:space="0"/>
                  <w:left w:val="none" w:color="auto" w:sz="0" w:space="0"/>
                  <w:bottom w:val="single" w:color="auto" w:sz="12" w:space="0"/>
                  <w:right w:val="none" w:color="auto" w:sz="0" w:space="0"/>
                  <w:insideH w:val="single" w:color="auto" w:sz="4" w:space="0"/>
                  <w:insideV w:val="single" w:color="000000" w:sz="4" w:space="0"/>
                </w:tblBorders>
                <w:tblCellMar>
                  <w:top w:w="0" w:type="dxa"/>
                  <w:left w:w="28" w:type="dxa"/>
                  <w:bottom w:w="0" w:type="dxa"/>
                  <w:right w:w="28" w:type="dxa"/>
                </w:tblCellMar>
              </w:tblPrEx>
              <w:trPr>
                <w:trHeight w:val="340" w:hRule="atLeast"/>
                <w:jc w:val="center"/>
              </w:trPr>
              <w:tc>
                <w:tcPr>
                  <w:tcW w:w="8235" w:type="dxa"/>
                  <w:gridSpan w:val="9"/>
                  <w:vAlign w:val="center"/>
                </w:tcPr>
                <w:p w14:paraId="65B77650">
                  <w:pPr>
                    <w:adjustRightInd w:val="0"/>
                    <w:snapToGrid w:val="0"/>
                    <w:jc w:val="both"/>
                    <w:rPr>
                      <w:color w:val="auto"/>
                      <w:szCs w:val="21"/>
                    </w:rPr>
                  </w:pPr>
                  <w:r>
                    <w:rPr>
                      <w:rFonts w:hint="eastAsia"/>
                      <w:color w:val="auto"/>
                      <w:szCs w:val="21"/>
                      <w:lang w:val="en-US" w:eastAsia="zh-CN"/>
                    </w:rPr>
                    <w:t>*注：</w:t>
                  </w:r>
                  <w:r>
                    <w:rPr>
                      <w:rFonts w:hint="eastAsia"/>
                      <w:color w:val="auto"/>
                      <w:lang w:val="en-US" w:eastAsia="zh-CN"/>
                    </w:rPr>
                    <w:t>空酸桶未被供货商回收前，需要在厂区进行暂存，按照危废管理要求进行暂存。</w:t>
                  </w:r>
                </w:p>
              </w:tc>
            </w:tr>
          </w:tbl>
          <w:p w14:paraId="39D2902A">
            <w:pPr>
              <w:keepNext w:val="0"/>
              <w:keepLines w:val="0"/>
              <w:pageBreakBefore w:val="0"/>
              <w:widowControl w:val="0"/>
              <w:kinsoku/>
              <w:wordWrap/>
              <w:overflowPunct/>
              <w:topLinePunct w:val="0"/>
              <w:autoSpaceDE/>
              <w:autoSpaceDN/>
              <w:bidi w:val="0"/>
              <w:adjustRightInd/>
              <w:snapToGrid w:val="0"/>
              <w:spacing w:before="148" w:beforeLines="50" w:line="360" w:lineRule="auto"/>
              <w:ind w:firstLine="420" w:firstLineChars="200"/>
              <w:textAlignment w:val="auto"/>
              <w:rPr>
                <w:color w:val="auto"/>
                <w:szCs w:val="21"/>
              </w:rPr>
            </w:pPr>
            <w:r>
              <w:rPr>
                <w:rFonts w:hint="eastAsia"/>
                <w:color w:val="auto"/>
                <w:szCs w:val="21"/>
              </w:rPr>
              <w:t>项目危险废物分类单独存放于厂区</w:t>
            </w:r>
            <w:r>
              <w:rPr>
                <w:color w:val="auto"/>
                <w:szCs w:val="21"/>
              </w:rPr>
              <w:t>危废暂存区</w:t>
            </w:r>
            <w:r>
              <w:rPr>
                <w:rFonts w:hint="eastAsia"/>
                <w:color w:val="auto"/>
                <w:szCs w:val="21"/>
              </w:rPr>
              <w:t>内，危废库贮存可行性分析如下。</w:t>
            </w:r>
          </w:p>
          <w:p w14:paraId="5DF1747F">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color w:val="auto"/>
                <w:szCs w:val="21"/>
              </w:rPr>
            </w:pPr>
            <w:r>
              <w:rPr>
                <w:rFonts w:hint="eastAsia"/>
                <w:color w:val="auto"/>
                <w:szCs w:val="21"/>
                <w:lang w:val="en-US" w:eastAsia="zh-CN"/>
              </w:rPr>
              <w:t>废油墨桶</w:t>
            </w:r>
            <w:r>
              <w:rPr>
                <w:rFonts w:hint="eastAsia"/>
                <w:color w:val="auto"/>
                <w:szCs w:val="21"/>
              </w:rPr>
              <w:t>：</w:t>
            </w:r>
            <w:r>
              <w:rPr>
                <w:rFonts w:hint="eastAsia"/>
                <w:color w:val="auto"/>
                <w:szCs w:val="21"/>
                <w:lang w:val="en-US" w:eastAsia="zh-CN"/>
              </w:rPr>
              <w:t>废油墨</w:t>
            </w:r>
            <w:r>
              <w:rPr>
                <w:rFonts w:hint="eastAsia"/>
                <w:color w:val="auto"/>
                <w:szCs w:val="21"/>
              </w:rPr>
              <w:t>桶年产生量</w:t>
            </w:r>
            <w:r>
              <w:rPr>
                <w:rFonts w:hint="eastAsia"/>
                <w:color w:val="auto"/>
                <w:szCs w:val="21"/>
                <w:lang w:val="en-US" w:eastAsia="zh-CN"/>
              </w:rPr>
              <w:t>40</w:t>
            </w:r>
            <w:r>
              <w:rPr>
                <w:rFonts w:hint="eastAsia"/>
                <w:color w:val="auto"/>
                <w:szCs w:val="21"/>
              </w:rPr>
              <w:t>个，共</w:t>
            </w:r>
            <w:r>
              <w:rPr>
                <w:rFonts w:hint="eastAsia"/>
                <w:color w:val="auto"/>
                <w:szCs w:val="21"/>
                <w:lang w:val="en-US" w:eastAsia="zh-CN"/>
              </w:rPr>
              <w:t>0.08</w:t>
            </w:r>
            <w:r>
              <w:rPr>
                <w:rFonts w:hint="eastAsia"/>
                <w:color w:val="auto"/>
                <w:szCs w:val="21"/>
              </w:rPr>
              <w:t>t，</w:t>
            </w:r>
            <w:r>
              <w:rPr>
                <w:rFonts w:hint="eastAsia" w:ascii="Times New Roman" w:hAnsi="Times New Roman" w:eastAsia="宋体" w:cs="Times New Roman"/>
                <w:b w:val="0"/>
                <w:bCs w:val="0"/>
                <w:color w:val="auto"/>
                <w:kern w:val="2"/>
                <w:sz w:val="21"/>
                <w:szCs w:val="21"/>
                <w:lang w:val="en-US" w:eastAsia="zh-CN" w:bidi="ar-SA"/>
              </w:rPr>
              <w:t>贮存周期1个半月</w:t>
            </w:r>
            <w:r>
              <w:rPr>
                <w:rFonts w:hint="eastAsia"/>
                <w:color w:val="auto"/>
                <w:szCs w:val="21"/>
                <w:lang w:val="en-US" w:eastAsia="zh-CN"/>
              </w:rPr>
              <w:t>，</w:t>
            </w:r>
            <w:r>
              <w:rPr>
                <w:rFonts w:hint="eastAsia"/>
                <w:color w:val="auto"/>
                <w:szCs w:val="21"/>
              </w:rPr>
              <w:t>最大贮存量约为</w:t>
            </w:r>
            <w:r>
              <w:rPr>
                <w:rFonts w:hint="eastAsia"/>
                <w:color w:val="auto"/>
                <w:szCs w:val="21"/>
                <w:lang w:val="en-US" w:eastAsia="zh-CN"/>
              </w:rPr>
              <w:t>0.01</w:t>
            </w:r>
            <w:r>
              <w:rPr>
                <w:rFonts w:hint="eastAsia"/>
                <w:color w:val="auto"/>
                <w:szCs w:val="21"/>
              </w:rPr>
              <w:t>t，</w:t>
            </w:r>
            <w:r>
              <w:rPr>
                <w:rFonts w:hint="eastAsia"/>
                <w:color w:val="auto"/>
                <w:szCs w:val="21"/>
                <w:lang w:val="en-US" w:eastAsia="zh-CN"/>
              </w:rPr>
              <w:t>5</w:t>
            </w:r>
            <w:r>
              <w:rPr>
                <w:rFonts w:hint="eastAsia"/>
                <w:color w:val="auto"/>
                <w:szCs w:val="21"/>
              </w:rPr>
              <w:t>个空桶</w:t>
            </w:r>
            <w:r>
              <w:rPr>
                <w:rFonts w:hint="eastAsia"/>
                <w:color w:val="auto"/>
                <w:szCs w:val="21"/>
                <w:lang w:eastAsia="zh-CN"/>
              </w:rPr>
              <w:t>，</w:t>
            </w:r>
            <w:r>
              <w:rPr>
                <w:rFonts w:hint="eastAsia"/>
                <w:color w:val="auto"/>
                <w:szCs w:val="21"/>
                <w:lang w:val="en-US" w:eastAsia="zh-CN"/>
              </w:rPr>
              <w:t>拟加盖密闭贮存</w:t>
            </w:r>
            <w:r>
              <w:rPr>
                <w:rFonts w:hint="eastAsia"/>
                <w:color w:val="auto"/>
                <w:szCs w:val="21"/>
              </w:rPr>
              <w:t>。包装桶可堆积至2层，单个</w:t>
            </w:r>
            <w:r>
              <w:rPr>
                <w:rFonts w:hint="eastAsia"/>
                <w:color w:val="auto"/>
                <w:szCs w:val="21"/>
                <w:lang w:val="en-US" w:eastAsia="zh-CN"/>
              </w:rPr>
              <w:t>废油墨</w:t>
            </w:r>
            <w:r>
              <w:rPr>
                <w:rFonts w:hint="eastAsia"/>
                <w:color w:val="auto"/>
                <w:szCs w:val="21"/>
              </w:rPr>
              <w:t>桶占地面积1m</w:t>
            </w:r>
            <w:r>
              <w:rPr>
                <w:rFonts w:hint="eastAsia"/>
                <w:color w:val="auto"/>
                <w:szCs w:val="21"/>
                <w:vertAlign w:val="superscript"/>
              </w:rPr>
              <w:t>2</w:t>
            </w:r>
            <w:r>
              <w:rPr>
                <w:rFonts w:hint="eastAsia"/>
                <w:color w:val="auto"/>
                <w:szCs w:val="21"/>
              </w:rPr>
              <w:t>，则</w:t>
            </w:r>
            <w:r>
              <w:rPr>
                <w:rFonts w:hint="eastAsia"/>
                <w:color w:val="auto"/>
                <w:szCs w:val="21"/>
                <w:lang w:val="en-US" w:eastAsia="zh-CN"/>
              </w:rPr>
              <w:t>废油墨桶</w:t>
            </w:r>
            <w:r>
              <w:rPr>
                <w:rFonts w:hint="eastAsia"/>
                <w:color w:val="auto"/>
                <w:szCs w:val="21"/>
              </w:rPr>
              <w:t>共占地</w:t>
            </w:r>
            <w:r>
              <w:rPr>
                <w:rFonts w:hint="eastAsia"/>
                <w:color w:val="auto"/>
                <w:szCs w:val="21"/>
                <w:lang w:val="en-US" w:eastAsia="zh-CN"/>
              </w:rPr>
              <w:t>3</w:t>
            </w:r>
            <w:r>
              <w:rPr>
                <w:rFonts w:hint="eastAsia"/>
                <w:color w:val="auto"/>
                <w:szCs w:val="21"/>
              </w:rPr>
              <w:t>m</w:t>
            </w:r>
            <w:r>
              <w:rPr>
                <w:rFonts w:hint="eastAsia"/>
                <w:color w:val="auto"/>
                <w:szCs w:val="21"/>
                <w:vertAlign w:val="superscript"/>
              </w:rPr>
              <w:t>2</w:t>
            </w:r>
            <w:r>
              <w:rPr>
                <w:rFonts w:hint="eastAsia"/>
                <w:color w:val="auto"/>
                <w:szCs w:val="21"/>
                <w:lang w:eastAsia="zh-CN"/>
              </w:rPr>
              <w:t>。</w:t>
            </w:r>
          </w:p>
          <w:p w14:paraId="130F12CB">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color w:val="auto"/>
                <w:sz w:val="21"/>
                <w:szCs w:val="21"/>
                <w:lang w:val="en-US" w:eastAsia="zh-CN" w:bidi="ar"/>
              </w:rPr>
            </w:pPr>
            <w:r>
              <w:rPr>
                <w:rFonts w:hint="eastAsia"/>
                <w:color w:val="auto"/>
                <w:szCs w:val="21"/>
                <w:lang w:val="en-US" w:eastAsia="zh-CN"/>
              </w:rPr>
              <w:t>废抹布、手套</w:t>
            </w:r>
            <w:r>
              <w:rPr>
                <w:rFonts w:hint="eastAsia"/>
                <w:color w:val="auto"/>
                <w:szCs w:val="21"/>
              </w:rPr>
              <w:t>：</w:t>
            </w:r>
            <w:r>
              <w:rPr>
                <w:rFonts w:hint="eastAsia"/>
                <w:color w:val="auto"/>
                <w:sz w:val="21"/>
                <w:szCs w:val="21"/>
                <w:lang w:val="en-US" w:eastAsia="zh-CN" w:bidi="ar"/>
              </w:rPr>
              <w:t>年产生量约为0.002t，每年清理一次，贮存量0.002t。拟采用密封袋密封贮存，占地面积约为0.5m</w:t>
            </w:r>
            <w:r>
              <w:rPr>
                <w:rFonts w:hint="eastAsia"/>
                <w:color w:val="auto"/>
                <w:sz w:val="21"/>
                <w:szCs w:val="21"/>
                <w:vertAlign w:val="superscript"/>
                <w:lang w:val="en-US" w:eastAsia="zh-CN" w:bidi="ar"/>
              </w:rPr>
              <w:t>2</w:t>
            </w:r>
            <w:r>
              <w:rPr>
                <w:rFonts w:hint="eastAsia"/>
                <w:color w:val="auto"/>
                <w:sz w:val="21"/>
                <w:szCs w:val="21"/>
                <w:lang w:val="en-US" w:eastAsia="zh-CN" w:bidi="ar"/>
              </w:rPr>
              <w:t>。</w:t>
            </w:r>
          </w:p>
          <w:p w14:paraId="122FA2B4">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default" w:eastAsia="宋体"/>
                <w:color w:val="auto"/>
                <w:sz w:val="21"/>
                <w:szCs w:val="21"/>
                <w:lang w:val="en-US" w:eastAsia="zh-CN" w:bidi="ar"/>
              </w:rPr>
            </w:pPr>
            <w:r>
              <w:rPr>
                <w:rFonts w:hint="eastAsia"/>
                <w:color w:val="auto"/>
                <w:sz w:val="21"/>
                <w:szCs w:val="21"/>
                <w:lang w:val="en-US" w:eastAsia="zh-CN" w:bidi="ar"/>
              </w:rPr>
              <w:t>废石英砂：每三年更换一次，产生量约为0.5t，</w:t>
            </w:r>
            <w:r>
              <w:rPr>
                <w:rFonts w:hint="eastAsia" w:ascii="Times New Roman" w:hAnsi="Times New Roman" w:eastAsia="宋体" w:cs="Times New Roman"/>
                <w:b w:val="0"/>
                <w:bCs w:val="0"/>
                <w:color w:val="auto"/>
                <w:kern w:val="2"/>
                <w:sz w:val="21"/>
                <w:szCs w:val="21"/>
                <w:lang w:val="en-US" w:eastAsia="zh-CN" w:bidi="ar-SA"/>
              </w:rPr>
              <w:t>贮存周期1个月</w:t>
            </w:r>
            <w:r>
              <w:rPr>
                <w:rFonts w:hint="eastAsia"/>
                <w:color w:val="auto"/>
                <w:szCs w:val="21"/>
                <w:lang w:val="en-US" w:eastAsia="zh-CN"/>
              </w:rPr>
              <w:t>，</w:t>
            </w:r>
            <w:r>
              <w:rPr>
                <w:rFonts w:hint="eastAsia"/>
                <w:color w:val="auto"/>
                <w:szCs w:val="21"/>
              </w:rPr>
              <w:t>最大贮存量约为</w:t>
            </w:r>
            <w:r>
              <w:rPr>
                <w:rFonts w:hint="eastAsia"/>
                <w:color w:val="auto"/>
                <w:szCs w:val="21"/>
                <w:lang w:val="en-US" w:eastAsia="zh-CN"/>
              </w:rPr>
              <w:t>0.5</w:t>
            </w:r>
            <w:r>
              <w:rPr>
                <w:rFonts w:hint="eastAsia"/>
                <w:color w:val="auto"/>
                <w:szCs w:val="21"/>
              </w:rPr>
              <w:t>t</w:t>
            </w:r>
            <w:r>
              <w:rPr>
                <w:rFonts w:hint="eastAsia"/>
                <w:color w:val="auto"/>
                <w:szCs w:val="21"/>
                <w:lang w:eastAsia="zh-CN"/>
              </w:rPr>
              <w:t>，</w:t>
            </w:r>
            <w:r>
              <w:rPr>
                <w:rFonts w:hint="eastAsia"/>
                <w:color w:val="auto"/>
                <w:szCs w:val="21"/>
                <w:lang w:val="en-US" w:eastAsia="zh-CN"/>
              </w:rPr>
              <w:t>拟采用吨袋贮存</w:t>
            </w:r>
            <w:r>
              <w:rPr>
                <w:rFonts w:hint="eastAsia"/>
                <w:color w:val="auto"/>
                <w:sz w:val="21"/>
                <w:szCs w:val="21"/>
              </w:rPr>
              <w:t>，</w:t>
            </w:r>
            <w:r>
              <w:rPr>
                <w:rFonts w:hint="default" w:ascii="Times New Roman" w:hAnsi="Times New Roman" w:cs="Times New Roman"/>
                <w:b w:val="0"/>
                <w:bCs w:val="0"/>
                <w:color w:val="auto"/>
                <w:sz w:val="21"/>
                <w:szCs w:val="21"/>
                <w:highlight w:val="none"/>
              </w:rPr>
              <w:t>每个吨</w:t>
            </w:r>
            <w:r>
              <w:rPr>
                <w:rFonts w:hint="eastAsia" w:ascii="Times New Roman" w:hAnsi="Times New Roman" w:cs="Times New Roman"/>
                <w:b w:val="0"/>
                <w:bCs w:val="0"/>
                <w:color w:val="auto"/>
                <w:sz w:val="21"/>
                <w:szCs w:val="21"/>
                <w:highlight w:val="none"/>
                <w:lang w:val="en-US" w:eastAsia="zh-CN"/>
              </w:rPr>
              <w:t>袋</w:t>
            </w:r>
            <w:r>
              <w:rPr>
                <w:rFonts w:hint="default" w:ascii="Times New Roman" w:hAnsi="Times New Roman" w:cs="Times New Roman"/>
                <w:b w:val="0"/>
                <w:bCs w:val="0"/>
                <w:color w:val="auto"/>
                <w:sz w:val="21"/>
                <w:szCs w:val="21"/>
                <w:highlight w:val="none"/>
              </w:rPr>
              <w:t>占地面积</w:t>
            </w:r>
            <w:r>
              <w:rPr>
                <w:rFonts w:hint="eastAsia" w:ascii="Times New Roman" w:hAnsi="Times New Roman" w:cs="Times New Roman"/>
                <w:b w:val="0"/>
                <w:bCs w:val="0"/>
                <w:color w:val="auto"/>
                <w:sz w:val="21"/>
                <w:szCs w:val="21"/>
                <w:highlight w:val="none"/>
                <w:lang w:val="en-US" w:eastAsia="zh-CN"/>
              </w:rPr>
              <w:t>1</w:t>
            </w:r>
            <w:r>
              <w:rPr>
                <w:rFonts w:hint="default" w:ascii="Times New Roman" w:hAnsi="Times New Roman" w:cs="Times New Roman"/>
                <w:b w:val="0"/>
                <w:bCs w:val="0"/>
                <w:color w:val="auto"/>
                <w:sz w:val="21"/>
                <w:szCs w:val="21"/>
                <w:highlight w:val="none"/>
              </w:rPr>
              <w:t>m</w:t>
            </w:r>
            <w:r>
              <w:rPr>
                <w:rFonts w:hint="default" w:ascii="Times New Roman" w:hAnsi="Times New Roman" w:cs="Times New Roman"/>
                <w:b w:val="0"/>
                <w:bCs w:val="0"/>
                <w:color w:val="auto"/>
                <w:sz w:val="21"/>
                <w:szCs w:val="21"/>
                <w:highlight w:val="none"/>
                <w:vertAlign w:val="superscript"/>
              </w:rPr>
              <w:t>2</w:t>
            </w:r>
            <w:r>
              <w:rPr>
                <w:rFonts w:hint="default" w:ascii="Times New Roman" w:hAnsi="Times New Roman" w:cs="Times New Roman"/>
                <w:b w:val="0"/>
                <w:bCs w:val="0"/>
                <w:color w:val="auto"/>
                <w:sz w:val="21"/>
                <w:szCs w:val="21"/>
                <w:highlight w:val="none"/>
              </w:rPr>
              <w:t>，每次清理需要</w:t>
            </w:r>
            <w:r>
              <w:rPr>
                <w:rFonts w:hint="eastAsia" w:cs="Times New Roman"/>
                <w:b w:val="0"/>
                <w:bCs w:val="0"/>
                <w:color w:val="auto"/>
                <w:sz w:val="21"/>
                <w:szCs w:val="21"/>
                <w:highlight w:val="none"/>
                <w:lang w:val="en-US" w:eastAsia="zh-CN"/>
              </w:rPr>
              <w:t>1</w:t>
            </w:r>
            <w:r>
              <w:rPr>
                <w:rFonts w:hint="default" w:ascii="Times New Roman" w:hAnsi="Times New Roman" w:cs="Times New Roman"/>
                <w:b w:val="0"/>
                <w:bCs w:val="0"/>
                <w:color w:val="auto"/>
                <w:sz w:val="21"/>
                <w:szCs w:val="21"/>
                <w:highlight w:val="none"/>
              </w:rPr>
              <w:t>个吨</w:t>
            </w:r>
            <w:r>
              <w:rPr>
                <w:rFonts w:hint="eastAsia" w:ascii="Times New Roman" w:hAnsi="Times New Roman" w:cs="Times New Roman"/>
                <w:b w:val="0"/>
                <w:bCs w:val="0"/>
                <w:color w:val="auto"/>
                <w:sz w:val="21"/>
                <w:szCs w:val="21"/>
                <w:highlight w:val="none"/>
                <w:lang w:val="en-US" w:eastAsia="zh-CN"/>
              </w:rPr>
              <w:t>袋</w:t>
            </w:r>
            <w:r>
              <w:rPr>
                <w:rFonts w:hint="default" w:ascii="Times New Roman" w:hAnsi="Times New Roman" w:cs="Times New Roman"/>
                <w:b w:val="0"/>
                <w:bCs w:val="0"/>
                <w:color w:val="auto"/>
                <w:sz w:val="21"/>
                <w:szCs w:val="21"/>
                <w:highlight w:val="none"/>
              </w:rPr>
              <w:t>，</w:t>
            </w:r>
            <w:r>
              <w:rPr>
                <w:rFonts w:hint="eastAsia"/>
                <w:color w:val="auto"/>
                <w:sz w:val="21"/>
                <w:szCs w:val="21"/>
              </w:rPr>
              <w:t>最大所需占地面积</w:t>
            </w:r>
            <w:r>
              <w:rPr>
                <w:rFonts w:hint="eastAsia"/>
                <w:color w:val="auto"/>
                <w:sz w:val="21"/>
                <w:szCs w:val="21"/>
                <w:lang w:val="en-US" w:eastAsia="zh-CN"/>
              </w:rPr>
              <w:t>1</w:t>
            </w:r>
            <w:r>
              <w:rPr>
                <w:rFonts w:hint="eastAsia"/>
                <w:color w:val="auto"/>
                <w:sz w:val="21"/>
                <w:szCs w:val="21"/>
              </w:rPr>
              <w:t>m</w:t>
            </w:r>
            <w:r>
              <w:rPr>
                <w:rFonts w:hint="eastAsia"/>
                <w:color w:val="auto"/>
                <w:sz w:val="21"/>
                <w:szCs w:val="21"/>
                <w:vertAlign w:val="superscript"/>
              </w:rPr>
              <w:t>2</w:t>
            </w:r>
            <w:r>
              <w:rPr>
                <w:rFonts w:hint="eastAsia"/>
                <w:color w:val="auto"/>
                <w:sz w:val="21"/>
                <w:szCs w:val="21"/>
              </w:rPr>
              <w:t>。</w:t>
            </w:r>
          </w:p>
          <w:p w14:paraId="775DE3E7">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color w:val="auto"/>
                <w:sz w:val="21"/>
                <w:szCs w:val="21"/>
              </w:rPr>
            </w:pPr>
            <w:r>
              <w:rPr>
                <w:rFonts w:hint="eastAsia"/>
                <w:color w:val="auto"/>
                <w:sz w:val="21"/>
                <w:szCs w:val="21"/>
                <w:lang w:val="en-US" w:eastAsia="zh-CN" w:bidi="ar"/>
              </w:rPr>
              <w:t>废活性炭（废水处理）：每1.5年更换一次，产生量约为0.25t，</w:t>
            </w:r>
            <w:r>
              <w:rPr>
                <w:rFonts w:hint="eastAsia" w:ascii="Times New Roman" w:hAnsi="Times New Roman" w:eastAsia="宋体" w:cs="Times New Roman"/>
                <w:b w:val="0"/>
                <w:bCs w:val="0"/>
                <w:color w:val="auto"/>
                <w:kern w:val="2"/>
                <w:sz w:val="21"/>
                <w:szCs w:val="21"/>
                <w:lang w:val="en-US" w:eastAsia="zh-CN" w:bidi="ar-SA"/>
              </w:rPr>
              <w:t>贮存周期1个月</w:t>
            </w:r>
            <w:r>
              <w:rPr>
                <w:rFonts w:hint="eastAsia"/>
                <w:color w:val="auto"/>
                <w:szCs w:val="21"/>
                <w:lang w:val="en-US" w:eastAsia="zh-CN"/>
              </w:rPr>
              <w:t>，</w:t>
            </w:r>
            <w:r>
              <w:rPr>
                <w:rFonts w:hint="eastAsia"/>
                <w:color w:val="auto"/>
                <w:sz w:val="21"/>
                <w:szCs w:val="21"/>
                <w:highlight w:val="none"/>
                <w:lang w:val="en-US" w:eastAsia="zh-CN"/>
              </w:rPr>
              <w:t>最大</w:t>
            </w:r>
            <w:r>
              <w:rPr>
                <w:rFonts w:hint="eastAsia"/>
                <w:color w:val="auto"/>
                <w:sz w:val="21"/>
                <w:szCs w:val="21"/>
                <w:highlight w:val="none"/>
              </w:rPr>
              <w:t>贮存量</w:t>
            </w:r>
            <w:r>
              <w:rPr>
                <w:rFonts w:hint="eastAsia"/>
                <w:color w:val="auto"/>
                <w:sz w:val="21"/>
                <w:szCs w:val="21"/>
                <w:highlight w:val="none"/>
                <w:lang w:val="en-US" w:eastAsia="zh-CN"/>
              </w:rPr>
              <w:t>0.25</w:t>
            </w:r>
            <w:r>
              <w:rPr>
                <w:rFonts w:hint="eastAsia"/>
                <w:color w:val="auto"/>
                <w:sz w:val="21"/>
                <w:szCs w:val="21"/>
                <w:highlight w:val="none"/>
              </w:rPr>
              <w:t>t。</w:t>
            </w:r>
            <w:r>
              <w:rPr>
                <w:rFonts w:hint="eastAsia"/>
                <w:color w:val="auto"/>
                <w:sz w:val="21"/>
                <w:szCs w:val="21"/>
              </w:rPr>
              <w:t>拟采用</w:t>
            </w:r>
            <w:r>
              <w:rPr>
                <w:rFonts w:hint="eastAsia"/>
                <w:color w:val="auto"/>
                <w:sz w:val="21"/>
                <w:szCs w:val="21"/>
                <w:lang w:val="en-US" w:eastAsia="zh-CN"/>
              </w:rPr>
              <w:t>吨袋</w:t>
            </w:r>
            <w:r>
              <w:rPr>
                <w:rFonts w:hint="eastAsia"/>
                <w:color w:val="auto"/>
                <w:sz w:val="21"/>
                <w:szCs w:val="21"/>
              </w:rPr>
              <w:t>储存，</w:t>
            </w:r>
            <w:r>
              <w:rPr>
                <w:rFonts w:hint="default" w:ascii="Times New Roman" w:hAnsi="Times New Roman" w:cs="Times New Roman"/>
                <w:b w:val="0"/>
                <w:bCs w:val="0"/>
                <w:color w:val="auto"/>
                <w:sz w:val="21"/>
                <w:szCs w:val="21"/>
                <w:highlight w:val="none"/>
              </w:rPr>
              <w:t>每个吨</w:t>
            </w:r>
            <w:r>
              <w:rPr>
                <w:rFonts w:hint="eastAsia" w:ascii="Times New Roman" w:hAnsi="Times New Roman" w:cs="Times New Roman"/>
                <w:b w:val="0"/>
                <w:bCs w:val="0"/>
                <w:color w:val="auto"/>
                <w:sz w:val="21"/>
                <w:szCs w:val="21"/>
                <w:highlight w:val="none"/>
                <w:lang w:val="en-US" w:eastAsia="zh-CN"/>
              </w:rPr>
              <w:t>袋</w:t>
            </w:r>
            <w:r>
              <w:rPr>
                <w:rFonts w:hint="default" w:ascii="Times New Roman" w:hAnsi="Times New Roman" w:cs="Times New Roman"/>
                <w:b w:val="0"/>
                <w:bCs w:val="0"/>
                <w:color w:val="auto"/>
                <w:sz w:val="21"/>
                <w:szCs w:val="21"/>
                <w:highlight w:val="none"/>
              </w:rPr>
              <w:t>占地面积</w:t>
            </w:r>
            <w:r>
              <w:rPr>
                <w:rFonts w:hint="eastAsia" w:ascii="Times New Roman" w:hAnsi="Times New Roman" w:cs="Times New Roman"/>
                <w:b w:val="0"/>
                <w:bCs w:val="0"/>
                <w:color w:val="auto"/>
                <w:sz w:val="21"/>
                <w:szCs w:val="21"/>
                <w:highlight w:val="none"/>
                <w:lang w:val="en-US" w:eastAsia="zh-CN"/>
              </w:rPr>
              <w:t>1</w:t>
            </w:r>
            <w:r>
              <w:rPr>
                <w:rFonts w:hint="default" w:ascii="Times New Roman" w:hAnsi="Times New Roman" w:cs="Times New Roman"/>
                <w:b w:val="0"/>
                <w:bCs w:val="0"/>
                <w:color w:val="auto"/>
                <w:sz w:val="21"/>
                <w:szCs w:val="21"/>
                <w:highlight w:val="none"/>
              </w:rPr>
              <w:t>m</w:t>
            </w:r>
            <w:r>
              <w:rPr>
                <w:rFonts w:hint="default" w:ascii="Times New Roman" w:hAnsi="Times New Roman" w:cs="Times New Roman"/>
                <w:b w:val="0"/>
                <w:bCs w:val="0"/>
                <w:color w:val="auto"/>
                <w:sz w:val="21"/>
                <w:szCs w:val="21"/>
                <w:highlight w:val="none"/>
                <w:vertAlign w:val="superscript"/>
              </w:rPr>
              <w:t>2</w:t>
            </w:r>
            <w:r>
              <w:rPr>
                <w:rFonts w:hint="default" w:ascii="Times New Roman" w:hAnsi="Times New Roman" w:cs="Times New Roman"/>
                <w:b w:val="0"/>
                <w:bCs w:val="0"/>
                <w:color w:val="auto"/>
                <w:sz w:val="21"/>
                <w:szCs w:val="21"/>
                <w:highlight w:val="none"/>
              </w:rPr>
              <w:t>，每次清理需要</w:t>
            </w:r>
            <w:r>
              <w:rPr>
                <w:rFonts w:hint="eastAsia" w:cs="Times New Roman"/>
                <w:b w:val="0"/>
                <w:bCs w:val="0"/>
                <w:color w:val="auto"/>
                <w:sz w:val="21"/>
                <w:szCs w:val="21"/>
                <w:highlight w:val="none"/>
                <w:lang w:val="en-US" w:eastAsia="zh-CN"/>
              </w:rPr>
              <w:t>1</w:t>
            </w:r>
            <w:r>
              <w:rPr>
                <w:rFonts w:hint="default" w:ascii="Times New Roman" w:hAnsi="Times New Roman" w:cs="Times New Roman"/>
                <w:b w:val="0"/>
                <w:bCs w:val="0"/>
                <w:color w:val="auto"/>
                <w:sz w:val="21"/>
                <w:szCs w:val="21"/>
                <w:highlight w:val="none"/>
              </w:rPr>
              <w:t>个吨</w:t>
            </w:r>
            <w:r>
              <w:rPr>
                <w:rFonts w:hint="eastAsia" w:ascii="Times New Roman" w:hAnsi="Times New Roman" w:cs="Times New Roman"/>
                <w:b w:val="0"/>
                <w:bCs w:val="0"/>
                <w:color w:val="auto"/>
                <w:sz w:val="21"/>
                <w:szCs w:val="21"/>
                <w:highlight w:val="none"/>
                <w:lang w:val="en-US" w:eastAsia="zh-CN"/>
              </w:rPr>
              <w:t>袋</w:t>
            </w:r>
            <w:r>
              <w:rPr>
                <w:rFonts w:hint="default" w:ascii="Times New Roman" w:hAnsi="Times New Roman" w:cs="Times New Roman"/>
                <w:b w:val="0"/>
                <w:bCs w:val="0"/>
                <w:color w:val="auto"/>
                <w:sz w:val="21"/>
                <w:szCs w:val="21"/>
                <w:highlight w:val="none"/>
              </w:rPr>
              <w:t>，</w:t>
            </w:r>
            <w:r>
              <w:rPr>
                <w:rFonts w:hint="eastAsia"/>
                <w:color w:val="auto"/>
                <w:sz w:val="21"/>
                <w:szCs w:val="21"/>
              </w:rPr>
              <w:t>最大所需占地面积</w:t>
            </w:r>
            <w:r>
              <w:rPr>
                <w:rFonts w:hint="eastAsia"/>
                <w:color w:val="auto"/>
                <w:sz w:val="21"/>
                <w:szCs w:val="21"/>
                <w:lang w:val="en-US" w:eastAsia="zh-CN"/>
              </w:rPr>
              <w:t>1</w:t>
            </w:r>
            <w:r>
              <w:rPr>
                <w:rFonts w:hint="eastAsia"/>
                <w:color w:val="auto"/>
                <w:sz w:val="21"/>
                <w:szCs w:val="21"/>
              </w:rPr>
              <w:t>m</w:t>
            </w:r>
            <w:r>
              <w:rPr>
                <w:rFonts w:hint="eastAsia"/>
                <w:color w:val="auto"/>
                <w:sz w:val="21"/>
                <w:szCs w:val="21"/>
                <w:vertAlign w:val="superscript"/>
              </w:rPr>
              <w:t>2</w:t>
            </w:r>
            <w:r>
              <w:rPr>
                <w:rFonts w:hint="eastAsia"/>
                <w:color w:val="auto"/>
                <w:sz w:val="21"/>
                <w:szCs w:val="21"/>
              </w:rPr>
              <w:t>。</w:t>
            </w:r>
          </w:p>
          <w:p w14:paraId="624EC19D">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eastAsia="宋体"/>
                <w:color w:val="auto"/>
                <w:sz w:val="21"/>
                <w:szCs w:val="21"/>
                <w:lang w:val="en-US" w:eastAsia="zh-CN"/>
              </w:rPr>
            </w:pPr>
            <w:r>
              <w:rPr>
                <w:rFonts w:hint="eastAsia"/>
                <w:color w:val="auto"/>
                <w:sz w:val="21"/>
                <w:szCs w:val="21"/>
                <w:lang w:val="en-US" w:eastAsia="zh-CN" w:bidi="ar"/>
              </w:rPr>
              <w:t>废活性炭（废气处理）：</w:t>
            </w:r>
            <w:r>
              <w:rPr>
                <w:rFonts w:hint="eastAsia" w:cs="Times New Roman"/>
                <w:b w:val="0"/>
                <w:bCs w:val="0"/>
                <w:color w:val="auto"/>
                <w:kern w:val="0"/>
                <w:sz w:val="21"/>
                <w:szCs w:val="21"/>
                <w:lang w:val="en-US" w:eastAsia="zh-CN" w:bidi="ar"/>
              </w:rPr>
              <w:t>年产生量</w:t>
            </w:r>
            <w:r>
              <w:rPr>
                <w:rFonts w:hint="eastAsia" w:ascii="Times New Roman" w:hAnsi="Times New Roman" w:eastAsia="宋体" w:cs="Times New Roman"/>
                <w:b w:val="0"/>
                <w:bCs w:val="0"/>
                <w:color w:val="auto"/>
                <w:kern w:val="0"/>
                <w:sz w:val="21"/>
                <w:szCs w:val="21"/>
                <w:lang w:val="en-US" w:eastAsia="zh-CN" w:bidi="ar"/>
              </w:rPr>
              <w:t>为</w:t>
            </w:r>
            <w:r>
              <w:rPr>
                <w:rFonts w:hint="eastAsia" w:cs="Times New Roman"/>
                <w:b w:val="0"/>
                <w:bCs w:val="0"/>
                <w:color w:val="auto"/>
                <w:kern w:val="0"/>
                <w:sz w:val="21"/>
                <w:szCs w:val="21"/>
                <w:lang w:val="en-US" w:eastAsia="zh-CN" w:bidi="ar"/>
              </w:rPr>
              <w:t>0.77</w:t>
            </w:r>
            <w:r>
              <w:rPr>
                <w:rFonts w:hint="eastAsia" w:ascii="Times New Roman" w:hAnsi="Times New Roman" w:eastAsia="宋体" w:cs="Times New Roman"/>
                <w:b w:val="0"/>
                <w:bCs w:val="0"/>
                <w:color w:val="auto"/>
                <w:kern w:val="0"/>
                <w:sz w:val="21"/>
                <w:szCs w:val="21"/>
                <w:lang w:val="en-US" w:eastAsia="zh-CN" w:bidi="ar"/>
              </w:rPr>
              <w:t>t，</w:t>
            </w:r>
            <w:r>
              <w:rPr>
                <w:rFonts w:hint="eastAsia" w:cs="Times New Roman"/>
                <w:b w:val="0"/>
                <w:bCs w:val="0"/>
                <w:color w:val="auto"/>
                <w:kern w:val="0"/>
                <w:sz w:val="21"/>
                <w:szCs w:val="21"/>
                <w:lang w:val="en-US" w:eastAsia="zh-CN" w:bidi="ar"/>
              </w:rPr>
              <w:t>每半年清理一次，每次清理0.385t。拟采用吨袋储存，每个吨袋占地1</w:t>
            </w:r>
            <w:bookmarkStart w:id="17" w:name="OLE_LINK71"/>
            <w:r>
              <w:rPr>
                <w:rFonts w:hint="eastAsia" w:cs="Times New Roman"/>
                <w:b w:val="0"/>
                <w:bCs w:val="0"/>
                <w:color w:val="auto"/>
                <w:kern w:val="0"/>
                <w:sz w:val="21"/>
                <w:szCs w:val="21"/>
                <w:lang w:val="en-US" w:eastAsia="zh-CN" w:bidi="ar"/>
              </w:rPr>
              <w:t>m</w:t>
            </w:r>
            <w:r>
              <w:rPr>
                <w:rFonts w:hint="eastAsia" w:cs="Times New Roman"/>
                <w:b w:val="0"/>
                <w:bCs w:val="0"/>
                <w:color w:val="auto"/>
                <w:kern w:val="0"/>
                <w:sz w:val="21"/>
                <w:szCs w:val="21"/>
                <w:vertAlign w:val="superscript"/>
                <w:lang w:val="en-US" w:eastAsia="zh-CN" w:bidi="ar"/>
              </w:rPr>
              <w:t>2</w:t>
            </w:r>
            <w:bookmarkEnd w:id="17"/>
            <w:r>
              <w:rPr>
                <w:rFonts w:hint="eastAsia" w:cs="Times New Roman"/>
                <w:b w:val="0"/>
                <w:bCs w:val="0"/>
                <w:color w:val="auto"/>
                <w:kern w:val="0"/>
                <w:sz w:val="21"/>
                <w:szCs w:val="21"/>
                <w:lang w:val="en-US" w:eastAsia="zh-CN" w:bidi="ar"/>
              </w:rPr>
              <w:t>，每吨活性炭需要2个吨袋处理，故每次清理需要1个吨袋，最大所需占地面积1m</w:t>
            </w:r>
            <w:r>
              <w:rPr>
                <w:rFonts w:hint="eastAsia" w:cs="Times New Roman"/>
                <w:b w:val="0"/>
                <w:bCs w:val="0"/>
                <w:color w:val="auto"/>
                <w:kern w:val="0"/>
                <w:sz w:val="21"/>
                <w:szCs w:val="21"/>
                <w:vertAlign w:val="superscript"/>
                <w:lang w:val="en-US" w:eastAsia="zh-CN" w:bidi="ar"/>
              </w:rPr>
              <w:t>2</w:t>
            </w:r>
            <w:r>
              <w:rPr>
                <w:rFonts w:hint="eastAsia" w:cs="Times New Roman"/>
                <w:b w:val="0"/>
                <w:bCs w:val="0"/>
                <w:color w:val="auto"/>
                <w:kern w:val="0"/>
                <w:sz w:val="21"/>
                <w:szCs w:val="21"/>
                <w:lang w:val="en-US" w:eastAsia="zh-CN" w:bidi="ar"/>
              </w:rPr>
              <w:t>。</w:t>
            </w:r>
          </w:p>
          <w:p w14:paraId="49D33006">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eastAsia="宋体"/>
                <w:color w:val="auto"/>
                <w:szCs w:val="21"/>
                <w:lang w:val="en-US" w:eastAsia="zh-CN"/>
              </w:rPr>
            </w:pPr>
            <w:r>
              <w:rPr>
                <w:rFonts w:hint="eastAsia"/>
                <w:color w:val="auto"/>
                <w:szCs w:val="21"/>
                <w:lang w:val="en-US" w:eastAsia="zh-CN"/>
              </w:rPr>
              <w:t>空酸桶：</w:t>
            </w:r>
            <w:r>
              <w:rPr>
                <w:rFonts w:hint="eastAsia"/>
                <w:color w:val="auto"/>
                <w:szCs w:val="21"/>
              </w:rPr>
              <w:t>空</w:t>
            </w:r>
            <w:r>
              <w:rPr>
                <w:rFonts w:hint="eastAsia"/>
                <w:color w:val="auto"/>
                <w:szCs w:val="21"/>
                <w:lang w:val="en-US" w:eastAsia="zh-CN"/>
              </w:rPr>
              <w:t>酸</w:t>
            </w:r>
            <w:r>
              <w:rPr>
                <w:rFonts w:hint="eastAsia"/>
                <w:color w:val="auto"/>
                <w:szCs w:val="21"/>
              </w:rPr>
              <w:t>桶年产生量</w:t>
            </w:r>
            <w:r>
              <w:rPr>
                <w:rFonts w:hint="eastAsia"/>
                <w:color w:val="auto"/>
                <w:szCs w:val="21"/>
                <w:lang w:val="en-US" w:eastAsia="zh-CN"/>
              </w:rPr>
              <w:t>40</w:t>
            </w:r>
            <w:r>
              <w:rPr>
                <w:rFonts w:hint="eastAsia"/>
                <w:color w:val="auto"/>
                <w:szCs w:val="21"/>
              </w:rPr>
              <w:t>个，共</w:t>
            </w:r>
            <w:r>
              <w:rPr>
                <w:rFonts w:hint="eastAsia"/>
                <w:color w:val="auto"/>
                <w:szCs w:val="21"/>
                <w:lang w:val="en-US" w:eastAsia="zh-CN"/>
              </w:rPr>
              <w:t>0.1</w:t>
            </w:r>
            <w:r>
              <w:rPr>
                <w:rFonts w:hint="eastAsia"/>
                <w:color w:val="auto"/>
                <w:szCs w:val="21"/>
              </w:rPr>
              <w:t>t，</w:t>
            </w:r>
            <w:r>
              <w:rPr>
                <w:rFonts w:hint="eastAsia"/>
                <w:color w:val="auto"/>
                <w:szCs w:val="21"/>
                <w:lang w:val="en-US" w:eastAsia="zh-CN"/>
              </w:rPr>
              <w:t>厂家送货时回收空桶，</w:t>
            </w:r>
            <w:r>
              <w:rPr>
                <w:rFonts w:hint="eastAsia"/>
                <w:color w:val="auto"/>
                <w:szCs w:val="21"/>
              </w:rPr>
              <w:t>最大贮存量约为</w:t>
            </w:r>
            <w:r>
              <w:rPr>
                <w:rFonts w:hint="eastAsia"/>
                <w:color w:val="auto"/>
                <w:szCs w:val="21"/>
                <w:lang w:val="en-US" w:eastAsia="zh-CN"/>
              </w:rPr>
              <w:t>0.025</w:t>
            </w:r>
            <w:r>
              <w:rPr>
                <w:rFonts w:hint="eastAsia"/>
                <w:color w:val="auto"/>
                <w:szCs w:val="21"/>
              </w:rPr>
              <w:t>t，</w:t>
            </w:r>
            <w:r>
              <w:rPr>
                <w:rFonts w:hint="eastAsia"/>
                <w:color w:val="auto"/>
                <w:szCs w:val="21"/>
                <w:lang w:val="en-US" w:eastAsia="zh-CN"/>
              </w:rPr>
              <w:t>10</w:t>
            </w:r>
            <w:r>
              <w:rPr>
                <w:rFonts w:hint="eastAsia"/>
                <w:color w:val="auto"/>
                <w:szCs w:val="21"/>
              </w:rPr>
              <w:t>个空桶。包装桶可堆积至2层，</w:t>
            </w:r>
            <w:r>
              <w:rPr>
                <w:rFonts w:hint="eastAsia"/>
                <w:color w:val="auto"/>
                <w:szCs w:val="21"/>
                <w:lang w:val="en-US" w:eastAsia="zh-CN"/>
              </w:rPr>
              <w:t>每2个空</w:t>
            </w:r>
            <w:r>
              <w:rPr>
                <w:rFonts w:hint="eastAsia"/>
                <w:color w:val="auto"/>
                <w:szCs w:val="21"/>
              </w:rPr>
              <w:t>桶占地面积1m</w:t>
            </w:r>
            <w:r>
              <w:rPr>
                <w:rFonts w:hint="eastAsia"/>
                <w:color w:val="auto"/>
                <w:szCs w:val="21"/>
                <w:vertAlign w:val="superscript"/>
              </w:rPr>
              <w:t>2</w:t>
            </w:r>
            <w:r>
              <w:rPr>
                <w:rFonts w:hint="eastAsia"/>
                <w:color w:val="auto"/>
                <w:szCs w:val="21"/>
              </w:rPr>
              <w:t>，则</w:t>
            </w:r>
            <w:r>
              <w:rPr>
                <w:rFonts w:hint="eastAsia"/>
                <w:color w:val="auto"/>
                <w:szCs w:val="21"/>
                <w:lang w:val="en-US" w:eastAsia="zh-CN"/>
              </w:rPr>
              <w:t>空酸桶</w:t>
            </w:r>
            <w:r>
              <w:rPr>
                <w:rFonts w:hint="eastAsia"/>
                <w:color w:val="auto"/>
                <w:szCs w:val="21"/>
              </w:rPr>
              <w:t>共占地</w:t>
            </w:r>
            <w:r>
              <w:rPr>
                <w:rFonts w:hint="eastAsia"/>
                <w:color w:val="auto"/>
                <w:szCs w:val="21"/>
                <w:lang w:val="en-US" w:eastAsia="zh-CN"/>
              </w:rPr>
              <w:t>3</w:t>
            </w:r>
            <w:r>
              <w:rPr>
                <w:rFonts w:hint="eastAsia"/>
                <w:color w:val="auto"/>
                <w:szCs w:val="21"/>
              </w:rPr>
              <w:t>m</w:t>
            </w:r>
            <w:r>
              <w:rPr>
                <w:rFonts w:hint="eastAsia"/>
                <w:color w:val="auto"/>
                <w:szCs w:val="21"/>
                <w:vertAlign w:val="superscript"/>
              </w:rPr>
              <w:t>2</w:t>
            </w:r>
            <w:r>
              <w:rPr>
                <w:rFonts w:hint="eastAsia"/>
                <w:color w:val="auto"/>
                <w:szCs w:val="21"/>
                <w:lang w:eastAsia="zh-CN"/>
              </w:rPr>
              <w:t>。</w:t>
            </w:r>
          </w:p>
          <w:p w14:paraId="64988B77">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color w:val="auto"/>
                <w:highlight w:val="yellow"/>
              </w:rPr>
            </w:pPr>
            <w:r>
              <w:rPr>
                <w:rFonts w:hint="eastAsia"/>
                <w:color w:val="auto"/>
                <w:szCs w:val="21"/>
              </w:rPr>
              <w:t>综上，</w:t>
            </w:r>
            <w:r>
              <w:rPr>
                <w:rFonts w:hint="eastAsia"/>
                <w:color w:val="auto"/>
                <w:szCs w:val="21"/>
                <w:lang w:val="en-US" w:eastAsia="zh-CN"/>
              </w:rPr>
              <w:t>本</w:t>
            </w:r>
            <w:r>
              <w:rPr>
                <w:rFonts w:hint="eastAsia"/>
                <w:color w:val="auto"/>
                <w:szCs w:val="21"/>
              </w:rPr>
              <w:t>项目产生危废共需占地面积</w:t>
            </w:r>
            <w:r>
              <w:rPr>
                <w:rFonts w:hint="eastAsia"/>
                <w:color w:val="auto"/>
                <w:szCs w:val="21"/>
                <w:lang w:val="en-US" w:eastAsia="zh-CN"/>
              </w:rPr>
              <w:t>9.5</w:t>
            </w:r>
            <w:r>
              <w:rPr>
                <w:rFonts w:hint="eastAsia"/>
                <w:color w:val="auto"/>
                <w:szCs w:val="21"/>
              </w:rPr>
              <w:t>m</w:t>
            </w:r>
            <w:r>
              <w:rPr>
                <w:rFonts w:hint="eastAsia"/>
                <w:color w:val="auto"/>
                <w:szCs w:val="21"/>
                <w:vertAlign w:val="superscript"/>
              </w:rPr>
              <w:t>2</w:t>
            </w:r>
            <w:r>
              <w:rPr>
                <w:rFonts w:hint="eastAsia"/>
                <w:color w:val="auto"/>
                <w:szCs w:val="21"/>
              </w:rPr>
              <w:t>，厂区现有</w:t>
            </w:r>
            <w:r>
              <w:rPr>
                <w:color w:val="auto"/>
                <w:szCs w:val="21"/>
              </w:rPr>
              <w:t>危废暂存区</w:t>
            </w:r>
            <w:r>
              <w:rPr>
                <w:rFonts w:hint="eastAsia"/>
                <w:color w:val="auto"/>
                <w:szCs w:val="21"/>
              </w:rPr>
              <w:t>面积为50m</w:t>
            </w:r>
            <w:r>
              <w:rPr>
                <w:rFonts w:hint="eastAsia"/>
                <w:color w:val="auto"/>
                <w:szCs w:val="21"/>
                <w:vertAlign w:val="superscript"/>
              </w:rPr>
              <w:t>2</w:t>
            </w:r>
            <w:r>
              <w:rPr>
                <w:rFonts w:hint="eastAsia"/>
                <w:color w:val="auto"/>
                <w:szCs w:val="21"/>
              </w:rPr>
              <w:t>，现有项目已使用面积</w:t>
            </w:r>
            <w:r>
              <w:rPr>
                <w:rFonts w:hint="eastAsia"/>
                <w:color w:val="auto"/>
                <w:szCs w:val="21"/>
                <w:lang w:val="en-US" w:eastAsia="zh-CN"/>
              </w:rPr>
              <w:t>37.5</w:t>
            </w:r>
            <w:r>
              <w:rPr>
                <w:rFonts w:hint="eastAsia"/>
                <w:color w:val="auto"/>
                <w:szCs w:val="21"/>
              </w:rPr>
              <w:t>m</w:t>
            </w:r>
            <w:r>
              <w:rPr>
                <w:rFonts w:hint="eastAsia"/>
                <w:color w:val="auto"/>
                <w:szCs w:val="21"/>
                <w:vertAlign w:val="superscript"/>
              </w:rPr>
              <w:t>2</w:t>
            </w:r>
            <w:r>
              <w:rPr>
                <w:rFonts w:hint="eastAsia"/>
                <w:color w:val="auto"/>
                <w:szCs w:val="21"/>
              </w:rPr>
              <w:t>，剩余面积约</w:t>
            </w:r>
            <w:r>
              <w:rPr>
                <w:rFonts w:hint="eastAsia"/>
                <w:color w:val="auto"/>
                <w:szCs w:val="21"/>
                <w:lang w:val="en-US" w:eastAsia="zh-CN"/>
              </w:rPr>
              <w:t>12.5</w:t>
            </w:r>
            <w:r>
              <w:rPr>
                <w:rFonts w:hint="eastAsia"/>
                <w:color w:val="auto"/>
                <w:szCs w:val="21"/>
              </w:rPr>
              <w:t>m</w:t>
            </w:r>
            <w:r>
              <w:rPr>
                <w:rFonts w:hint="eastAsia"/>
                <w:color w:val="auto"/>
                <w:szCs w:val="21"/>
                <w:vertAlign w:val="superscript"/>
              </w:rPr>
              <w:t>2</w:t>
            </w:r>
            <w:r>
              <w:rPr>
                <w:rFonts w:hint="eastAsia"/>
                <w:color w:val="auto"/>
                <w:szCs w:val="21"/>
              </w:rPr>
              <w:t>，故厂区现有的</w:t>
            </w:r>
            <w:r>
              <w:rPr>
                <w:color w:val="auto"/>
                <w:szCs w:val="21"/>
              </w:rPr>
              <w:t>危废暂存区</w:t>
            </w:r>
            <w:r>
              <w:rPr>
                <w:rFonts w:hint="eastAsia"/>
                <w:color w:val="auto"/>
                <w:szCs w:val="21"/>
              </w:rPr>
              <w:t>可以满足危废贮存的要求。</w:t>
            </w:r>
          </w:p>
          <w:p w14:paraId="4B2B3C28">
            <w:pPr>
              <w:keepNext w:val="0"/>
              <w:keepLines w:val="0"/>
              <w:pageBreakBefore w:val="0"/>
              <w:kinsoku/>
              <w:wordWrap/>
              <w:overflowPunct/>
              <w:topLinePunct w:val="0"/>
              <w:autoSpaceDE/>
              <w:autoSpaceDN/>
              <w:bidi w:val="0"/>
              <w:adjustRightInd/>
              <w:snapToGrid w:val="0"/>
              <w:spacing w:line="360" w:lineRule="auto"/>
              <w:textAlignment w:val="auto"/>
              <w:rPr>
                <w:b/>
                <w:bCs/>
                <w:color w:val="auto"/>
                <w:szCs w:val="21"/>
              </w:rPr>
            </w:pPr>
            <w:r>
              <w:rPr>
                <w:rFonts w:hint="eastAsia"/>
                <w:b/>
                <w:bCs/>
                <w:color w:val="auto"/>
                <w:szCs w:val="21"/>
              </w:rPr>
              <w:t>4.3固废处置可行性分析</w:t>
            </w:r>
          </w:p>
          <w:p w14:paraId="54AFA1E6">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auto"/>
              <w:rPr>
                <w:rFonts w:hint="eastAsia" w:ascii="宋体" w:hAnsi="宋体" w:cs="宋体"/>
                <w:color w:val="auto"/>
                <w:szCs w:val="21"/>
              </w:rPr>
            </w:pPr>
            <w:r>
              <w:rPr>
                <w:color w:val="auto"/>
                <w:kern w:val="0"/>
                <w:szCs w:val="21"/>
                <w:lang w:bidi="ar"/>
              </w:rPr>
              <w:t>①</w:t>
            </w:r>
            <w:r>
              <w:rPr>
                <w:rFonts w:hint="eastAsia" w:ascii="宋体" w:hAnsi="宋体" w:cs="宋体"/>
                <w:color w:val="auto"/>
                <w:kern w:val="0"/>
                <w:szCs w:val="21"/>
                <w:lang w:bidi="ar"/>
              </w:rPr>
              <w:t>危废委外处置可行性分析</w:t>
            </w:r>
          </w:p>
          <w:p w14:paraId="70E2C673">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color w:val="auto"/>
                <w:szCs w:val="21"/>
              </w:rPr>
            </w:pPr>
            <w:r>
              <w:rPr>
                <w:rFonts w:hint="eastAsia"/>
                <w:color w:val="auto"/>
                <w:szCs w:val="21"/>
              </w:rPr>
              <w:t>本项目运营期产生的</w:t>
            </w:r>
            <w:r>
              <w:rPr>
                <w:rFonts w:hint="eastAsia"/>
                <w:color w:val="auto"/>
                <w:szCs w:val="21"/>
                <w:lang w:val="en-US" w:eastAsia="zh-CN"/>
              </w:rPr>
              <w:t>废油墨桶</w:t>
            </w:r>
            <w:r>
              <w:rPr>
                <w:rFonts w:hint="eastAsia"/>
                <w:color w:val="auto"/>
                <w:szCs w:val="21"/>
              </w:rPr>
              <w:t>（</w:t>
            </w:r>
            <w:r>
              <w:rPr>
                <w:rFonts w:hint="eastAsia"/>
                <w:color w:val="auto"/>
                <w:kern w:val="24"/>
                <w:szCs w:val="21"/>
              </w:rPr>
              <w:t>HW</w:t>
            </w:r>
            <w:r>
              <w:rPr>
                <w:rFonts w:hint="eastAsia"/>
                <w:color w:val="auto"/>
                <w:kern w:val="24"/>
                <w:szCs w:val="21"/>
                <w:lang w:val="en-US" w:eastAsia="zh-CN"/>
              </w:rPr>
              <w:t>49</w:t>
            </w:r>
            <w:r>
              <w:rPr>
                <w:rFonts w:hint="eastAsia"/>
                <w:color w:val="auto"/>
                <w:szCs w:val="21"/>
              </w:rPr>
              <w:t>）</w:t>
            </w:r>
            <w:r>
              <w:rPr>
                <w:rFonts w:hint="eastAsia"/>
                <w:color w:val="auto"/>
                <w:lang w:val="en-US" w:eastAsia="zh-CN"/>
              </w:rPr>
              <w:t>、</w:t>
            </w:r>
            <w:r>
              <w:rPr>
                <w:rFonts w:hint="eastAsia"/>
                <w:color w:val="auto"/>
                <w:szCs w:val="21"/>
                <w:lang w:val="en-US" w:eastAsia="zh-CN"/>
              </w:rPr>
              <w:t>废抹布手套</w:t>
            </w:r>
            <w:r>
              <w:rPr>
                <w:rFonts w:hint="eastAsia"/>
                <w:color w:val="auto"/>
              </w:rPr>
              <w:t>（</w:t>
            </w:r>
            <w:r>
              <w:rPr>
                <w:color w:val="auto"/>
                <w:kern w:val="0"/>
                <w:szCs w:val="21"/>
                <w:lang w:bidi="ar"/>
              </w:rPr>
              <w:t>HW</w:t>
            </w:r>
            <w:r>
              <w:rPr>
                <w:rFonts w:hint="eastAsia"/>
                <w:color w:val="auto"/>
                <w:kern w:val="0"/>
                <w:szCs w:val="21"/>
                <w:lang w:val="en-US" w:eastAsia="zh-CN" w:bidi="ar"/>
              </w:rPr>
              <w:t>49</w:t>
            </w:r>
            <w:r>
              <w:rPr>
                <w:rFonts w:hint="eastAsia"/>
                <w:color w:val="auto"/>
              </w:rPr>
              <w:t>）</w:t>
            </w:r>
            <w:r>
              <w:rPr>
                <w:rFonts w:hint="eastAsia"/>
                <w:color w:val="auto"/>
                <w:lang w:val="en-US" w:eastAsia="zh-CN"/>
              </w:rPr>
              <w:t>、废石英砂（HW49）和废活性炭（HW49）</w:t>
            </w:r>
            <w:r>
              <w:rPr>
                <w:rFonts w:hint="eastAsia"/>
                <w:color w:val="auto"/>
              </w:rPr>
              <w:t>均</w:t>
            </w:r>
            <w:r>
              <w:rPr>
                <w:rFonts w:hint="eastAsia"/>
                <w:color w:val="auto"/>
                <w:szCs w:val="21"/>
              </w:rPr>
              <w:t>为危险废物，与企业现有项目的危废一起委托江苏龙清环境技术有限公司和江苏昕鼎华环保科技有限公司处置，</w:t>
            </w:r>
            <w:r>
              <w:rPr>
                <w:rFonts w:hint="eastAsia"/>
                <w:color w:val="auto"/>
                <w:szCs w:val="21"/>
                <w:lang w:val="en-US" w:eastAsia="zh-CN"/>
              </w:rPr>
              <w:t>本次扩建</w:t>
            </w:r>
            <w:r>
              <w:rPr>
                <w:rFonts w:hint="eastAsia"/>
                <w:color w:val="auto"/>
                <w:szCs w:val="21"/>
              </w:rPr>
              <w:t>项目危废类别均在江苏龙清环境技术有限公司和江苏昕鼎华环保科技有限公司处理能力范围内，且江苏龙清环境技术有限公司和江苏昕鼎华环保科技有限公司有足够余量处置本项目危废。</w:t>
            </w:r>
            <w:r>
              <w:rPr>
                <w:color w:val="auto"/>
                <w:szCs w:val="21"/>
              </w:rPr>
              <w:t>因此，本</w:t>
            </w:r>
            <w:r>
              <w:rPr>
                <w:rFonts w:hint="eastAsia"/>
                <w:color w:val="auto"/>
                <w:szCs w:val="21"/>
                <w:lang w:val="en-US" w:eastAsia="zh-CN"/>
              </w:rPr>
              <w:t>扩建</w:t>
            </w:r>
            <w:r>
              <w:rPr>
                <w:color w:val="auto"/>
                <w:szCs w:val="21"/>
              </w:rPr>
              <w:t>项目危废委托有资质单位处理是可行的</w:t>
            </w:r>
            <w:r>
              <w:rPr>
                <w:rFonts w:hint="eastAsia"/>
                <w:color w:val="auto"/>
                <w:szCs w:val="21"/>
              </w:rPr>
              <w:t>。</w:t>
            </w:r>
          </w:p>
          <w:p w14:paraId="46E41812">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auto"/>
              <w:rPr>
                <w:rFonts w:hint="eastAsia" w:ascii="宋体" w:hAnsi="宋体" w:cs="宋体"/>
                <w:color w:val="auto"/>
                <w:szCs w:val="21"/>
              </w:rPr>
            </w:pPr>
            <w:r>
              <w:rPr>
                <w:rFonts w:hint="eastAsia" w:ascii="宋体" w:hAnsi="宋体" w:cs="宋体"/>
                <w:color w:val="auto"/>
                <w:kern w:val="0"/>
                <w:szCs w:val="21"/>
                <w:lang w:bidi="ar"/>
              </w:rPr>
              <w:t xml:space="preserve">②一般固废处置可行性分析 </w:t>
            </w:r>
          </w:p>
          <w:p w14:paraId="377C52C4">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auto"/>
              <w:rPr>
                <w:rFonts w:hint="eastAsia" w:ascii="宋体" w:hAnsi="宋体" w:cs="宋体"/>
                <w:color w:val="auto"/>
                <w:kern w:val="0"/>
                <w:szCs w:val="21"/>
                <w:lang w:bidi="ar"/>
              </w:rPr>
            </w:pPr>
            <w:r>
              <w:rPr>
                <w:rFonts w:hint="eastAsia" w:ascii="宋体" w:hAnsi="宋体" w:cs="宋体"/>
                <w:color w:val="auto"/>
                <w:kern w:val="0"/>
                <w:szCs w:val="21"/>
                <w:lang w:bidi="ar"/>
              </w:rPr>
              <w:t>项目产生的</w:t>
            </w:r>
            <w:r>
              <w:rPr>
                <w:rFonts w:hint="eastAsia"/>
                <w:color w:val="auto"/>
                <w:szCs w:val="21"/>
                <w:lang w:val="en-US" w:eastAsia="zh-CN"/>
              </w:rPr>
              <w:t>废包装材料</w:t>
            </w:r>
            <w:r>
              <w:rPr>
                <w:rFonts w:hint="eastAsia" w:ascii="宋体" w:hAnsi="宋体" w:cs="宋体"/>
                <w:color w:val="auto"/>
                <w:kern w:val="0"/>
                <w:szCs w:val="21"/>
                <w:lang w:bidi="ar"/>
              </w:rPr>
              <w:t>统一收集后外售，</w:t>
            </w:r>
            <w:r>
              <w:rPr>
                <w:rFonts w:hint="eastAsia" w:ascii="宋体" w:hAnsi="宋体" w:cs="宋体"/>
                <w:color w:val="auto"/>
                <w:kern w:val="0"/>
                <w:szCs w:val="21"/>
                <w:lang w:val="en-US" w:eastAsia="zh-CN" w:bidi="ar"/>
              </w:rPr>
              <w:t>不合格品、含氟污泥收集后交由相关单位处理，</w:t>
            </w:r>
            <w:r>
              <w:rPr>
                <w:rFonts w:hint="eastAsia" w:ascii="宋体" w:hAnsi="宋体" w:cs="宋体"/>
                <w:color w:val="auto"/>
                <w:kern w:val="0"/>
                <w:szCs w:val="21"/>
                <w:lang w:bidi="ar"/>
              </w:rPr>
              <w:t>处置途径是可行的。</w:t>
            </w:r>
          </w:p>
          <w:p w14:paraId="4901F6CB">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kern w:val="0"/>
                <w:szCs w:val="21"/>
                <w:lang w:val="en-US" w:eastAsia="zh-CN" w:bidi="ar"/>
              </w:rPr>
            </w:pPr>
            <w:r>
              <w:rPr>
                <w:rFonts w:hint="eastAsia" w:ascii="宋体" w:hAnsi="宋体" w:cs="宋体"/>
                <w:color w:val="auto"/>
                <w:kern w:val="0"/>
                <w:szCs w:val="21"/>
                <w:lang w:val="en-US" w:eastAsia="zh-CN" w:bidi="ar"/>
              </w:rPr>
              <w:t>综上，</w:t>
            </w:r>
            <w:r>
              <w:rPr>
                <w:rFonts w:hint="eastAsia" w:ascii="宋体" w:hAnsi="宋体" w:cs="宋体"/>
                <w:color w:val="auto"/>
                <w:kern w:val="0"/>
                <w:szCs w:val="21"/>
                <w:lang w:bidi="ar"/>
              </w:rPr>
              <w:t>项目产生的</w:t>
            </w:r>
            <w:r>
              <w:rPr>
                <w:rFonts w:hint="eastAsia"/>
                <w:color w:val="auto"/>
                <w:szCs w:val="21"/>
                <w:lang w:val="en-US" w:eastAsia="zh-CN"/>
              </w:rPr>
              <w:t>废包装材料</w:t>
            </w:r>
            <w:r>
              <w:rPr>
                <w:rFonts w:hint="eastAsia" w:ascii="宋体" w:hAnsi="宋体" w:cs="宋体"/>
                <w:color w:val="auto"/>
                <w:kern w:val="0"/>
                <w:szCs w:val="21"/>
                <w:lang w:bidi="ar"/>
              </w:rPr>
              <w:t>统一收集后外售</w:t>
            </w:r>
            <w:r>
              <w:rPr>
                <w:rFonts w:hint="eastAsia" w:ascii="宋体" w:hAnsi="宋体" w:cs="宋体"/>
                <w:color w:val="auto"/>
                <w:kern w:val="0"/>
                <w:szCs w:val="21"/>
                <w:lang w:eastAsia="zh-CN" w:bidi="ar"/>
              </w:rPr>
              <w:t>，</w:t>
            </w:r>
            <w:r>
              <w:rPr>
                <w:rFonts w:hint="eastAsia" w:ascii="宋体" w:hAnsi="宋体" w:cs="宋体"/>
                <w:color w:val="auto"/>
                <w:kern w:val="0"/>
                <w:szCs w:val="21"/>
                <w:lang w:val="en-US" w:eastAsia="zh-CN" w:bidi="ar"/>
              </w:rPr>
              <w:t>不合格品、含氟污泥收集后交由相关单位处理</w:t>
            </w:r>
            <w:r>
              <w:rPr>
                <w:rFonts w:hint="eastAsia" w:ascii="Times New Roman" w:hAnsi="Times New Roman"/>
                <w:color w:val="auto"/>
                <w:szCs w:val="21"/>
              </w:rPr>
              <w:t>；</w:t>
            </w:r>
            <w:r>
              <w:rPr>
                <w:rFonts w:hint="eastAsia"/>
                <w:color w:val="auto"/>
                <w:szCs w:val="21"/>
                <w:lang w:val="en-US" w:eastAsia="zh-CN"/>
              </w:rPr>
              <w:t>废油墨桶</w:t>
            </w:r>
            <w:r>
              <w:rPr>
                <w:rFonts w:hint="eastAsia"/>
                <w:color w:val="auto"/>
              </w:rPr>
              <w:t>、</w:t>
            </w:r>
            <w:r>
              <w:rPr>
                <w:rFonts w:hint="eastAsia"/>
                <w:color w:val="auto"/>
                <w:szCs w:val="21"/>
                <w:lang w:val="en-US" w:eastAsia="zh-CN"/>
              </w:rPr>
              <w:t>废抹布手套、废石英砂和废活性炭</w:t>
            </w:r>
            <w:r>
              <w:rPr>
                <w:rFonts w:hint="eastAsia" w:ascii="Times New Roman" w:hAnsi="Times New Roman"/>
                <w:color w:val="auto"/>
                <w:szCs w:val="21"/>
              </w:rPr>
              <w:t>委托有资质单位处理；</w:t>
            </w:r>
            <w:r>
              <w:rPr>
                <w:rFonts w:hint="eastAsia" w:ascii="宋体" w:hAnsi="宋体" w:cs="宋体"/>
                <w:color w:val="auto"/>
                <w:kern w:val="0"/>
                <w:szCs w:val="21"/>
                <w:lang w:bidi="ar"/>
              </w:rPr>
              <w:t>生活垃圾收集后由环卫部门统一清运，处置途径可行。</w:t>
            </w:r>
          </w:p>
          <w:p w14:paraId="377FF615">
            <w:pPr>
              <w:keepNext w:val="0"/>
              <w:keepLines w:val="0"/>
              <w:pageBreakBefore w:val="0"/>
              <w:kinsoku/>
              <w:wordWrap/>
              <w:overflowPunct/>
              <w:topLinePunct w:val="0"/>
              <w:autoSpaceDE/>
              <w:autoSpaceDN/>
              <w:bidi w:val="0"/>
              <w:adjustRightInd/>
              <w:snapToGrid w:val="0"/>
              <w:spacing w:line="360" w:lineRule="auto"/>
              <w:textAlignment w:val="auto"/>
              <w:rPr>
                <w:b/>
                <w:bCs/>
                <w:color w:val="auto"/>
                <w:kern w:val="0"/>
                <w:szCs w:val="21"/>
                <w:lang w:bidi="ar"/>
              </w:rPr>
            </w:pPr>
            <w:r>
              <w:rPr>
                <w:b/>
                <w:bCs/>
                <w:color w:val="auto"/>
                <w:kern w:val="0"/>
                <w:szCs w:val="21"/>
                <w:lang w:bidi="ar"/>
              </w:rPr>
              <w:t>4.</w:t>
            </w:r>
            <w:r>
              <w:rPr>
                <w:rFonts w:hint="eastAsia"/>
                <w:b/>
                <w:bCs/>
                <w:color w:val="auto"/>
                <w:kern w:val="0"/>
                <w:szCs w:val="21"/>
                <w:lang w:bidi="ar"/>
              </w:rPr>
              <w:t>4</w:t>
            </w:r>
            <w:r>
              <w:rPr>
                <w:b/>
                <w:bCs/>
                <w:color w:val="auto"/>
                <w:kern w:val="0"/>
                <w:szCs w:val="21"/>
                <w:lang w:bidi="ar"/>
              </w:rPr>
              <w:t>固废环境管理要求</w:t>
            </w:r>
          </w:p>
          <w:p w14:paraId="4310450B">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auto"/>
              <w:rPr>
                <w:color w:val="auto"/>
                <w:kern w:val="0"/>
                <w:szCs w:val="21"/>
                <w:lang w:bidi="ar"/>
              </w:rPr>
            </w:pPr>
            <w:r>
              <w:rPr>
                <w:color w:val="auto"/>
                <w:kern w:val="0"/>
                <w:szCs w:val="21"/>
                <w:lang w:bidi="ar"/>
              </w:rPr>
              <w:t>4.</w:t>
            </w:r>
            <w:r>
              <w:rPr>
                <w:rFonts w:hint="eastAsia"/>
                <w:color w:val="auto"/>
                <w:kern w:val="0"/>
                <w:szCs w:val="21"/>
                <w:lang w:val="en-US" w:eastAsia="zh-CN" w:bidi="ar"/>
              </w:rPr>
              <w:t>4</w:t>
            </w:r>
            <w:r>
              <w:rPr>
                <w:color w:val="auto"/>
                <w:kern w:val="0"/>
                <w:szCs w:val="21"/>
                <w:lang w:bidi="ar"/>
              </w:rPr>
              <w:t>.1一般固废环境管理要求</w:t>
            </w:r>
          </w:p>
          <w:p w14:paraId="6235806D">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auto"/>
              <w:rPr>
                <w:rFonts w:hint="eastAsia" w:ascii="宋体" w:hAnsi="宋体" w:cs="宋体"/>
                <w:color w:val="auto"/>
                <w:kern w:val="0"/>
                <w:szCs w:val="21"/>
                <w:lang w:bidi="ar"/>
              </w:rPr>
            </w:pPr>
            <w:r>
              <w:rPr>
                <w:rFonts w:hint="eastAsia" w:ascii="宋体" w:hAnsi="宋体" w:cs="宋体"/>
                <w:color w:val="auto"/>
                <w:kern w:val="0"/>
                <w:szCs w:val="21"/>
                <w:lang w:bidi="ar"/>
              </w:rPr>
              <w:t>企业应按照《中华人民共和国固体废物污染环境防治法》、《一般工业固体废物贮存和填埋污染控制标准》（</w:t>
            </w:r>
            <w:r>
              <w:rPr>
                <w:color w:val="auto"/>
                <w:kern w:val="0"/>
                <w:szCs w:val="21"/>
                <w:lang w:bidi="ar"/>
              </w:rPr>
              <w:t>GB 18599-2020</w:t>
            </w:r>
            <w:r>
              <w:rPr>
                <w:rFonts w:hint="eastAsia" w:ascii="宋体" w:hAnsi="宋体" w:cs="宋体"/>
                <w:color w:val="auto"/>
                <w:kern w:val="0"/>
                <w:szCs w:val="21"/>
                <w:lang w:bidi="ar"/>
              </w:rPr>
              <w:t>）》、《</w:t>
            </w:r>
            <w:r>
              <w:rPr>
                <w:rFonts w:hint="eastAsia"/>
                <w:color w:val="auto"/>
                <w:lang w:bidi="ar"/>
              </w:rPr>
              <w:t>关于发布&lt;一般工业固体废物管理台账制定指南（试行）&gt;的公告》（生态环保部公告2021第82号）等的相关要求，如实记录工业固体废物的种类、数量、流向、贮存、利用、处置等信息，落实一般固废的台账管理和环境污染防治</w:t>
            </w:r>
            <w:r>
              <w:rPr>
                <w:rFonts w:hint="eastAsia" w:ascii="宋体" w:hAnsi="宋体" w:cs="宋体"/>
                <w:color w:val="auto"/>
                <w:kern w:val="0"/>
                <w:szCs w:val="21"/>
                <w:lang w:bidi="ar"/>
              </w:rPr>
              <w:t>等的相关要求，落实一般固废的环境污染防治。</w:t>
            </w:r>
          </w:p>
          <w:p w14:paraId="398CAFBD">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auto"/>
              <w:rPr>
                <w:color w:val="auto"/>
              </w:rPr>
            </w:pPr>
            <w:r>
              <w:rPr>
                <w:rFonts w:hint="eastAsia"/>
                <w:color w:val="auto"/>
                <w:szCs w:val="21"/>
              </w:rPr>
              <w:t>企业应按照《省生态环境厅关于进一步完善般工业固体废物环境管理的通知》（苏环办〔2023〕327号）要求，</w:t>
            </w:r>
            <w:r>
              <w:rPr>
                <w:rFonts w:hint="eastAsia" w:ascii="宋体" w:hAnsi="宋体" w:cs="宋体"/>
                <w:color w:val="auto"/>
                <w:kern w:val="0"/>
                <w:szCs w:val="21"/>
                <w:lang w:bidi="ar"/>
              </w:rPr>
              <w:t>建立电子台账，并直接与江苏省固体废物管理信息系统（以下简称固废系统）数据对接。委托运输、利用、处置一般工业固体废物时，对受托方的主体资格和技术能力进行核实，依法签订书面合同，在合同中约定污染防治要求，并跟踪最终利用处置去向。</w:t>
            </w:r>
          </w:p>
          <w:p w14:paraId="653EACD7">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auto"/>
              <w:rPr>
                <w:color w:val="auto"/>
                <w:kern w:val="0"/>
                <w:szCs w:val="21"/>
                <w:lang w:bidi="ar"/>
              </w:rPr>
            </w:pPr>
            <w:r>
              <w:rPr>
                <w:color w:val="auto"/>
                <w:kern w:val="0"/>
                <w:szCs w:val="21"/>
                <w:lang w:bidi="ar"/>
              </w:rPr>
              <w:t>4</w:t>
            </w:r>
            <w:r>
              <w:rPr>
                <w:rFonts w:hint="eastAsia"/>
                <w:color w:val="auto"/>
                <w:kern w:val="0"/>
                <w:szCs w:val="21"/>
                <w:lang w:val="en-US" w:eastAsia="zh-CN" w:bidi="ar"/>
              </w:rPr>
              <w:t>.4</w:t>
            </w:r>
            <w:r>
              <w:rPr>
                <w:color w:val="auto"/>
                <w:kern w:val="0"/>
                <w:szCs w:val="21"/>
                <w:lang w:bidi="ar"/>
              </w:rPr>
              <w:t>.2危险废物环境管理要求</w:t>
            </w:r>
          </w:p>
          <w:p w14:paraId="3079A360">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auto"/>
              <w:rPr>
                <w:color w:val="auto"/>
                <w:kern w:val="0"/>
                <w:szCs w:val="21"/>
                <w:lang w:bidi="ar"/>
              </w:rPr>
            </w:pPr>
            <w:r>
              <w:rPr>
                <w:color w:val="auto"/>
                <w:kern w:val="0"/>
                <w:szCs w:val="21"/>
                <w:lang w:bidi="ar"/>
              </w:rPr>
              <w:t>（1）危废贮存要求</w:t>
            </w:r>
          </w:p>
          <w:p w14:paraId="457D6999">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auto"/>
              <w:rPr>
                <w:color w:val="auto"/>
                <w:kern w:val="0"/>
                <w:szCs w:val="21"/>
                <w:lang w:bidi="ar"/>
              </w:rPr>
            </w:pPr>
            <w:r>
              <w:rPr>
                <w:color w:val="auto"/>
                <w:kern w:val="0"/>
                <w:szCs w:val="21"/>
                <w:lang w:bidi="ar"/>
              </w:rPr>
              <w:t>本项目</w:t>
            </w:r>
            <w:r>
              <w:rPr>
                <w:color w:val="auto"/>
                <w:szCs w:val="21"/>
              </w:rPr>
              <w:t>危险废物暂存及转移应按照《危险废物贮存污染控制标准》（GB 18597-2023）、《关于印发江苏省危险废物贮存规范化管理专项整治行动方案的通知》（苏环办﹝2019﹞149号）等文件的相关要求，</w:t>
            </w:r>
            <w:r>
              <w:rPr>
                <w:color w:val="auto"/>
                <w:kern w:val="0"/>
                <w:szCs w:val="21"/>
                <w:lang w:bidi="ar"/>
              </w:rPr>
              <w:t>做好该堆场防风、防雨、防晒、防渗漏等措施，并制定好固体废物特别是危险废物转移运输中的污染防范及事故应急措施。主要内容如下：</w:t>
            </w:r>
          </w:p>
          <w:p w14:paraId="7748F69C">
            <w:pPr>
              <w:keepNext w:val="0"/>
              <w:keepLines w:val="0"/>
              <w:pageBreakBefore w:val="0"/>
              <w:widowControl/>
              <w:tabs>
                <w:tab w:val="left" w:pos="2790"/>
              </w:tabs>
              <w:kinsoku/>
              <w:wordWrap/>
              <w:overflowPunct/>
              <w:topLinePunct w:val="0"/>
              <w:autoSpaceDE/>
              <w:autoSpaceDN/>
              <w:bidi w:val="0"/>
              <w:adjustRightInd/>
              <w:snapToGrid w:val="0"/>
              <w:spacing w:line="360" w:lineRule="auto"/>
              <w:ind w:firstLine="420" w:firstLineChars="200"/>
              <w:textAlignment w:val="auto"/>
              <w:rPr>
                <w:color w:val="auto"/>
                <w:kern w:val="0"/>
                <w:szCs w:val="21"/>
                <w:lang w:bidi="ar"/>
              </w:rPr>
            </w:pPr>
            <w:r>
              <w:rPr>
                <w:color w:val="auto"/>
                <w:kern w:val="0"/>
                <w:szCs w:val="21"/>
                <w:lang w:bidi="ar"/>
              </w:rPr>
              <w:t>①危废暂存间的防渗层为2mm厚高密度聚乙烯或至少2mm厚的其他人工材料，渗透系数≤10</w:t>
            </w:r>
            <w:r>
              <w:rPr>
                <w:color w:val="auto"/>
                <w:kern w:val="0"/>
                <w:szCs w:val="21"/>
                <w:vertAlign w:val="superscript"/>
                <w:lang w:bidi="ar"/>
              </w:rPr>
              <w:t>-10</w:t>
            </w:r>
            <w:r>
              <w:rPr>
                <w:color w:val="auto"/>
                <w:kern w:val="0"/>
                <w:szCs w:val="21"/>
                <w:lang w:bidi="ar"/>
              </w:rPr>
              <w:t>cm/s；</w:t>
            </w:r>
          </w:p>
          <w:p w14:paraId="4529AB51">
            <w:pPr>
              <w:keepNext w:val="0"/>
              <w:keepLines w:val="0"/>
              <w:pageBreakBefore w:val="0"/>
              <w:widowControl/>
              <w:tabs>
                <w:tab w:val="left" w:pos="2790"/>
              </w:tabs>
              <w:kinsoku/>
              <w:wordWrap/>
              <w:overflowPunct/>
              <w:topLinePunct w:val="0"/>
              <w:autoSpaceDE/>
              <w:autoSpaceDN/>
              <w:bidi w:val="0"/>
              <w:adjustRightInd/>
              <w:snapToGrid w:val="0"/>
              <w:spacing w:line="360" w:lineRule="auto"/>
              <w:ind w:firstLine="420" w:firstLineChars="200"/>
              <w:textAlignment w:val="auto"/>
              <w:rPr>
                <w:color w:val="auto"/>
                <w:kern w:val="0"/>
                <w:szCs w:val="21"/>
                <w:lang w:bidi="ar"/>
              </w:rPr>
            </w:pPr>
            <w:r>
              <w:rPr>
                <w:color w:val="auto"/>
                <w:kern w:val="0"/>
                <w:szCs w:val="21"/>
                <w:lang w:bidi="ar"/>
              </w:rPr>
              <w:t>②危废均设置防渗漏、防锐器穿透的专用容器，并有明显的警示标识和警示说明；</w:t>
            </w:r>
          </w:p>
          <w:p w14:paraId="6A9E2AF3">
            <w:pPr>
              <w:keepNext w:val="0"/>
              <w:keepLines w:val="0"/>
              <w:pageBreakBefore w:val="0"/>
              <w:widowControl/>
              <w:tabs>
                <w:tab w:val="left" w:pos="2790"/>
              </w:tabs>
              <w:kinsoku/>
              <w:wordWrap/>
              <w:overflowPunct/>
              <w:topLinePunct w:val="0"/>
              <w:autoSpaceDE/>
              <w:autoSpaceDN/>
              <w:bidi w:val="0"/>
              <w:adjustRightInd/>
              <w:snapToGrid w:val="0"/>
              <w:spacing w:line="360" w:lineRule="auto"/>
              <w:ind w:firstLine="420" w:firstLineChars="200"/>
              <w:textAlignment w:val="auto"/>
              <w:rPr>
                <w:color w:val="auto"/>
                <w:kern w:val="0"/>
                <w:szCs w:val="21"/>
                <w:lang w:bidi="ar"/>
              </w:rPr>
            </w:pPr>
            <w:r>
              <w:rPr>
                <w:color w:val="auto"/>
                <w:kern w:val="0"/>
                <w:szCs w:val="21"/>
                <w:lang w:bidi="ar"/>
              </w:rPr>
              <w:t>③危废储存必须防风、防雨、防晒；</w:t>
            </w:r>
          </w:p>
          <w:p w14:paraId="50E29507">
            <w:pPr>
              <w:keepNext w:val="0"/>
              <w:keepLines w:val="0"/>
              <w:pageBreakBefore w:val="0"/>
              <w:widowControl/>
              <w:tabs>
                <w:tab w:val="left" w:pos="2790"/>
              </w:tabs>
              <w:kinsoku/>
              <w:wordWrap/>
              <w:overflowPunct/>
              <w:topLinePunct w:val="0"/>
              <w:autoSpaceDE/>
              <w:autoSpaceDN/>
              <w:bidi w:val="0"/>
              <w:adjustRightInd/>
              <w:snapToGrid w:val="0"/>
              <w:spacing w:line="360" w:lineRule="auto"/>
              <w:ind w:firstLine="420" w:firstLineChars="200"/>
              <w:textAlignment w:val="auto"/>
              <w:rPr>
                <w:color w:val="auto"/>
                <w:kern w:val="0"/>
                <w:szCs w:val="21"/>
                <w:lang w:bidi="ar"/>
              </w:rPr>
            </w:pPr>
            <w:r>
              <w:rPr>
                <w:color w:val="auto"/>
                <w:kern w:val="0"/>
                <w:szCs w:val="21"/>
                <w:lang w:bidi="ar"/>
              </w:rPr>
              <w:t>④危废间设置安全照明设施和观察窗口，并张贴危险废物警示标志；</w:t>
            </w:r>
          </w:p>
          <w:p w14:paraId="1F7C04D6">
            <w:pPr>
              <w:keepNext w:val="0"/>
              <w:keepLines w:val="0"/>
              <w:pageBreakBefore w:val="0"/>
              <w:widowControl/>
              <w:tabs>
                <w:tab w:val="left" w:pos="2790"/>
              </w:tabs>
              <w:kinsoku/>
              <w:wordWrap/>
              <w:overflowPunct/>
              <w:topLinePunct w:val="0"/>
              <w:autoSpaceDE/>
              <w:autoSpaceDN/>
              <w:bidi w:val="0"/>
              <w:adjustRightInd/>
              <w:snapToGrid w:val="0"/>
              <w:spacing w:line="360" w:lineRule="auto"/>
              <w:ind w:firstLine="420" w:firstLineChars="200"/>
              <w:textAlignment w:val="auto"/>
              <w:rPr>
                <w:color w:val="auto"/>
                <w:kern w:val="0"/>
                <w:szCs w:val="21"/>
                <w:lang w:bidi="ar"/>
              </w:rPr>
            </w:pPr>
            <w:r>
              <w:rPr>
                <w:color w:val="auto"/>
                <w:kern w:val="0"/>
                <w:szCs w:val="21"/>
                <w:lang w:bidi="ar"/>
              </w:rPr>
              <w:t>⑤应当对危废进行登记，登记内容应当包括来源、种类、重量或者数量、交接时间、处置方法、最终去向以及经办人签名等项目，登记资料至少保存3年；</w:t>
            </w:r>
          </w:p>
          <w:p w14:paraId="73D250AB">
            <w:pPr>
              <w:keepNext w:val="0"/>
              <w:keepLines w:val="0"/>
              <w:pageBreakBefore w:val="0"/>
              <w:widowControl/>
              <w:tabs>
                <w:tab w:val="left" w:pos="2790"/>
              </w:tabs>
              <w:kinsoku/>
              <w:wordWrap/>
              <w:overflowPunct/>
              <w:topLinePunct w:val="0"/>
              <w:autoSpaceDE/>
              <w:autoSpaceDN/>
              <w:bidi w:val="0"/>
              <w:adjustRightInd/>
              <w:snapToGrid w:val="0"/>
              <w:spacing w:line="360" w:lineRule="auto"/>
              <w:ind w:firstLine="420" w:firstLineChars="200"/>
              <w:textAlignment w:val="auto"/>
              <w:rPr>
                <w:color w:val="auto"/>
                <w:kern w:val="0"/>
                <w:szCs w:val="21"/>
                <w:lang w:bidi="ar"/>
              </w:rPr>
            </w:pPr>
            <w:r>
              <w:rPr>
                <w:color w:val="auto"/>
                <w:kern w:val="0"/>
                <w:szCs w:val="21"/>
                <w:lang w:bidi="ar"/>
              </w:rPr>
              <w:t>⑥定期对包装容器和危废间进行检查，发现破损及时采取措施更换；</w:t>
            </w:r>
          </w:p>
          <w:p w14:paraId="666DA289">
            <w:pPr>
              <w:pStyle w:val="10"/>
              <w:keepNext w:val="0"/>
              <w:keepLines w:val="0"/>
              <w:pageBreakBefore w:val="0"/>
              <w:widowControl w:val="0"/>
              <w:kinsoku/>
              <w:wordWrap/>
              <w:overflowPunct/>
              <w:topLinePunct w:val="0"/>
              <w:autoSpaceDE/>
              <w:autoSpaceDN/>
              <w:bidi w:val="0"/>
              <w:adjustRightInd/>
              <w:snapToGrid w:val="0"/>
              <w:spacing w:before="0" w:after="0" w:line="360" w:lineRule="auto"/>
              <w:ind w:right="0" w:firstLine="420" w:firstLineChars="200"/>
              <w:textAlignment w:val="auto"/>
              <w:rPr>
                <w:color w:val="auto"/>
                <w:sz w:val="21"/>
                <w:szCs w:val="21"/>
              </w:rPr>
            </w:pPr>
            <w:r>
              <w:rPr>
                <w:color w:val="auto"/>
                <w:sz w:val="21"/>
                <w:szCs w:val="21"/>
              </w:rPr>
              <w:t>⑦在关键位置设置在线视频监控，应指定专人专职维护视频监控设施运行，定期巡视并做好相应的监控运行、维修、使用记录；</w:t>
            </w:r>
          </w:p>
          <w:p w14:paraId="170149B3">
            <w:pPr>
              <w:pStyle w:val="108"/>
              <w:keepNext w:val="0"/>
              <w:keepLines w:val="0"/>
              <w:pageBreakBefore w:val="0"/>
              <w:kinsoku/>
              <w:wordWrap/>
              <w:overflowPunct/>
              <w:topLinePunct w:val="0"/>
              <w:autoSpaceDE/>
              <w:autoSpaceDN/>
              <w:bidi w:val="0"/>
              <w:adjustRightInd/>
              <w:snapToGrid w:val="0"/>
              <w:ind w:firstLine="420"/>
              <w:textAlignment w:val="auto"/>
              <w:rPr>
                <w:rFonts w:cs="Times New Roman"/>
                <w:color w:val="auto"/>
                <w:kern w:val="0"/>
                <w:sz w:val="21"/>
                <w:szCs w:val="21"/>
                <w:lang w:bidi="ar"/>
              </w:rPr>
            </w:pPr>
            <w:r>
              <w:rPr>
                <w:rFonts w:cs="Times New Roman"/>
                <w:color w:val="auto"/>
                <w:kern w:val="0"/>
                <w:sz w:val="21"/>
                <w:szCs w:val="21"/>
                <w:lang w:bidi="ar"/>
              </w:rPr>
              <w:t>⑧危险废物按种类分别存放，设置防雨、防火、防雷、防扬散、防渗漏装置及泄漏液体收集装置。对易爆、易燃及排出有毒气体的危险废物进行预处理，稳定后贮存，否则按易爆、易燃危险品贮存且不同类废物间有明显的间隔。</w:t>
            </w:r>
          </w:p>
          <w:p w14:paraId="27750908">
            <w:pPr>
              <w:pStyle w:val="108"/>
              <w:keepNext w:val="0"/>
              <w:keepLines w:val="0"/>
              <w:pageBreakBefore w:val="0"/>
              <w:kinsoku/>
              <w:wordWrap/>
              <w:overflowPunct/>
              <w:topLinePunct w:val="0"/>
              <w:autoSpaceDE/>
              <w:autoSpaceDN/>
              <w:bidi w:val="0"/>
              <w:adjustRightInd/>
              <w:snapToGrid w:val="0"/>
              <w:ind w:firstLine="420"/>
              <w:textAlignment w:val="auto"/>
              <w:rPr>
                <w:rFonts w:cs="Times New Roman"/>
                <w:color w:val="auto"/>
                <w:kern w:val="0"/>
                <w:sz w:val="21"/>
                <w:szCs w:val="21"/>
                <w:lang w:bidi="ar"/>
              </w:rPr>
            </w:pPr>
            <w:r>
              <w:rPr>
                <w:rFonts w:cs="Times New Roman"/>
                <w:color w:val="auto"/>
                <w:kern w:val="0"/>
                <w:sz w:val="21"/>
                <w:szCs w:val="21"/>
                <w:lang w:bidi="ar"/>
              </w:rPr>
              <w:t>（2）危废转移相关要求</w:t>
            </w:r>
          </w:p>
          <w:p w14:paraId="4FE849CD">
            <w:pPr>
              <w:pStyle w:val="108"/>
              <w:keepNext w:val="0"/>
              <w:keepLines w:val="0"/>
              <w:pageBreakBefore w:val="0"/>
              <w:kinsoku/>
              <w:wordWrap/>
              <w:overflowPunct/>
              <w:topLinePunct w:val="0"/>
              <w:autoSpaceDE/>
              <w:autoSpaceDN/>
              <w:bidi w:val="0"/>
              <w:adjustRightInd/>
              <w:snapToGrid w:val="0"/>
              <w:ind w:firstLine="420"/>
              <w:textAlignment w:val="auto"/>
              <w:rPr>
                <w:rFonts w:cs="Times New Roman"/>
                <w:color w:val="auto"/>
                <w:kern w:val="0"/>
                <w:sz w:val="21"/>
                <w:szCs w:val="21"/>
                <w:lang w:bidi="ar"/>
              </w:rPr>
            </w:pPr>
            <w:r>
              <w:rPr>
                <w:rFonts w:cs="Times New Roman"/>
                <w:color w:val="auto"/>
                <w:sz w:val="21"/>
                <w:szCs w:val="21"/>
              </w:rPr>
              <w:t>项目危废转移应严格按照《危险废物转移联单管理办法》（国家环境保护总局令第5号）、《关于开展全省固废危废环境隐患排查整治专项行动的通知》（苏环办﹝2019﹞104号）、《关于印发江苏省危险废物贮存规范化管理专项整治行动方案的通知》（苏环办﹝2019﹞149号）、《江苏省固体废物全过程环境监管工作意见》（苏环办〔2024〕16号）、《省生态环境厅关于做好江苏省危险废物全生命周期监控系统上线运行工作的通知》（苏环办〔2020〕401号）、《省生态环境厅关于进一步加强危险废物环境管理工作的通知》（苏环办〔2021〕207号）等文件中的相关要求进行。</w:t>
            </w:r>
          </w:p>
          <w:p w14:paraId="1D642BC5">
            <w:pPr>
              <w:pStyle w:val="108"/>
              <w:keepNext w:val="0"/>
              <w:keepLines w:val="0"/>
              <w:pageBreakBefore w:val="0"/>
              <w:kinsoku/>
              <w:wordWrap/>
              <w:overflowPunct/>
              <w:topLinePunct w:val="0"/>
              <w:autoSpaceDE/>
              <w:autoSpaceDN/>
              <w:bidi w:val="0"/>
              <w:adjustRightInd/>
              <w:snapToGrid w:val="0"/>
              <w:ind w:firstLine="420"/>
              <w:textAlignment w:val="auto"/>
              <w:rPr>
                <w:rFonts w:cs="Times New Roman"/>
                <w:color w:val="auto"/>
                <w:kern w:val="0"/>
                <w:sz w:val="21"/>
                <w:szCs w:val="21"/>
                <w:lang w:bidi="ar"/>
              </w:rPr>
            </w:pPr>
            <w:r>
              <w:rPr>
                <w:rFonts w:cs="Times New Roman"/>
                <w:color w:val="auto"/>
                <w:kern w:val="0"/>
                <w:sz w:val="21"/>
                <w:szCs w:val="21"/>
                <w:lang w:bidi="ar"/>
              </w:rPr>
              <w:t>（3）危废识别标识</w:t>
            </w:r>
          </w:p>
          <w:p w14:paraId="26EFE66E">
            <w:pPr>
              <w:pStyle w:val="29"/>
              <w:keepNext w:val="0"/>
              <w:keepLines w:val="0"/>
              <w:pageBreakBefore w:val="0"/>
              <w:kinsoku/>
              <w:wordWrap/>
              <w:overflowPunct/>
              <w:topLinePunct w:val="0"/>
              <w:autoSpaceDE/>
              <w:autoSpaceDN/>
              <w:bidi w:val="0"/>
              <w:adjustRightInd/>
              <w:snapToGrid w:val="0"/>
              <w:spacing w:before="0" w:after="0" w:line="360" w:lineRule="auto"/>
              <w:ind w:right="0" w:firstLineChars="200"/>
              <w:jc w:val="both"/>
              <w:textAlignment w:val="auto"/>
              <w:rPr>
                <w:rFonts w:eastAsia="宋体"/>
                <w:b/>
                <w:bCs/>
                <w:color w:val="auto"/>
                <w:sz w:val="21"/>
                <w:szCs w:val="21"/>
              </w:rPr>
            </w:pPr>
            <w:r>
              <w:rPr>
                <w:rFonts w:eastAsia="宋体"/>
                <w:color w:val="auto"/>
                <w:sz w:val="21"/>
                <w:szCs w:val="21"/>
              </w:rPr>
              <w:t>在厂区的危废暂存库应设置危险废物识别标识，按《危险废物贮存污染控制标准》（GB 18597-2023）、《废物收集贮存运输技术规范》(HB/T 2025-2012)、《危险废物识别标志设置技术规范》（HJ 1276-2022）、《省生态环境厅关于做好&lt;危险废物贮存污染控制标准&gt;等标准规范实施后危险废物环境管理衔接工作的通知》（苏环办〔2023〕154号）执行，危险废物识别标识规范化设置要求见表4-</w:t>
            </w:r>
            <w:r>
              <w:rPr>
                <w:rFonts w:hint="eastAsia" w:eastAsia="宋体"/>
                <w:color w:val="auto"/>
                <w:sz w:val="21"/>
                <w:szCs w:val="21"/>
                <w:lang w:val="en-US" w:eastAsia="zh-CN"/>
              </w:rPr>
              <w:t>32</w:t>
            </w:r>
            <w:r>
              <w:rPr>
                <w:rFonts w:eastAsia="宋体"/>
                <w:color w:val="auto"/>
                <w:sz w:val="21"/>
                <w:szCs w:val="21"/>
              </w:rPr>
              <w:t>。</w:t>
            </w:r>
          </w:p>
          <w:p w14:paraId="5C67D6D6">
            <w:pPr>
              <w:widowControl/>
              <w:adjustRightInd w:val="0"/>
              <w:snapToGrid w:val="0"/>
              <w:spacing w:before="147" w:beforeLines="50"/>
              <w:jc w:val="center"/>
              <w:rPr>
                <w:b/>
                <w:bCs/>
                <w:color w:val="auto"/>
                <w:szCs w:val="21"/>
              </w:rPr>
            </w:pPr>
            <w:r>
              <w:rPr>
                <w:b/>
                <w:bCs/>
                <w:color w:val="auto"/>
                <w:szCs w:val="21"/>
              </w:rPr>
              <w:t>表4-</w:t>
            </w:r>
            <w:r>
              <w:rPr>
                <w:rFonts w:hint="eastAsia"/>
                <w:b/>
                <w:bCs/>
                <w:color w:val="auto"/>
                <w:szCs w:val="21"/>
                <w:lang w:val="en-US" w:eastAsia="zh-CN"/>
              </w:rPr>
              <w:t>32</w:t>
            </w:r>
            <w:r>
              <w:rPr>
                <w:b/>
                <w:bCs/>
                <w:color w:val="auto"/>
                <w:szCs w:val="21"/>
              </w:rPr>
              <w:t xml:space="preserve"> 环境保护图形符号一览表</w:t>
            </w:r>
          </w:p>
          <w:tbl>
            <w:tblPr>
              <w:tblStyle w:val="30"/>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28" w:type="dxa"/>
                <w:bottom w:w="0" w:type="dxa"/>
                <w:right w:w="28" w:type="dxa"/>
              </w:tblCellMar>
            </w:tblPr>
            <w:tblGrid>
              <w:gridCol w:w="482"/>
              <w:gridCol w:w="549"/>
              <w:gridCol w:w="827"/>
              <w:gridCol w:w="3117"/>
              <w:gridCol w:w="3459"/>
            </w:tblGrid>
            <w:tr w14:paraId="2A0F2F2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64" w:type="dxa"/>
                  <w:tcBorders>
                    <w:tl2br w:val="nil"/>
                    <w:tr2bl w:val="nil"/>
                  </w:tcBorders>
                  <w:vAlign w:val="center"/>
                </w:tcPr>
                <w:p w14:paraId="16A9B785">
                  <w:pPr>
                    <w:widowControl/>
                    <w:adjustRightInd w:val="0"/>
                    <w:snapToGrid w:val="0"/>
                    <w:jc w:val="center"/>
                    <w:rPr>
                      <w:rFonts w:hint="eastAsia" w:ascii="宋体" w:hAnsi="宋体" w:cs="宋体"/>
                      <w:b/>
                      <w:bCs/>
                      <w:color w:val="auto"/>
                      <w:kern w:val="0"/>
                    </w:rPr>
                  </w:pPr>
                  <w:r>
                    <w:rPr>
                      <w:rFonts w:hint="eastAsia" w:ascii="宋体" w:hAnsi="宋体" w:cs="宋体"/>
                      <w:b/>
                      <w:bCs/>
                      <w:color w:val="auto"/>
                      <w:kern w:val="0"/>
                      <w:lang w:bidi="ar"/>
                    </w:rPr>
                    <w:t>序号</w:t>
                  </w:r>
                </w:p>
              </w:tc>
              <w:tc>
                <w:tcPr>
                  <w:tcW w:w="1321" w:type="dxa"/>
                  <w:gridSpan w:val="2"/>
                  <w:tcBorders>
                    <w:tl2br w:val="nil"/>
                    <w:tr2bl w:val="nil"/>
                  </w:tcBorders>
                  <w:vAlign w:val="center"/>
                </w:tcPr>
                <w:p w14:paraId="07F232C0">
                  <w:pPr>
                    <w:widowControl/>
                    <w:adjustRightInd w:val="0"/>
                    <w:snapToGrid w:val="0"/>
                    <w:jc w:val="center"/>
                    <w:rPr>
                      <w:rFonts w:hint="eastAsia" w:ascii="宋体" w:hAnsi="宋体" w:cs="宋体"/>
                      <w:b/>
                      <w:bCs/>
                      <w:color w:val="auto"/>
                      <w:kern w:val="0"/>
                    </w:rPr>
                  </w:pPr>
                  <w:r>
                    <w:rPr>
                      <w:rFonts w:hint="eastAsia" w:ascii="宋体" w:hAnsi="宋体" w:cs="宋体"/>
                      <w:b/>
                      <w:bCs/>
                      <w:color w:val="auto"/>
                      <w:kern w:val="0"/>
                      <w:lang w:bidi="ar"/>
                    </w:rPr>
                    <w:t>标识名称</w:t>
                  </w:r>
                </w:p>
              </w:tc>
              <w:tc>
                <w:tcPr>
                  <w:tcW w:w="2994" w:type="dxa"/>
                  <w:tcBorders>
                    <w:tl2br w:val="nil"/>
                    <w:tr2bl w:val="nil"/>
                  </w:tcBorders>
                  <w:vAlign w:val="center"/>
                </w:tcPr>
                <w:p w14:paraId="7191A386">
                  <w:pPr>
                    <w:widowControl/>
                    <w:adjustRightInd w:val="0"/>
                    <w:snapToGrid w:val="0"/>
                    <w:jc w:val="center"/>
                    <w:rPr>
                      <w:rFonts w:hint="eastAsia" w:ascii="宋体" w:hAnsi="宋体" w:cs="宋体"/>
                      <w:b/>
                      <w:bCs/>
                      <w:color w:val="auto"/>
                      <w:kern w:val="0"/>
                    </w:rPr>
                  </w:pPr>
                  <w:r>
                    <w:rPr>
                      <w:rFonts w:hint="eastAsia" w:ascii="宋体" w:hAnsi="宋体" w:cs="宋体"/>
                      <w:b/>
                      <w:bCs/>
                      <w:color w:val="auto"/>
                      <w:kern w:val="0"/>
                      <w:lang w:bidi="ar"/>
                    </w:rPr>
                    <w:t>图案样式</w:t>
                  </w:r>
                </w:p>
              </w:tc>
              <w:tc>
                <w:tcPr>
                  <w:tcW w:w="3322" w:type="dxa"/>
                  <w:tcBorders>
                    <w:tl2br w:val="nil"/>
                    <w:tr2bl w:val="nil"/>
                  </w:tcBorders>
                  <w:vAlign w:val="center"/>
                </w:tcPr>
                <w:p w14:paraId="7B3B3939">
                  <w:pPr>
                    <w:widowControl/>
                    <w:adjustRightInd w:val="0"/>
                    <w:snapToGrid w:val="0"/>
                    <w:jc w:val="center"/>
                    <w:rPr>
                      <w:rFonts w:hint="eastAsia" w:ascii="宋体" w:hAnsi="宋体" w:cs="宋体"/>
                      <w:b/>
                      <w:bCs/>
                      <w:color w:val="auto"/>
                      <w:kern w:val="0"/>
                    </w:rPr>
                  </w:pPr>
                  <w:r>
                    <w:rPr>
                      <w:rFonts w:hint="eastAsia" w:ascii="宋体" w:hAnsi="宋体" w:cs="宋体"/>
                      <w:b/>
                      <w:bCs/>
                      <w:color w:val="auto"/>
                      <w:kern w:val="0"/>
                      <w:lang w:bidi="ar"/>
                    </w:rPr>
                    <w:t>设置规范</w:t>
                  </w:r>
                </w:p>
              </w:tc>
            </w:tr>
            <w:tr w14:paraId="14C6C3E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64" w:type="dxa"/>
                  <w:tcBorders>
                    <w:tl2br w:val="nil"/>
                    <w:tr2bl w:val="nil"/>
                  </w:tcBorders>
                  <w:vAlign w:val="center"/>
                </w:tcPr>
                <w:p w14:paraId="238FBC5D">
                  <w:pPr>
                    <w:widowControl/>
                    <w:adjustRightInd w:val="0"/>
                    <w:snapToGrid w:val="0"/>
                    <w:jc w:val="center"/>
                    <w:rPr>
                      <w:color w:val="auto"/>
                      <w:kern w:val="0"/>
                    </w:rPr>
                  </w:pPr>
                  <w:r>
                    <w:rPr>
                      <w:color w:val="auto"/>
                      <w:kern w:val="0"/>
                      <w:lang w:bidi="ar"/>
                    </w:rPr>
                    <w:t>1</w:t>
                  </w:r>
                </w:p>
              </w:tc>
              <w:tc>
                <w:tcPr>
                  <w:tcW w:w="527" w:type="dxa"/>
                  <w:tcBorders>
                    <w:tl2br w:val="nil"/>
                    <w:tr2bl w:val="nil"/>
                  </w:tcBorders>
                  <w:vAlign w:val="center"/>
                </w:tcPr>
                <w:p w14:paraId="5C39F82D">
                  <w:pPr>
                    <w:widowControl/>
                    <w:jc w:val="center"/>
                    <w:rPr>
                      <w:color w:val="auto"/>
                      <w:kern w:val="0"/>
                    </w:rPr>
                  </w:pPr>
                  <w:r>
                    <w:rPr>
                      <w:rFonts w:hint="eastAsia" w:cs="宋体"/>
                      <w:color w:val="auto"/>
                      <w:kern w:val="0"/>
                      <w:lang w:bidi="ar"/>
                    </w:rPr>
                    <w:t>危险废物标签</w:t>
                  </w:r>
                </w:p>
              </w:tc>
              <w:tc>
                <w:tcPr>
                  <w:tcW w:w="794" w:type="dxa"/>
                  <w:tcBorders>
                    <w:tl2br w:val="nil"/>
                    <w:tr2bl w:val="nil"/>
                  </w:tcBorders>
                  <w:vAlign w:val="center"/>
                </w:tcPr>
                <w:p w14:paraId="36F2BF9F">
                  <w:pPr>
                    <w:widowControl/>
                    <w:jc w:val="center"/>
                    <w:rPr>
                      <w:rFonts w:hint="eastAsia" w:ascii="宋体" w:hAnsi="宋体" w:cs="宋体"/>
                      <w:color w:val="auto"/>
                      <w:kern w:val="0"/>
                      <w:lang w:bidi="ar"/>
                    </w:rPr>
                  </w:pPr>
                  <w:r>
                    <w:rPr>
                      <w:rFonts w:hint="eastAsia" w:ascii="宋体" w:hAnsi="宋体" w:cs="宋体"/>
                      <w:color w:val="auto"/>
                      <w:kern w:val="0"/>
                      <w:lang w:bidi="ar"/>
                    </w:rPr>
                    <w:t>危险废物标签</w:t>
                  </w:r>
                </w:p>
              </w:tc>
              <w:tc>
                <w:tcPr>
                  <w:tcW w:w="2994" w:type="dxa"/>
                  <w:tcBorders>
                    <w:tl2br w:val="nil"/>
                    <w:tr2bl w:val="nil"/>
                  </w:tcBorders>
                  <w:vAlign w:val="center"/>
                </w:tcPr>
                <w:p w14:paraId="19AE1879">
                  <w:pPr>
                    <w:widowControl/>
                    <w:adjustRightInd w:val="0"/>
                    <w:snapToGrid w:val="0"/>
                    <w:jc w:val="center"/>
                    <w:rPr>
                      <w:rFonts w:hint="eastAsia" w:ascii="宋体" w:hAnsi="宋体" w:cs="宋体"/>
                      <w:color w:val="auto"/>
                      <w:kern w:val="0"/>
                    </w:rPr>
                  </w:pPr>
                  <w:r>
                    <w:rPr>
                      <w:rFonts w:hint="eastAsia" w:ascii="宋体" w:hAnsi="宋体" w:cs="宋体"/>
                      <w:color w:val="auto"/>
                      <w:kern w:val="0"/>
                      <w:lang w:bidi="ar"/>
                    </w:rPr>
                    <w:drawing>
                      <wp:inline distT="0" distB="0" distL="114300" distR="114300">
                        <wp:extent cx="1157605" cy="1157605"/>
                        <wp:effectExtent l="0" t="0" r="4445" b="4445"/>
                        <wp:docPr id="28" name="图片 32" descr="危险废物标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2" descr="危险废物标签"/>
                                <pic:cNvPicPr>
                                  <a:picLocks noChangeAspect="1"/>
                                </pic:cNvPicPr>
                              </pic:nvPicPr>
                              <pic:blipFill>
                                <a:blip r:embed="rId29"/>
                                <a:stretch>
                                  <a:fillRect/>
                                </a:stretch>
                              </pic:blipFill>
                              <pic:spPr>
                                <a:xfrm>
                                  <a:off x="0" y="0"/>
                                  <a:ext cx="1157605" cy="1157605"/>
                                </a:xfrm>
                                <a:prstGeom prst="rect">
                                  <a:avLst/>
                                </a:prstGeom>
                                <a:noFill/>
                                <a:ln>
                                  <a:noFill/>
                                </a:ln>
                              </pic:spPr>
                            </pic:pic>
                          </a:graphicData>
                        </a:graphic>
                      </wp:inline>
                    </w:drawing>
                  </w:r>
                </w:p>
              </w:tc>
              <w:tc>
                <w:tcPr>
                  <w:tcW w:w="3322" w:type="dxa"/>
                  <w:tcBorders>
                    <w:tl2br w:val="nil"/>
                    <w:tr2bl w:val="nil"/>
                  </w:tcBorders>
                  <w:vAlign w:val="center"/>
                </w:tcPr>
                <w:p w14:paraId="46ED880A">
                  <w:pPr>
                    <w:widowControl/>
                    <w:adjustRightInd w:val="0"/>
                    <w:snapToGrid w:val="0"/>
                    <w:rPr>
                      <w:color w:val="auto"/>
                      <w:kern w:val="0"/>
                      <w:szCs w:val="20"/>
                      <w:lang w:bidi="ar"/>
                    </w:rPr>
                  </w:pPr>
                  <w:r>
                    <w:rPr>
                      <w:rFonts w:hint="eastAsia" w:cs="宋体"/>
                      <w:color w:val="auto"/>
                      <w:kern w:val="0"/>
                      <w:szCs w:val="20"/>
                      <w:lang w:bidi="ar"/>
                    </w:rPr>
                    <w:t>危险废物标签的设置位置应明显可见且易读，不应被容器、包装物自身的任何部分或其他标签遮挡。</w:t>
                  </w:r>
                </w:p>
                <w:p w14:paraId="2188B64F">
                  <w:pPr>
                    <w:widowControl/>
                    <w:adjustRightInd w:val="0"/>
                    <w:snapToGrid w:val="0"/>
                    <w:rPr>
                      <w:color w:val="auto"/>
                      <w:kern w:val="0"/>
                      <w:sz w:val="20"/>
                      <w:szCs w:val="20"/>
                      <w:lang w:bidi="ar"/>
                    </w:rPr>
                  </w:pPr>
                  <w:r>
                    <w:rPr>
                      <w:rFonts w:hint="eastAsia" w:cs="宋体"/>
                      <w:color w:val="auto"/>
                      <w:kern w:val="0"/>
                      <w:szCs w:val="20"/>
                      <w:lang w:bidi="ar"/>
                    </w:rPr>
                    <w:t>在贮存池的或贮存设施内堆存的无包装或无容器的危险废物，宜在其附近参照危险废物标签的格式和内容设置柱式标志牌。</w:t>
                  </w:r>
                </w:p>
              </w:tc>
            </w:tr>
            <w:tr w14:paraId="3B3F9DB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64" w:type="dxa"/>
                  <w:tcBorders>
                    <w:tl2br w:val="nil"/>
                    <w:tr2bl w:val="nil"/>
                  </w:tcBorders>
                  <w:vAlign w:val="center"/>
                </w:tcPr>
                <w:p w14:paraId="2856282C">
                  <w:pPr>
                    <w:widowControl/>
                    <w:adjustRightInd w:val="0"/>
                    <w:snapToGrid w:val="0"/>
                    <w:jc w:val="center"/>
                    <w:rPr>
                      <w:color w:val="auto"/>
                      <w:kern w:val="0"/>
                    </w:rPr>
                  </w:pPr>
                  <w:r>
                    <w:rPr>
                      <w:color w:val="auto"/>
                      <w:kern w:val="0"/>
                      <w:lang w:bidi="ar"/>
                    </w:rPr>
                    <w:t>2</w:t>
                  </w:r>
                </w:p>
              </w:tc>
              <w:tc>
                <w:tcPr>
                  <w:tcW w:w="527" w:type="dxa"/>
                  <w:tcBorders>
                    <w:tl2br w:val="nil"/>
                    <w:tr2bl w:val="nil"/>
                  </w:tcBorders>
                  <w:vAlign w:val="center"/>
                </w:tcPr>
                <w:p w14:paraId="0C4FDCC1">
                  <w:pPr>
                    <w:widowControl/>
                    <w:jc w:val="center"/>
                    <w:rPr>
                      <w:color w:val="auto"/>
                      <w:kern w:val="0"/>
                    </w:rPr>
                  </w:pPr>
                  <w:r>
                    <w:rPr>
                      <w:rFonts w:hint="eastAsia" w:cs="宋体"/>
                      <w:color w:val="auto"/>
                      <w:kern w:val="0"/>
                      <w:lang w:bidi="ar"/>
                    </w:rPr>
                    <w:t>危险废物贮存分区标志</w:t>
                  </w:r>
                </w:p>
              </w:tc>
              <w:tc>
                <w:tcPr>
                  <w:tcW w:w="794" w:type="dxa"/>
                  <w:tcBorders>
                    <w:tl2br w:val="nil"/>
                    <w:tr2bl w:val="nil"/>
                  </w:tcBorders>
                  <w:vAlign w:val="center"/>
                </w:tcPr>
                <w:p w14:paraId="6ED49780">
                  <w:pPr>
                    <w:widowControl/>
                    <w:adjustRightInd w:val="0"/>
                    <w:snapToGrid w:val="0"/>
                    <w:jc w:val="center"/>
                    <w:rPr>
                      <w:rFonts w:hint="eastAsia" w:ascii="宋体" w:hAnsi="宋体" w:cs="宋体"/>
                      <w:color w:val="auto"/>
                      <w:kern w:val="0"/>
                    </w:rPr>
                  </w:pPr>
                  <w:r>
                    <w:rPr>
                      <w:rFonts w:hint="eastAsia" w:ascii="宋体" w:hAnsi="宋体" w:cs="宋体"/>
                      <w:color w:val="auto"/>
                      <w:kern w:val="0"/>
                      <w:lang w:bidi="ar"/>
                    </w:rPr>
                    <w:t>危险废物贮存分区标志标签</w:t>
                  </w:r>
                </w:p>
              </w:tc>
              <w:tc>
                <w:tcPr>
                  <w:tcW w:w="2994" w:type="dxa"/>
                  <w:tcBorders>
                    <w:tl2br w:val="nil"/>
                    <w:tr2bl w:val="nil"/>
                  </w:tcBorders>
                  <w:vAlign w:val="center"/>
                </w:tcPr>
                <w:p w14:paraId="6CC4FCF6">
                  <w:pPr>
                    <w:widowControl/>
                    <w:adjustRightInd w:val="0"/>
                    <w:snapToGrid w:val="0"/>
                    <w:jc w:val="center"/>
                    <w:rPr>
                      <w:rFonts w:hint="eastAsia" w:ascii="宋体" w:hAnsi="宋体" w:cs="宋体"/>
                      <w:color w:val="auto"/>
                      <w:kern w:val="0"/>
                    </w:rPr>
                  </w:pPr>
                  <w:r>
                    <w:rPr>
                      <w:rFonts w:hint="eastAsia" w:ascii="宋体" w:hAnsi="宋体" w:cs="宋体"/>
                      <w:color w:val="auto"/>
                      <w:kern w:val="0"/>
                      <w:lang w:bidi="ar"/>
                    </w:rPr>
                    <w:drawing>
                      <wp:inline distT="0" distB="0" distL="114300" distR="114300">
                        <wp:extent cx="1295400" cy="1076325"/>
                        <wp:effectExtent l="0" t="0" r="0" b="9525"/>
                        <wp:docPr id="29" name="图片 33" descr="危废贮存分区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3" descr="危废贮存分区标志"/>
                                <pic:cNvPicPr>
                                  <a:picLocks noChangeAspect="1"/>
                                </pic:cNvPicPr>
                              </pic:nvPicPr>
                              <pic:blipFill>
                                <a:blip r:embed="rId30"/>
                                <a:stretch>
                                  <a:fillRect/>
                                </a:stretch>
                              </pic:blipFill>
                              <pic:spPr>
                                <a:xfrm>
                                  <a:off x="0" y="0"/>
                                  <a:ext cx="1295400" cy="1076325"/>
                                </a:xfrm>
                                <a:prstGeom prst="rect">
                                  <a:avLst/>
                                </a:prstGeom>
                                <a:noFill/>
                                <a:ln>
                                  <a:noFill/>
                                </a:ln>
                              </pic:spPr>
                            </pic:pic>
                          </a:graphicData>
                        </a:graphic>
                      </wp:inline>
                    </w:drawing>
                  </w:r>
                </w:p>
              </w:tc>
              <w:tc>
                <w:tcPr>
                  <w:tcW w:w="3322" w:type="dxa"/>
                  <w:tcBorders>
                    <w:tl2br w:val="nil"/>
                    <w:tr2bl w:val="nil"/>
                  </w:tcBorders>
                  <w:vAlign w:val="center"/>
                </w:tcPr>
                <w:p w14:paraId="5C29661F">
                  <w:pPr>
                    <w:widowControl/>
                    <w:adjustRightInd w:val="0"/>
                    <w:snapToGrid w:val="0"/>
                    <w:rPr>
                      <w:color w:val="auto"/>
                      <w:kern w:val="0"/>
                      <w:lang w:bidi="ar"/>
                    </w:rPr>
                  </w:pPr>
                  <w:r>
                    <w:rPr>
                      <w:rFonts w:hint="eastAsia" w:cs="宋体"/>
                      <w:color w:val="auto"/>
                      <w:kern w:val="0"/>
                      <w:lang w:bidi="ar"/>
                    </w:rPr>
                    <w:t>危险废物贮存分区的划分应满足</w:t>
                  </w:r>
                  <w:r>
                    <w:rPr>
                      <w:color w:val="auto"/>
                      <w:kern w:val="0"/>
                      <w:lang w:bidi="ar"/>
                    </w:rPr>
                    <w:t xml:space="preserve"> GB 18597</w:t>
                  </w:r>
                  <w:r>
                    <w:rPr>
                      <w:rFonts w:hint="eastAsia" w:cs="宋体"/>
                      <w:color w:val="auto"/>
                      <w:kern w:val="0"/>
                      <w:lang w:bidi="ar"/>
                    </w:rPr>
                    <w:t>中的有关规定。宜在危险废物贮存设施内的每一个贮存分区处设置危险废物贮存分区标志。贮存分区标志宜设置在该贮存分区前的通道位置或墙壁、栏杆等易于观察的位置。</w:t>
                  </w:r>
                </w:p>
              </w:tc>
            </w:tr>
            <w:tr w14:paraId="589B07D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64" w:type="dxa"/>
                  <w:vMerge w:val="restart"/>
                  <w:tcBorders>
                    <w:tl2br w:val="nil"/>
                    <w:tr2bl w:val="nil"/>
                  </w:tcBorders>
                  <w:vAlign w:val="center"/>
                </w:tcPr>
                <w:p w14:paraId="12931369">
                  <w:pPr>
                    <w:adjustRightInd w:val="0"/>
                    <w:snapToGrid w:val="0"/>
                    <w:jc w:val="center"/>
                    <w:rPr>
                      <w:color w:val="auto"/>
                      <w:kern w:val="0"/>
                    </w:rPr>
                  </w:pPr>
                  <w:r>
                    <w:rPr>
                      <w:color w:val="auto"/>
                      <w:kern w:val="0"/>
                      <w:lang w:bidi="ar"/>
                    </w:rPr>
                    <w:t>3</w:t>
                  </w:r>
                </w:p>
              </w:tc>
              <w:tc>
                <w:tcPr>
                  <w:tcW w:w="527" w:type="dxa"/>
                  <w:vMerge w:val="restart"/>
                  <w:tcBorders>
                    <w:tl2br w:val="nil"/>
                    <w:tr2bl w:val="nil"/>
                  </w:tcBorders>
                  <w:vAlign w:val="center"/>
                </w:tcPr>
                <w:p w14:paraId="2F5C5C04">
                  <w:pPr>
                    <w:adjustRightInd w:val="0"/>
                    <w:snapToGrid w:val="0"/>
                    <w:jc w:val="center"/>
                    <w:rPr>
                      <w:rFonts w:hint="eastAsia" w:ascii="宋体" w:hAnsi="宋体" w:cs="宋体"/>
                      <w:color w:val="auto"/>
                      <w:kern w:val="0"/>
                    </w:rPr>
                  </w:pPr>
                  <w:r>
                    <w:rPr>
                      <w:rFonts w:hint="eastAsia" w:ascii="宋体" w:hAnsi="宋体" w:cs="宋体"/>
                      <w:color w:val="auto"/>
                      <w:kern w:val="0"/>
                      <w:lang w:bidi="ar"/>
                    </w:rPr>
                    <w:t>危险废物设施标志示意图</w:t>
                  </w:r>
                </w:p>
              </w:tc>
              <w:tc>
                <w:tcPr>
                  <w:tcW w:w="794" w:type="dxa"/>
                  <w:tcBorders>
                    <w:tl2br w:val="nil"/>
                    <w:tr2bl w:val="nil"/>
                  </w:tcBorders>
                  <w:vAlign w:val="center"/>
                </w:tcPr>
                <w:p w14:paraId="0542DA20">
                  <w:pPr>
                    <w:widowControl/>
                    <w:jc w:val="center"/>
                    <w:rPr>
                      <w:rFonts w:hint="eastAsia" w:ascii="宋体" w:hAnsi="宋体" w:cs="宋体"/>
                      <w:color w:val="auto"/>
                      <w:kern w:val="0"/>
                      <w:lang w:bidi="ar"/>
                    </w:rPr>
                  </w:pPr>
                  <w:r>
                    <w:rPr>
                      <w:rFonts w:hint="eastAsia" w:ascii="宋体" w:hAnsi="宋体" w:cs="宋体"/>
                      <w:color w:val="auto"/>
                      <w:kern w:val="0"/>
                      <w:lang w:bidi="ar"/>
                    </w:rPr>
                    <w:t>横板危险废物</w:t>
                  </w:r>
                  <w:r>
                    <w:rPr>
                      <w:rFonts w:hint="eastAsia" w:cs="宋体"/>
                      <w:color w:val="auto"/>
                      <w:lang w:bidi="ar"/>
                    </w:rPr>
                    <w:t>贮存设施、贮存点标志</w:t>
                  </w:r>
                </w:p>
              </w:tc>
              <w:tc>
                <w:tcPr>
                  <w:tcW w:w="2994" w:type="dxa"/>
                  <w:tcBorders>
                    <w:tl2br w:val="nil"/>
                    <w:tr2bl w:val="nil"/>
                  </w:tcBorders>
                  <w:vAlign w:val="center"/>
                </w:tcPr>
                <w:p w14:paraId="70B6BAD7">
                  <w:pPr>
                    <w:widowControl/>
                    <w:adjustRightInd w:val="0"/>
                    <w:snapToGrid w:val="0"/>
                    <w:jc w:val="center"/>
                    <w:rPr>
                      <w:color w:val="auto"/>
                    </w:rPr>
                  </w:pPr>
                  <w:r>
                    <w:rPr>
                      <w:color w:val="auto"/>
                      <w:lang w:bidi="ar"/>
                    </w:rPr>
                    <w:drawing>
                      <wp:inline distT="0" distB="0" distL="114300" distR="114300">
                        <wp:extent cx="1428750" cy="876300"/>
                        <wp:effectExtent l="0" t="0" r="0" b="0"/>
                        <wp:docPr id="27" name="图片 34" descr="QQ截图20230615065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4" descr="QQ截图20230615065110"/>
                                <pic:cNvPicPr>
                                  <a:picLocks noChangeAspect="1"/>
                                </pic:cNvPicPr>
                              </pic:nvPicPr>
                              <pic:blipFill>
                                <a:blip r:embed="rId31"/>
                                <a:stretch>
                                  <a:fillRect/>
                                </a:stretch>
                              </pic:blipFill>
                              <pic:spPr>
                                <a:xfrm>
                                  <a:off x="0" y="0"/>
                                  <a:ext cx="1428750" cy="876300"/>
                                </a:xfrm>
                                <a:prstGeom prst="rect">
                                  <a:avLst/>
                                </a:prstGeom>
                                <a:noFill/>
                                <a:ln>
                                  <a:noFill/>
                                </a:ln>
                              </pic:spPr>
                            </pic:pic>
                          </a:graphicData>
                        </a:graphic>
                      </wp:inline>
                    </w:drawing>
                  </w:r>
                </w:p>
                <w:p w14:paraId="2D2AB34E">
                  <w:pPr>
                    <w:widowControl/>
                    <w:adjustRightInd w:val="0"/>
                    <w:snapToGrid w:val="0"/>
                    <w:jc w:val="center"/>
                    <w:rPr>
                      <w:rFonts w:hint="eastAsia" w:ascii="宋体" w:hAnsi="宋体" w:cs="宋体"/>
                      <w:color w:val="auto"/>
                      <w:kern w:val="0"/>
                    </w:rPr>
                  </w:pPr>
                  <w:r>
                    <w:rPr>
                      <w:color w:val="auto"/>
                      <w:lang w:bidi="ar"/>
                    </w:rPr>
                    <w:drawing>
                      <wp:inline distT="0" distB="0" distL="114300" distR="114300">
                        <wp:extent cx="1421765" cy="868045"/>
                        <wp:effectExtent l="0" t="0" r="6985" b="8255"/>
                        <wp:docPr id="30" name="图片 35" descr="QQ截图20230615065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5" descr="QQ截图20230615065126"/>
                                <pic:cNvPicPr>
                                  <a:picLocks noChangeAspect="1"/>
                                </pic:cNvPicPr>
                              </pic:nvPicPr>
                              <pic:blipFill>
                                <a:blip r:embed="rId32"/>
                                <a:stretch>
                                  <a:fillRect/>
                                </a:stretch>
                              </pic:blipFill>
                              <pic:spPr>
                                <a:xfrm>
                                  <a:off x="0" y="0"/>
                                  <a:ext cx="1421765" cy="868045"/>
                                </a:xfrm>
                                <a:prstGeom prst="rect">
                                  <a:avLst/>
                                </a:prstGeom>
                                <a:noFill/>
                                <a:ln>
                                  <a:noFill/>
                                </a:ln>
                              </pic:spPr>
                            </pic:pic>
                          </a:graphicData>
                        </a:graphic>
                      </wp:inline>
                    </w:drawing>
                  </w:r>
                </w:p>
              </w:tc>
              <w:tc>
                <w:tcPr>
                  <w:tcW w:w="3322" w:type="dxa"/>
                  <w:vMerge w:val="restart"/>
                  <w:tcBorders>
                    <w:tl2br w:val="nil"/>
                    <w:tr2bl w:val="nil"/>
                  </w:tcBorders>
                  <w:vAlign w:val="center"/>
                </w:tcPr>
                <w:p w14:paraId="5A2D9213">
                  <w:pPr>
                    <w:widowControl/>
                    <w:rPr>
                      <w:rFonts w:hint="eastAsia" w:ascii="宋体" w:hAnsi="宋体" w:cs="宋体"/>
                      <w:color w:val="auto"/>
                      <w:kern w:val="0"/>
                      <w:szCs w:val="20"/>
                      <w:lang w:bidi="ar"/>
                    </w:rPr>
                  </w:pPr>
                  <w:r>
                    <w:rPr>
                      <w:rFonts w:hint="eastAsia" w:ascii="宋体" w:hAnsi="宋体" w:cs="宋体"/>
                      <w:color w:val="auto"/>
                      <w:kern w:val="0"/>
                      <w:szCs w:val="20"/>
                      <w:lang w:bidi="ar"/>
                    </w:rPr>
                    <w:t>对于有独立场所的危险废物贮存、利用、处置设施，应在场所外入口处的</w:t>
                  </w:r>
                </w:p>
                <w:p w14:paraId="2149BB78">
                  <w:pPr>
                    <w:widowControl/>
                    <w:rPr>
                      <w:color w:val="auto"/>
                      <w:sz w:val="22"/>
                    </w:rPr>
                  </w:pPr>
                  <w:r>
                    <w:rPr>
                      <w:rFonts w:hint="eastAsia" w:ascii="宋体" w:hAnsi="宋体" w:cs="宋体"/>
                      <w:color w:val="auto"/>
                      <w:kern w:val="0"/>
                      <w:szCs w:val="20"/>
                      <w:lang w:bidi="ar"/>
                    </w:rPr>
                    <w:t>墙壁或栏杆显著位置设置相应的设施标志。</w:t>
                  </w:r>
                </w:p>
                <w:p w14:paraId="24A9B8E5">
                  <w:pPr>
                    <w:widowControl/>
                    <w:rPr>
                      <w:color w:val="auto"/>
                      <w:sz w:val="22"/>
                    </w:rPr>
                  </w:pPr>
                  <w:r>
                    <w:rPr>
                      <w:rFonts w:hint="eastAsia" w:ascii="宋体" w:hAnsi="宋体" w:cs="宋体"/>
                      <w:color w:val="auto"/>
                      <w:kern w:val="0"/>
                      <w:szCs w:val="20"/>
                      <w:lang w:bidi="ar"/>
                    </w:rPr>
                    <w:t>位于建筑物内局部区域的危险废物贮存、利用、处置设施，应在其区域边界或入口处显著位置设置相应的标志。</w:t>
                  </w:r>
                </w:p>
                <w:p w14:paraId="1E26FBEA">
                  <w:pPr>
                    <w:rPr>
                      <w:rFonts w:hint="eastAsia" w:ascii="宋体" w:hAnsi="宋体" w:cs="宋体"/>
                      <w:color w:val="auto"/>
                      <w:kern w:val="0"/>
                    </w:rPr>
                  </w:pPr>
                  <w:r>
                    <w:rPr>
                      <w:rFonts w:hint="eastAsia" w:ascii="宋体" w:hAnsi="宋体" w:cs="宋体"/>
                      <w:color w:val="auto"/>
                      <w:kern w:val="0"/>
                      <w:szCs w:val="20"/>
                      <w:lang w:bidi="ar"/>
                    </w:rPr>
                    <w:t>对于危险废物填埋场等开放式的危险废物相关设施，除了固定的入口处之外，还可根据环境管理需要在相关位置设置更多的标志。</w:t>
                  </w:r>
                </w:p>
              </w:tc>
            </w:tr>
            <w:tr w14:paraId="4E41B95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464" w:type="dxa"/>
                  <w:vMerge w:val="continue"/>
                  <w:tcBorders>
                    <w:tl2br w:val="nil"/>
                    <w:tr2bl w:val="nil"/>
                  </w:tcBorders>
                  <w:vAlign w:val="center"/>
                </w:tcPr>
                <w:p w14:paraId="4E898A8B">
                  <w:pPr>
                    <w:rPr>
                      <w:rFonts w:ascii="Calibri" w:hAnsi="Calibri"/>
                      <w:color w:val="auto"/>
                      <w:szCs w:val="22"/>
                    </w:rPr>
                  </w:pPr>
                </w:p>
              </w:tc>
              <w:tc>
                <w:tcPr>
                  <w:tcW w:w="527" w:type="dxa"/>
                  <w:vMerge w:val="continue"/>
                  <w:tcBorders>
                    <w:tl2br w:val="nil"/>
                    <w:tr2bl w:val="nil"/>
                  </w:tcBorders>
                  <w:vAlign w:val="center"/>
                </w:tcPr>
                <w:p w14:paraId="0D94C77F">
                  <w:pPr>
                    <w:rPr>
                      <w:rFonts w:ascii="Calibri" w:hAnsi="Calibri"/>
                      <w:color w:val="auto"/>
                      <w:szCs w:val="22"/>
                    </w:rPr>
                  </w:pPr>
                </w:p>
              </w:tc>
              <w:tc>
                <w:tcPr>
                  <w:tcW w:w="794" w:type="dxa"/>
                  <w:tcBorders>
                    <w:tl2br w:val="nil"/>
                    <w:tr2bl w:val="nil"/>
                  </w:tcBorders>
                  <w:vAlign w:val="center"/>
                </w:tcPr>
                <w:p w14:paraId="1FB6142D">
                  <w:pPr>
                    <w:widowControl/>
                    <w:jc w:val="center"/>
                    <w:rPr>
                      <w:rFonts w:hint="eastAsia" w:ascii="宋体" w:hAnsi="宋体" w:cs="宋体"/>
                      <w:color w:val="auto"/>
                      <w:kern w:val="0"/>
                    </w:rPr>
                  </w:pPr>
                  <w:r>
                    <w:rPr>
                      <w:rFonts w:hint="eastAsia" w:ascii="宋体" w:hAnsi="宋体" w:cs="宋体"/>
                      <w:color w:val="auto"/>
                      <w:kern w:val="0"/>
                      <w:lang w:bidi="ar"/>
                    </w:rPr>
                    <w:t>竖版危险废物</w:t>
                  </w:r>
                  <w:r>
                    <w:rPr>
                      <w:rFonts w:hint="eastAsia" w:cs="宋体"/>
                      <w:color w:val="auto"/>
                      <w:lang w:bidi="ar"/>
                    </w:rPr>
                    <w:t>贮存设施、贮存点标志</w:t>
                  </w:r>
                </w:p>
              </w:tc>
              <w:tc>
                <w:tcPr>
                  <w:tcW w:w="2994" w:type="dxa"/>
                  <w:tcBorders>
                    <w:tl2br w:val="nil"/>
                    <w:tr2bl w:val="nil"/>
                  </w:tcBorders>
                  <w:vAlign w:val="center"/>
                </w:tcPr>
                <w:p w14:paraId="2730CF4D">
                  <w:pPr>
                    <w:widowControl/>
                    <w:adjustRightInd w:val="0"/>
                    <w:snapToGrid w:val="0"/>
                    <w:jc w:val="center"/>
                    <w:rPr>
                      <w:color w:val="auto"/>
                    </w:rPr>
                  </w:pPr>
                  <w:r>
                    <w:rPr>
                      <w:color w:val="auto"/>
                      <w:lang w:bidi="ar"/>
                    </w:rPr>
                    <w:drawing>
                      <wp:inline distT="0" distB="0" distL="114300" distR="114300">
                        <wp:extent cx="800100" cy="1304925"/>
                        <wp:effectExtent l="0" t="0" r="0" b="9525"/>
                        <wp:docPr id="25" name="图片 36" descr="QQ截图20230615065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6" descr="QQ截图20230615065144"/>
                                <pic:cNvPicPr>
                                  <a:picLocks noChangeAspect="1"/>
                                </pic:cNvPicPr>
                              </pic:nvPicPr>
                              <pic:blipFill>
                                <a:blip r:embed="rId33"/>
                                <a:stretch>
                                  <a:fillRect/>
                                </a:stretch>
                              </pic:blipFill>
                              <pic:spPr>
                                <a:xfrm>
                                  <a:off x="0" y="0"/>
                                  <a:ext cx="800100" cy="1304925"/>
                                </a:xfrm>
                                <a:prstGeom prst="rect">
                                  <a:avLst/>
                                </a:prstGeom>
                                <a:noFill/>
                                <a:ln>
                                  <a:noFill/>
                                </a:ln>
                              </pic:spPr>
                            </pic:pic>
                          </a:graphicData>
                        </a:graphic>
                      </wp:inline>
                    </w:drawing>
                  </w:r>
                  <w:r>
                    <w:rPr>
                      <w:color w:val="auto"/>
                      <w:lang w:bidi="ar"/>
                    </w:rPr>
                    <w:drawing>
                      <wp:inline distT="0" distB="0" distL="114300" distR="114300">
                        <wp:extent cx="819150" cy="1304925"/>
                        <wp:effectExtent l="0" t="0" r="0" b="9525"/>
                        <wp:docPr id="26" name="图片 37" descr="QQ截图20230615065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7" descr="QQ截图20230615065155"/>
                                <pic:cNvPicPr>
                                  <a:picLocks noChangeAspect="1"/>
                                </pic:cNvPicPr>
                              </pic:nvPicPr>
                              <pic:blipFill>
                                <a:blip r:embed="rId34"/>
                                <a:stretch>
                                  <a:fillRect/>
                                </a:stretch>
                              </pic:blipFill>
                              <pic:spPr>
                                <a:xfrm>
                                  <a:off x="0" y="0"/>
                                  <a:ext cx="819150" cy="1304925"/>
                                </a:xfrm>
                                <a:prstGeom prst="rect">
                                  <a:avLst/>
                                </a:prstGeom>
                                <a:noFill/>
                                <a:ln>
                                  <a:noFill/>
                                </a:ln>
                              </pic:spPr>
                            </pic:pic>
                          </a:graphicData>
                        </a:graphic>
                      </wp:inline>
                    </w:drawing>
                  </w:r>
                </w:p>
              </w:tc>
              <w:tc>
                <w:tcPr>
                  <w:tcW w:w="3322" w:type="dxa"/>
                  <w:vMerge w:val="continue"/>
                  <w:tcBorders>
                    <w:tl2br w:val="nil"/>
                    <w:tr2bl w:val="nil"/>
                  </w:tcBorders>
                  <w:vAlign w:val="center"/>
                </w:tcPr>
                <w:p w14:paraId="168D855B">
                  <w:pPr>
                    <w:rPr>
                      <w:rFonts w:ascii="Calibri" w:hAnsi="Calibri"/>
                      <w:color w:val="auto"/>
                      <w:szCs w:val="22"/>
                    </w:rPr>
                  </w:pPr>
                </w:p>
              </w:tc>
            </w:tr>
          </w:tbl>
          <w:p w14:paraId="4A7125A9">
            <w:pPr>
              <w:numPr>
                <w:ilvl w:val="0"/>
                <w:numId w:val="0"/>
              </w:numPr>
              <w:spacing w:line="360" w:lineRule="auto"/>
              <w:rPr>
                <w:rFonts w:hint="eastAsia" w:ascii="宋体" w:hAnsi="宋体" w:cs="宋体"/>
                <w:color w:val="auto"/>
                <w:kern w:val="0"/>
                <w:szCs w:val="21"/>
                <w:lang w:bidi="ar"/>
              </w:rPr>
            </w:pPr>
            <w:r>
              <w:rPr>
                <w:rFonts w:hint="default" w:ascii="Times New Roman" w:hAnsi="Times New Roman" w:eastAsia="宋体" w:cs="Times New Roman"/>
                <w:b/>
                <w:bCs/>
                <w:color w:val="auto"/>
                <w:kern w:val="0"/>
                <w:sz w:val="21"/>
                <w:szCs w:val="21"/>
                <w:lang w:val="en-US" w:eastAsia="zh-CN" w:bidi="ar"/>
              </w:rPr>
              <w:t>5、</w:t>
            </w:r>
            <w:r>
              <w:rPr>
                <w:rFonts w:hint="eastAsia"/>
                <w:b/>
                <w:bCs/>
                <w:color w:val="auto"/>
                <w:szCs w:val="21"/>
              </w:rPr>
              <w:t>地下水</w:t>
            </w:r>
            <w:r>
              <w:rPr>
                <w:rStyle w:val="37"/>
                <w:rFonts w:hint="eastAsia"/>
                <w:b/>
                <w:bCs/>
                <w:color w:val="auto"/>
                <w:kern w:val="0"/>
                <w:szCs w:val="20"/>
              </w:rPr>
              <w:t>、土壤</w:t>
            </w:r>
          </w:p>
          <w:p w14:paraId="71BEAE6A">
            <w:pPr>
              <w:keepNext w:val="0"/>
              <w:keepLines w:val="0"/>
              <w:pageBreakBefore w:val="0"/>
              <w:widowControl/>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cs="宋体"/>
                <w:color w:val="auto"/>
                <w:szCs w:val="21"/>
                <w:lang w:bidi="ar"/>
              </w:rPr>
            </w:pPr>
            <w:r>
              <w:rPr>
                <w:rFonts w:hint="eastAsia" w:ascii="宋体" w:hAnsi="宋体" w:cs="宋体"/>
                <w:color w:val="auto"/>
                <w:kern w:val="0"/>
                <w:szCs w:val="21"/>
                <w:lang w:bidi="ar"/>
              </w:rPr>
              <w:t>正常状况下，原料仓库、危废暂存区按要求进行防渗、防溢流、防泄漏、防腐蚀等设计，在措施未发生破坏、正常运行情况，不会有污染物进入土壤和地下水。非正常状况下，如防渗措施因老化造成局部失效、雨水等进入原料仓库、危废仓库，使原辅料及危废包装破损等情况同时发生时，原料仓库、危废库内的污染物可能会下渗影响土壤和地下水。化粪池防渗措施破损时，污染物也可能下渗影响土壤和地下水。</w:t>
            </w:r>
          </w:p>
          <w:p w14:paraId="3B361989">
            <w:pPr>
              <w:pStyle w:val="10"/>
              <w:spacing w:before="0" w:after="0" w:line="360" w:lineRule="auto"/>
              <w:ind w:right="0" w:firstLine="420" w:firstLineChars="200"/>
              <w:rPr>
                <w:color w:val="auto"/>
                <w:sz w:val="21"/>
                <w:szCs w:val="21"/>
              </w:rPr>
            </w:pPr>
            <w:r>
              <w:rPr>
                <w:rFonts w:hint="eastAsia"/>
                <w:color w:val="auto"/>
                <w:sz w:val="21"/>
                <w:szCs w:val="21"/>
              </w:rPr>
              <w:t>A、源头控制</w:t>
            </w:r>
          </w:p>
          <w:p w14:paraId="257E6E85">
            <w:pPr>
              <w:pStyle w:val="29"/>
              <w:keepNext w:val="0"/>
              <w:keepLines w:val="0"/>
              <w:pageBreakBefore w:val="0"/>
              <w:kinsoku/>
              <w:wordWrap/>
              <w:overflowPunct/>
              <w:topLinePunct w:val="0"/>
              <w:autoSpaceDE/>
              <w:autoSpaceDN/>
              <w:bidi w:val="0"/>
              <w:adjustRightInd/>
              <w:snapToGrid w:val="0"/>
              <w:spacing w:before="0" w:after="0" w:line="360" w:lineRule="auto"/>
              <w:ind w:right="0" w:firstLineChars="200"/>
              <w:jc w:val="both"/>
              <w:textAlignment w:val="auto"/>
              <w:rPr>
                <w:rFonts w:eastAsia="宋体"/>
                <w:color w:val="auto"/>
                <w:sz w:val="21"/>
                <w:szCs w:val="21"/>
              </w:rPr>
            </w:pPr>
            <w:r>
              <w:rPr>
                <w:rFonts w:hint="eastAsia" w:eastAsia="宋体"/>
                <w:color w:val="auto"/>
                <w:sz w:val="21"/>
                <w:szCs w:val="21"/>
              </w:rPr>
              <w:t>①定期对污水管道、化粪池进行检修维护，防止和降低污染物跑、冒、滴、漏，将污染物泄漏的环境风险事故降到最低程度；</w:t>
            </w:r>
          </w:p>
          <w:p w14:paraId="7E629E4F">
            <w:pPr>
              <w:pStyle w:val="29"/>
              <w:keepNext w:val="0"/>
              <w:keepLines w:val="0"/>
              <w:pageBreakBefore w:val="0"/>
              <w:kinsoku/>
              <w:wordWrap/>
              <w:overflowPunct/>
              <w:topLinePunct w:val="0"/>
              <w:autoSpaceDE/>
              <w:autoSpaceDN/>
              <w:bidi w:val="0"/>
              <w:adjustRightInd/>
              <w:snapToGrid w:val="0"/>
              <w:spacing w:before="0" w:after="0" w:line="360" w:lineRule="auto"/>
              <w:ind w:right="0" w:firstLineChars="200"/>
              <w:jc w:val="both"/>
              <w:textAlignment w:val="auto"/>
              <w:rPr>
                <w:rFonts w:eastAsia="宋体"/>
                <w:color w:val="auto"/>
                <w:sz w:val="21"/>
                <w:szCs w:val="21"/>
              </w:rPr>
            </w:pPr>
            <w:r>
              <w:rPr>
                <w:rFonts w:hint="eastAsia" w:eastAsia="宋体"/>
                <w:color w:val="auto"/>
                <w:sz w:val="21"/>
                <w:szCs w:val="21"/>
              </w:rPr>
              <w:t>②管线敷设尽量采用“可视化”原则，即管道尽可能地上敷设，做到污染物“早发现、早处理”，减少由于埋地管道泄漏而造成的地下水污染。</w:t>
            </w:r>
          </w:p>
          <w:p w14:paraId="28602D2B">
            <w:pPr>
              <w:pStyle w:val="29"/>
              <w:keepNext w:val="0"/>
              <w:keepLines w:val="0"/>
              <w:pageBreakBefore w:val="0"/>
              <w:kinsoku/>
              <w:wordWrap/>
              <w:overflowPunct/>
              <w:topLinePunct w:val="0"/>
              <w:autoSpaceDE/>
              <w:autoSpaceDN/>
              <w:bidi w:val="0"/>
              <w:adjustRightInd/>
              <w:snapToGrid w:val="0"/>
              <w:spacing w:before="0" w:after="0" w:line="360" w:lineRule="auto"/>
              <w:ind w:right="0" w:firstLineChars="200"/>
              <w:jc w:val="both"/>
              <w:textAlignment w:val="auto"/>
              <w:rPr>
                <w:rFonts w:eastAsia="宋体"/>
                <w:color w:val="auto"/>
                <w:sz w:val="21"/>
                <w:szCs w:val="21"/>
              </w:rPr>
            </w:pPr>
            <w:r>
              <w:rPr>
                <w:rFonts w:hint="eastAsia" w:eastAsia="宋体"/>
                <w:color w:val="auto"/>
                <w:sz w:val="21"/>
                <w:szCs w:val="21"/>
              </w:rPr>
              <w:t>③定期检查危废库防渗层，一旦发现破损情况，及时修复。</w:t>
            </w:r>
          </w:p>
          <w:p w14:paraId="0CB196D4">
            <w:pPr>
              <w:pStyle w:val="10"/>
              <w:keepNext w:val="0"/>
              <w:keepLines w:val="0"/>
              <w:pageBreakBefore w:val="0"/>
              <w:kinsoku/>
              <w:wordWrap/>
              <w:overflowPunct/>
              <w:topLinePunct w:val="0"/>
              <w:autoSpaceDE/>
              <w:autoSpaceDN/>
              <w:bidi w:val="0"/>
              <w:adjustRightInd/>
              <w:snapToGrid w:val="0"/>
              <w:spacing w:before="0" w:after="0" w:line="360" w:lineRule="auto"/>
              <w:ind w:right="0" w:firstLine="420" w:firstLineChars="200"/>
              <w:textAlignment w:val="auto"/>
              <w:rPr>
                <w:color w:val="auto"/>
                <w:sz w:val="21"/>
                <w:szCs w:val="21"/>
              </w:rPr>
            </w:pPr>
            <w:r>
              <w:rPr>
                <w:rFonts w:hint="eastAsia"/>
                <w:color w:val="auto"/>
                <w:sz w:val="21"/>
                <w:szCs w:val="21"/>
              </w:rPr>
              <w:t>B、分区防治措施</w:t>
            </w:r>
          </w:p>
          <w:p w14:paraId="13F3EC14">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color w:val="auto"/>
                <w:szCs w:val="21"/>
              </w:rPr>
            </w:pPr>
            <w:r>
              <w:rPr>
                <w:rFonts w:hint="eastAsia"/>
                <w:color w:val="auto"/>
                <w:szCs w:val="21"/>
              </w:rPr>
              <w:t>针对项目特点，厂区污染防渗措施参照《环境影响评价技术导则 地下水环境》（HJ610-2016）规定的防渗标准，结合目前施工过程中的可操作性和技术水平，针对本项目厂区不同区域，划分为重点防渗区、一般防渗区和简单防渗区。重点防渗区包括</w:t>
            </w:r>
            <w:r>
              <w:rPr>
                <w:rFonts w:hint="eastAsia"/>
                <w:color w:val="auto"/>
                <w:kern w:val="0"/>
                <w:szCs w:val="21"/>
                <w:lang w:bidi="ar"/>
              </w:rPr>
              <w:t>危废仓库、污水处理区域、事故水池</w:t>
            </w:r>
            <w:r>
              <w:rPr>
                <w:rFonts w:hint="eastAsia"/>
                <w:color w:val="auto"/>
                <w:kern w:val="0"/>
                <w:szCs w:val="21"/>
                <w:lang w:eastAsia="zh-CN" w:bidi="ar"/>
              </w:rPr>
              <w:t>、</w:t>
            </w:r>
            <w:r>
              <w:rPr>
                <w:rFonts w:hint="eastAsia"/>
                <w:color w:val="auto"/>
                <w:kern w:val="0"/>
                <w:szCs w:val="21"/>
                <w:lang w:val="en-US" w:eastAsia="zh-CN" w:bidi="ar"/>
              </w:rPr>
              <w:t>化学品区</w:t>
            </w:r>
            <w:r>
              <w:rPr>
                <w:rFonts w:hint="eastAsia"/>
                <w:color w:val="auto"/>
                <w:szCs w:val="21"/>
              </w:rPr>
              <w:t>，一般防渗区包括</w:t>
            </w:r>
            <w:r>
              <w:rPr>
                <w:rFonts w:hint="eastAsia"/>
                <w:color w:val="auto"/>
                <w:kern w:val="0"/>
                <w:szCs w:val="21"/>
                <w:lang w:bidi="ar"/>
              </w:rPr>
              <w:t>生产车间、一般固废仓库等</w:t>
            </w:r>
            <w:r>
              <w:rPr>
                <w:rFonts w:hint="eastAsia"/>
                <w:color w:val="auto"/>
                <w:szCs w:val="21"/>
              </w:rPr>
              <w:t>，办公区</w:t>
            </w:r>
            <w:r>
              <w:rPr>
                <w:rFonts w:hint="eastAsia"/>
                <w:color w:val="auto"/>
                <w:kern w:val="0"/>
                <w:szCs w:val="21"/>
                <w:lang w:bidi="ar"/>
              </w:rPr>
              <w:t>、控制室</w:t>
            </w:r>
            <w:r>
              <w:rPr>
                <w:rFonts w:hint="eastAsia"/>
                <w:color w:val="auto"/>
                <w:szCs w:val="21"/>
              </w:rPr>
              <w:t>为简单防渗区。本项目防渗工程污染防治分区如下表。</w:t>
            </w:r>
          </w:p>
          <w:p w14:paraId="0FB4836D">
            <w:pPr>
              <w:widowControl/>
              <w:adjustRightInd w:val="0"/>
              <w:snapToGrid w:val="0"/>
              <w:spacing w:before="147" w:beforeLines="50"/>
              <w:jc w:val="center"/>
              <w:rPr>
                <w:b/>
                <w:bCs/>
                <w:color w:val="auto"/>
                <w:szCs w:val="21"/>
              </w:rPr>
            </w:pPr>
            <w:r>
              <w:rPr>
                <w:b/>
                <w:bCs/>
                <w:color w:val="auto"/>
                <w:szCs w:val="21"/>
              </w:rPr>
              <w:t>表4-</w:t>
            </w:r>
            <w:r>
              <w:rPr>
                <w:rFonts w:hint="eastAsia"/>
                <w:b/>
                <w:bCs/>
                <w:color w:val="auto"/>
                <w:szCs w:val="21"/>
                <w:lang w:val="en-US" w:eastAsia="zh-CN"/>
              </w:rPr>
              <w:t>33</w:t>
            </w:r>
            <w:r>
              <w:rPr>
                <w:rFonts w:hint="eastAsia"/>
                <w:b/>
                <w:bCs/>
                <w:color w:val="auto"/>
                <w:szCs w:val="21"/>
              </w:rPr>
              <w:t xml:space="preserve"> </w:t>
            </w:r>
            <w:r>
              <w:rPr>
                <w:b/>
                <w:bCs/>
                <w:color w:val="auto"/>
                <w:szCs w:val="21"/>
              </w:rPr>
              <w:t>项目分区防渗方案及防渗措施表</w:t>
            </w:r>
          </w:p>
          <w:tbl>
            <w:tblPr>
              <w:tblStyle w:val="3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769"/>
              <w:gridCol w:w="1421"/>
              <w:gridCol w:w="2343"/>
              <w:gridCol w:w="3203"/>
              <w:gridCol w:w="698"/>
            </w:tblGrid>
            <w:tr w14:paraId="0BD053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71" w:type="dxa"/>
                  <w:vAlign w:val="center"/>
                </w:tcPr>
                <w:p w14:paraId="1B229D01">
                  <w:pPr>
                    <w:jc w:val="center"/>
                    <w:rPr>
                      <w:b/>
                      <w:bCs/>
                      <w:color w:val="auto"/>
                      <w:szCs w:val="21"/>
                    </w:rPr>
                  </w:pPr>
                  <w:r>
                    <w:rPr>
                      <w:b/>
                      <w:bCs/>
                      <w:color w:val="auto"/>
                      <w:szCs w:val="21"/>
                    </w:rPr>
                    <w:t>防渗</w:t>
                  </w:r>
                </w:p>
                <w:p w14:paraId="19EDEFE1">
                  <w:pPr>
                    <w:jc w:val="center"/>
                    <w:rPr>
                      <w:b/>
                      <w:bCs/>
                      <w:color w:val="auto"/>
                      <w:szCs w:val="21"/>
                    </w:rPr>
                  </w:pPr>
                  <w:r>
                    <w:rPr>
                      <w:b/>
                      <w:bCs/>
                      <w:color w:val="auto"/>
                      <w:szCs w:val="21"/>
                    </w:rPr>
                    <w:t>分区</w:t>
                  </w:r>
                </w:p>
              </w:tc>
              <w:tc>
                <w:tcPr>
                  <w:tcW w:w="1425" w:type="dxa"/>
                  <w:vAlign w:val="center"/>
                </w:tcPr>
                <w:p w14:paraId="58184D46">
                  <w:pPr>
                    <w:jc w:val="center"/>
                    <w:rPr>
                      <w:b/>
                      <w:bCs/>
                      <w:color w:val="auto"/>
                      <w:szCs w:val="21"/>
                    </w:rPr>
                  </w:pPr>
                  <w:r>
                    <w:rPr>
                      <w:b/>
                      <w:bCs/>
                      <w:color w:val="auto"/>
                      <w:szCs w:val="21"/>
                    </w:rPr>
                    <w:t>分区位置</w:t>
                  </w:r>
                </w:p>
              </w:tc>
              <w:tc>
                <w:tcPr>
                  <w:tcW w:w="2350" w:type="dxa"/>
                  <w:vAlign w:val="center"/>
                </w:tcPr>
                <w:p w14:paraId="37595BA9">
                  <w:pPr>
                    <w:jc w:val="center"/>
                    <w:rPr>
                      <w:b/>
                      <w:bCs/>
                      <w:color w:val="auto"/>
                      <w:szCs w:val="21"/>
                    </w:rPr>
                  </w:pPr>
                  <w:r>
                    <w:rPr>
                      <w:b/>
                      <w:bCs/>
                      <w:color w:val="auto"/>
                      <w:szCs w:val="21"/>
                    </w:rPr>
                    <w:t>防渗技术要求</w:t>
                  </w:r>
                </w:p>
              </w:tc>
              <w:tc>
                <w:tcPr>
                  <w:tcW w:w="3212" w:type="dxa"/>
                  <w:vAlign w:val="center"/>
                </w:tcPr>
                <w:p w14:paraId="7A1E2514">
                  <w:pPr>
                    <w:jc w:val="center"/>
                    <w:rPr>
                      <w:b/>
                      <w:bCs/>
                      <w:color w:val="auto"/>
                      <w:szCs w:val="21"/>
                    </w:rPr>
                  </w:pPr>
                  <w:r>
                    <w:rPr>
                      <w:b/>
                      <w:bCs/>
                      <w:color w:val="auto"/>
                      <w:szCs w:val="21"/>
                    </w:rPr>
                    <w:t>厂区现状采取的防渗措施</w:t>
                  </w:r>
                </w:p>
              </w:tc>
              <w:tc>
                <w:tcPr>
                  <w:tcW w:w="700" w:type="dxa"/>
                  <w:vAlign w:val="center"/>
                </w:tcPr>
                <w:p w14:paraId="7181636D">
                  <w:pPr>
                    <w:jc w:val="center"/>
                    <w:rPr>
                      <w:b/>
                      <w:bCs/>
                      <w:color w:val="auto"/>
                      <w:szCs w:val="21"/>
                    </w:rPr>
                  </w:pPr>
                  <w:r>
                    <w:rPr>
                      <w:b/>
                      <w:bCs/>
                      <w:color w:val="auto"/>
                      <w:szCs w:val="21"/>
                    </w:rPr>
                    <w:t>相符性</w:t>
                  </w:r>
                </w:p>
              </w:tc>
            </w:tr>
            <w:tr w14:paraId="4E16E9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71" w:type="dxa"/>
                  <w:vAlign w:val="center"/>
                </w:tcPr>
                <w:p w14:paraId="522D5A10">
                  <w:pPr>
                    <w:jc w:val="center"/>
                    <w:rPr>
                      <w:color w:val="auto"/>
                      <w:szCs w:val="21"/>
                    </w:rPr>
                  </w:pPr>
                  <w:r>
                    <w:rPr>
                      <w:color w:val="auto"/>
                      <w:szCs w:val="21"/>
                    </w:rPr>
                    <w:t>重点防渗区</w:t>
                  </w:r>
                </w:p>
              </w:tc>
              <w:tc>
                <w:tcPr>
                  <w:tcW w:w="1425" w:type="dxa"/>
                  <w:vAlign w:val="center"/>
                </w:tcPr>
                <w:p w14:paraId="30E4F46D">
                  <w:pPr>
                    <w:jc w:val="center"/>
                    <w:rPr>
                      <w:rFonts w:hint="default" w:eastAsia="宋体"/>
                      <w:color w:val="auto"/>
                      <w:szCs w:val="21"/>
                      <w:lang w:val="en-US" w:eastAsia="zh-CN"/>
                    </w:rPr>
                  </w:pPr>
                  <w:r>
                    <w:rPr>
                      <w:rFonts w:hint="eastAsia"/>
                      <w:color w:val="auto"/>
                      <w:kern w:val="0"/>
                      <w:szCs w:val="21"/>
                      <w:lang w:bidi="ar"/>
                    </w:rPr>
                    <w:t>危废仓库、污水处理区域、、事故水池</w:t>
                  </w:r>
                  <w:r>
                    <w:rPr>
                      <w:rFonts w:hint="eastAsia"/>
                      <w:color w:val="auto"/>
                      <w:kern w:val="0"/>
                      <w:szCs w:val="21"/>
                      <w:lang w:eastAsia="zh-CN" w:bidi="ar"/>
                    </w:rPr>
                    <w:t>、</w:t>
                  </w:r>
                  <w:r>
                    <w:rPr>
                      <w:rFonts w:hint="eastAsia"/>
                      <w:color w:val="auto"/>
                      <w:kern w:val="0"/>
                      <w:szCs w:val="21"/>
                      <w:lang w:val="en-US" w:eastAsia="zh-CN" w:bidi="ar"/>
                    </w:rPr>
                    <w:t>化学品区</w:t>
                  </w:r>
                </w:p>
              </w:tc>
              <w:tc>
                <w:tcPr>
                  <w:tcW w:w="2350" w:type="dxa"/>
                  <w:vAlign w:val="center"/>
                </w:tcPr>
                <w:p w14:paraId="5A81C08E">
                  <w:pPr>
                    <w:widowControl/>
                    <w:jc w:val="center"/>
                    <w:rPr>
                      <w:color w:val="auto"/>
                      <w:szCs w:val="21"/>
                    </w:rPr>
                  </w:pPr>
                  <w:r>
                    <w:rPr>
                      <w:color w:val="auto"/>
                      <w:szCs w:val="21"/>
                    </w:rPr>
                    <w:t>等效黏土防渗层</w:t>
                  </w:r>
                  <w:r>
                    <w:rPr>
                      <w:color w:val="auto"/>
                      <w:kern w:val="0"/>
                      <w:szCs w:val="21"/>
                      <w:lang w:bidi="ar"/>
                    </w:rPr>
                    <w:t>Mb≥6.0m</w:t>
                  </w:r>
                  <w:r>
                    <w:rPr>
                      <w:rFonts w:hint="eastAsia"/>
                      <w:color w:val="auto"/>
                      <w:kern w:val="0"/>
                      <w:szCs w:val="21"/>
                      <w:lang w:bidi="ar"/>
                    </w:rPr>
                    <w:t>，</w:t>
                  </w:r>
                  <w:r>
                    <w:rPr>
                      <w:color w:val="auto"/>
                      <w:kern w:val="0"/>
                      <w:szCs w:val="21"/>
                      <w:lang w:bidi="ar"/>
                    </w:rPr>
                    <w:t>K≤1×10</w:t>
                  </w:r>
                  <w:r>
                    <w:rPr>
                      <w:color w:val="auto"/>
                      <w:kern w:val="0"/>
                      <w:szCs w:val="21"/>
                      <w:vertAlign w:val="superscript"/>
                      <w:lang w:bidi="ar"/>
                    </w:rPr>
                    <w:t>-7</w:t>
                  </w:r>
                  <w:r>
                    <w:rPr>
                      <w:color w:val="auto"/>
                      <w:kern w:val="0"/>
                      <w:szCs w:val="21"/>
                      <w:lang w:bidi="ar"/>
                    </w:rPr>
                    <w:t>cm/s；或参照GB18598执行</w:t>
                  </w:r>
                </w:p>
              </w:tc>
              <w:tc>
                <w:tcPr>
                  <w:tcW w:w="3212" w:type="dxa"/>
                  <w:vAlign w:val="center"/>
                </w:tcPr>
                <w:p w14:paraId="3EC4E1F3">
                  <w:pPr>
                    <w:ind w:left="88" w:hanging="42"/>
                    <w:jc w:val="center"/>
                    <w:rPr>
                      <w:color w:val="auto"/>
                      <w:kern w:val="0"/>
                      <w:szCs w:val="21"/>
                      <w:lang w:bidi="ar"/>
                    </w:rPr>
                  </w:pPr>
                  <w:r>
                    <w:rPr>
                      <w:color w:val="auto"/>
                      <w:szCs w:val="21"/>
                    </w:rPr>
                    <w:t>基础层为抗渗等级P8级混凝土卷材防水结构，表面涂1.2mm厚水泥基渗透结晶型防水涂料（防渗系数≤10</w:t>
                  </w:r>
                  <w:r>
                    <w:rPr>
                      <w:color w:val="auto"/>
                      <w:szCs w:val="21"/>
                      <w:vertAlign w:val="superscript"/>
                    </w:rPr>
                    <w:t>-10</w:t>
                  </w:r>
                  <w:r>
                    <w:rPr>
                      <w:color w:val="auto"/>
                      <w:szCs w:val="21"/>
                    </w:rPr>
                    <w:t>cm/s）。</w:t>
                  </w:r>
                </w:p>
              </w:tc>
              <w:tc>
                <w:tcPr>
                  <w:tcW w:w="700" w:type="dxa"/>
                  <w:vAlign w:val="center"/>
                </w:tcPr>
                <w:p w14:paraId="221D035E">
                  <w:pPr>
                    <w:widowControl/>
                    <w:jc w:val="center"/>
                    <w:rPr>
                      <w:color w:val="auto"/>
                      <w:kern w:val="0"/>
                      <w:szCs w:val="21"/>
                      <w:lang w:bidi="ar"/>
                    </w:rPr>
                  </w:pPr>
                  <w:r>
                    <w:rPr>
                      <w:color w:val="auto"/>
                      <w:kern w:val="0"/>
                      <w:szCs w:val="21"/>
                      <w:lang w:bidi="ar"/>
                    </w:rPr>
                    <w:t>相符</w:t>
                  </w:r>
                </w:p>
              </w:tc>
            </w:tr>
            <w:tr w14:paraId="427FCA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71" w:type="dxa"/>
                  <w:vAlign w:val="center"/>
                </w:tcPr>
                <w:p w14:paraId="600FFC26">
                  <w:pPr>
                    <w:jc w:val="center"/>
                    <w:rPr>
                      <w:color w:val="auto"/>
                      <w:szCs w:val="21"/>
                    </w:rPr>
                  </w:pPr>
                  <w:r>
                    <w:rPr>
                      <w:color w:val="auto"/>
                      <w:szCs w:val="21"/>
                    </w:rPr>
                    <w:t>一般防渗区</w:t>
                  </w:r>
                </w:p>
              </w:tc>
              <w:tc>
                <w:tcPr>
                  <w:tcW w:w="1425" w:type="dxa"/>
                  <w:vAlign w:val="center"/>
                </w:tcPr>
                <w:p w14:paraId="60491744">
                  <w:pPr>
                    <w:jc w:val="center"/>
                    <w:rPr>
                      <w:color w:val="auto"/>
                      <w:szCs w:val="21"/>
                    </w:rPr>
                  </w:pPr>
                  <w:r>
                    <w:rPr>
                      <w:color w:val="auto"/>
                      <w:szCs w:val="21"/>
                    </w:rPr>
                    <w:t>生产车间</w:t>
                  </w:r>
                  <w:r>
                    <w:rPr>
                      <w:rFonts w:hint="eastAsia"/>
                      <w:color w:val="auto"/>
                      <w:szCs w:val="21"/>
                    </w:rPr>
                    <w:t>、</w:t>
                  </w:r>
                  <w:r>
                    <w:rPr>
                      <w:rFonts w:hint="eastAsia"/>
                      <w:color w:val="auto"/>
                      <w:kern w:val="0"/>
                      <w:szCs w:val="21"/>
                      <w:lang w:bidi="ar"/>
                    </w:rPr>
                    <w:t>一般固废仓库</w:t>
                  </w:r>
                  <w:r>
                    <w:rPr>
                      <w:rFonts w:hint="eastAsia"/>
                      <w:color w:val="auto"/>
                    </w:rPr>
                    <w:t>等</w:t>
                  </w:r>
                </w:p>
              </w:tc>
              <w:tc>
                <w:tcPr>
                  <w:tcW w:w="2350" w:type="dxa"/>
                  <w:vAlign w:val="center"/>
                </w:tcPr>
                <w:p w14:paraId="6F0E8742">
                  <w:pPr>
                    <w:widowControl/>
                    <w:jc w:val="center"/>
                    <w:rPr>
                      <w:color w:val="auto"/>
                      <w:szCs w:val="21"/>
                    </w:rPr>
                  </w:pPr>
                  <w:r>
                    <w:rPr>
                      <w:color w:val="auto"/>
                      <w:kern w:val="0"/>
                      <w:szCs w:val="21"/>
                      <w:lang w:bidi="ar"/>
                    </w:rPr>
                    <w:t>等效黏土防渗层Mb≥1.5m，K≤1×10</w:t>
                  </w:r>
                  <w:r>
                    <w:rPr>
                      <w:color w:val="auto"/>
                      <w:kern w:val="0"/>
                      <w:szCs w:val="21"/>
                      <w:vertAlign w:val="superscript"/>
                      <w:lang w:bidi="ar"/>
                    </w:rPr>
                    <w:t>-7</w:t>
                  </w:r>
                  <w:r>
                    <w:rPr>
                      <w:color w:val="auto"/>
                      <w:kern w:val="0"/>
                      <w:szCs w:val="21"/>
                      <w:lang w:bidi="ar"/>
                    </w:rPr>
                    <w:t>cm/s；或参照GB16889执行</w:t>
                  </w:r>
                </w:p>
              </w:tc>
              <w:tc>
                <w:tcPr>
                  <w:tcW w:w="3212" w:type="dxa"/>
                  <w:vAlign w:val="center"/>
                </w:tcPr>
                <w:p w14:paraId="1B67DCF9">
                  <w:pPr>
                    <w:widowControl/>
                    <w:jc w:val="center"/>
                    <w:rPr>
                      <w:color w:val="auto"/>
                      <w:kern w:val="0"/>
                      <w:szCs w:val="21"/>
                      <w:lang w:bidi="ar"/>
                    </w:rPr>
                  </w:pPr>
                  <w:r>
                    <w:rPr>
                      <w:color w:val="auto"/>
                    </w:rPr>
                    <w:t>采取粘土铺底，再在上层铺10~15cm</w:t>
                  </w:r>
                  <w:r>
                    <w:rPr>
                      <w:color w:val="auto"/>
                      <w:szCs w:val="21"/>
                    </w:rPr>
                    <w:t>抗渗等级不低于P6的抗渗混凝土硬化</w:t>
                  </w:r>
                </w:p>
              </w:tc>
              <w:tc>
                <w:tcPr>
                  <w:tcW w:w="700" w:type="dxa"/>
                  <w:vAlign w:val="center"/>
                </w:tcPr>
                <w:p w14:paraId="7A9508CE">
                  <w:pPr>
                    <w:widowControl/>
                    <w:jc w:val="center"/>
                    <w:rPr>
                      <w:color w:val="auto"/>
                      <w:kern w:val="0"/>
                      <w:szCs w:val="21"/>
                      <w:lang w:bidi="ar"/>
                    </w:rPr>
                  </w:pPr>
                  <w:r>
                    <w:rPr>
                      <w:color w:val="auto"/>
                      <w:kern w:val="0"/>
                      <w:szCs w:val="21"/>
                      <w:lang w:bidi="ar"/>
                    </w:rPr>
                    <w:t>相符</w:t>
                  </w:r>
                </w:p>
              </w:tc>
            </w:tr>
            <w:tr w14:paraId="05D365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71" w:type="dxa"/>
                  <w:vAlign w:val="center"/>
                </w:tcPr>
                <w:p w14:paraId="3B8AB660">
                  <w:pPr>
                    <w:jc w:val="center"/>
                    <w:rPr>
                      <w:color w:val="auto"/>
                      <w:szCs w:val="21"/>
                    </w:rPr>
                  </w:pPr>
                  <w:r>
                    <w:rPr>
                      <w:color w:val="auto"/>
                      <w:szCs w:val="21"/>
                    </w:rPr>
                    <w:t>简单防渗区</w:t>
                  </w:r>
                </w:p>
              </w:tc>
              <w:tc>
                <w:tcPr>
                  <w:tcW w:w="1425" w:type="dxa"/>
                  <w:vAlign w:val="center"/>
                </w:tcPr>
                <w:p w14:paraId="53836654">
                  <w:pPr>
                    <w:jc w:val="center"/>
                    <w:rPr>
                      <w:color w:val="auto"/>
                      <w:szCs w:val="21"/>
                    </w:rPr>
                  </w:pPr>
                  <w:r>
                    <w:rPr>
                      <w:rFonts w:hint="eastAsia"/>
                      <w:color w:val="auto"/>
                      <w:szCs w:val="21"/>
                    </w:rPr>
                    <w:t>办公区</w:t>
                  </w:r>
                </w:p>
              </w:tc>
              <w:tc>
                <w:tcPr>
                  <w:tcW w:w="2350" w:type="dxa"/>
                  <w:vAlign w:val="center"/>
                </w:tcPr>
                <w:p w14:paraId="72F97C1B">
                  <w:pPr>
                    <w:widowControl/>
                    <w:jc w:val="center"/>
                    <w:rPr>
                      <w:color w:val="auto"/>
                      <w:kern w:val="0"/>
                      <w:szCs w:val="21"/>
                      <w:lang w:bidi="ar"/>
                    </w:rPr>
                  </w:pPr>
                  <w:r>
                    <w:rPr>
                      <w:color w:val="auto"/>
                      <w:kern w:val="0"/>
                      <w:szCs w:val="21"/>
                      <w:lang w:bidi="ar"/>
                    </w:rPr>
                    <w:t>一般地面硬化</w:t>
                  </w:r>
                </w:p>
              </w:tc>
              <w:tc>
                <w:tcPr>
                  <w:tcW w:w="3212" w:type="dxa"/>
                  <w:vAlign w:val="center"/>
                </w:tcPr>
                <w:p w14:paraId="681AFE9C">
                  <w:pPr>
                    <w:widowControl/>
                    <w:jc w:val="center"/>
                    <w:rPr>
                      <w:color w:val="auto"/>
                      <w:kern w:val="0"/>
                      <w:szCs w:val="21"/>
                      <w:lang w:bidi="ar"/>
                    </w:rPr>
                  </w:pPr>
                  <w:r>
                    <w:rPr>
                      <w:color w:val="auto"/>
                      <w:kern w:val="0"/>
                      <w:szCs w:val="21"/>
                      <w:lang w:bidi="ar"/>
                    </w:rPr>
                    <w:t>一般地面硬化</w:t>
                  </w:r>
                </w:p>
              </w:tc>
              <w:tc>
                <w:tcPr>
                  <w:tcW w:w="700" w:type="dxa"/>
                  <w:vAlign w:val="center"/>
                </w:tcPr>
                <w:p w14:paraId="6EA6889A">
                  <w:pPr>
                    <w:widowControl/>
                    <w:jc w:val="center"/>
                    <w:rPr>
                      <w:color w:val="auto"/>
                      <w:kern w:val="0"/>
                      <w:szCs w:val="21"/>
                      <w:lang w:bidi="ar"/>
                    </w:rPr>
                  </w:pPr>
                  <w:r>
                    <w:rPr>
                      <w:color w:val="auto"/>
                      <w:kern w:val="0"/>
                      <w:szCs w:val="21"/>
                      <w:lang w:bidi="ar"/>
                    </w:rPr>
                    <w:t>相符</w:t>
                  </w:r>
                </w:p>
              </w:tc>
            </w:tr>
          </w:tbl>
          <w:p w14:paraId="19E1D713">
            <w:pPr>
              <w:keepNext w:val="0"/>
              <w:keepLines w:val="0"/>
              <w:pageBreakBefore w:val="0"/>
              <w:widowControl/>
              <w:kinsoku/>
              <w:wordWrap/>
              <w:overflowPunct/>
              <w:topLinePunct w:val="0"/>
              <w:autoSpaceDE/>
              <w:autoSpaceDN/>
              <w:bidi w:val="0"/>
              <w:adjustRightInd/>
              <w:snapToGrid w:val="0"/>
              <w:spacing w:before="148" w:beforeLines="50" w:line="360" w:lineRule="auto"/>
              <w:ind w:firstLine="420" w:firstLineChars="200"/>
              <w:jc w:val="left"/>
              <w:textAlignment w:val="auto"/>
              <w:rPr>
                <w:color w:val="auto"/>
                <w:kern w:val="0"/>
                <w:szCs w:val="21"/>
                <w:lang w:bidi="ar"/>
              </w:rPr>
            </w:pPr>
            <w:r>
              <w:rPr>
                <w:rFonts w:hint="eastAsia"/>
                <w:color w:val="auto"/>
                <w:kern w:val="0"/>
                <w:szCs w:val="21"/>
                <w:lang w:bidi="ar"/>
              </w:rPr>
              <w:t>项目营运期通过垂直入渗、地面漫流对土壤及地下水产生影响的概率很小，本项目做好地面防渗后不会对项目所在地的地下水、土壤造成明显的不良影响，可无需进行地下水、土壤跟踪监测。</w:t>
            </w:r>
          </w:p>
          <w:p w14:paraId="0804ABC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color w:val="auto"/>
                <w:szCs w:val="21"/>
              </w:rPr>
            </w:pPr>
            <w:r>
              <w:rPr>
                <w:rFonts w:hint="default" w:ascii="Times New Roman" w:hAnsi="Times New Roman" w:eastAsia="宋体" w:cs="Times New Roman"/>
                <w:b/>
                <w:bCs/>
                <w:color w:val="auto"/>
                <w:kern w:val="2"/>
                <w:sz w:val="21"/>
                <w:szCs w:val="21"/>
                <w:lang w:val="en-US" w:eastAsia="zh-CN" w:bidi="ar-SA"/>
              </w:rPr>
              <w:t>6、</w:t>
            </w:r>
            <w:r>
              <w:rPr>
                <w:rFonts w:hint="eastAsia"/>
                <w:b/>
                <w:bCs/>
                <w:color w:val="auto"/>
                <w:szCs w:val="21"/>
              </w:rPr>
              <w:t>生态</w:t>
            </w:r>
          </w:p>
          <w:p w14:paraId="363F9E48">
            <w:pPr>
              <w:adjustRightInd w:val="0"/>
              <w:snapToGrid w:val="0"/>
              <w:spacing w:line="360" w:lineRule="auto"/>
              <w:ind w:firstLine="420" w:firstLineChars="200"/>
              <w:rPr>
                <w:color w:val="auto"/>
                <w:szCs w:val="21"/>
              </w:rPr>
            </w:pPr>
            <w:r>
              <w:rPr>
                <w:rFonts w:hint="eastAsia"/>
                <w:color w:val="auto"/>
                <w:szCs w:val="21"/>
              </w:rPr>
              <w:t>项目位于江苏省泗阳经济开发区众兴东路282号，</w:t>
            </w:r>
            <w:r>
              <w:rPr>
                <w:color w:val="auto"/>
                <w:szCs w:val="21"/>
              </w:rPr>
              <w:t>按照《关于印发&lt;建设项目环境影响报告表&gt;内容、格式及编制技术指南的通知》（环办环评〔2020〕33号）</w:t>
            </w:r>
            <w:r>
              <w:rPr>
                <w:rFonts w:hint="eastAsia"/>
                <w:color w:val="auto"/>
                <w:szCs w:val="21"/>
              </w:rPr>
              <w:t>的</w:t>
            </w:r>
            <w:r>
              <w:rPr>
                <w:color w:val="auto"/>
                <w:szCs w:val="21"/>
              </w:rPr>
              <w:t>要求，</w:t>
            </w:r>
            <w:r>
              <w:rPr>
                <w:rFonts w:hint="eastAsia"/>
                <w:color w:val="auto"/>
                <w:szCs w:val="21"/>
              </w:rPr>
              <w:t>本项目</w:t>
            </w:r>
            <w:r>
              <w:rPr>
                <w:color w:val="auto"/>
                <w:szCs w:val="21"/>
              </w:rPr>
              <w:t>不开展此项分析。</w:t>
            </w:r>
          </w:p>
          <w:p w14:paraId="41A7FC9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b/>
                <w:bCs/>
                <w:color w:val="auto"/>
                <w:szCs w:val="21"/>
              </w:rPr>
            </w:pPr>
            <w:r>
              <w:rPr>
                <w:rFonts w:hint="default" w:ascii="Times New Roman" w:hAnsi="Times New Roman" w:eastAsia="宋体" w:cs="Times New Roman"/>
                <w:b/>
                <w:bCs/>
                <w:color w:val="auto"/>
                <w:kern w:val="2"/>
                <w:sz w:val="21"/>
                <w:szCs w:val="21"/>
                <w:lang w:val="en-US" w:eastAsia="zh-CN" w:bidi="ar-SA"/>
              </w:rPr>
              <w:t>7、</w:t>
            </w:r>
            <w:r>
              <w:rPr>
                <w:rFonts w:hint="eastAsia"/>
                <w:b/>
                <w:bCs/>
                <w:color w:val="auto"/>
                <w:szCs w:val="21"/>
              </w:rPr>
              <w:t>环境风险</w:t>
            </w:r>
          </w:p>
          <w:p w14:paraId="6491C475">
            <w:pPr>
              <w:pStyle w:val="10"/>
              <w:spacing w:before="0" w:after="0" w:line="360" w:lineRule="auto"/>
              <w:ind w:right="0" w:firstLine="420" w:firstLineChars="200"/>
              <w:rPr>
                <w:color w:val="auto"/>
                <w:sz w:val="21"/>
                <w:szCs w:val="21"/>
              </w:rPr>
            </w:pPr>
            <w:r>
              <w:rPr>
                <w:rFonts w:hint="eastAsia"/>
                <w:color w:val="auto"/>
                <w:sz w:val="21"/>
                <w:szCs w:val="21"/>
              </w:rPr>
              <w:t>（1）</w:t>
            </w:r>
            <w:r>
              <w:rPr>
                <w:color w:val="auto"/>
                <w:sz w:val="21"/>
                <w:szCs w:val="21"/>
              </w:rPr>
              <w:t>评价依据</w:t>
            </w:r>
          </w:p>
          <w:p w14:paraId="472A9EA9">
            <w:pPr>
              <w:pStyle w:val="10"/>
              <w:spacing w:before="0" w:after="0" w:line="360" w:lineRule="auto"/>
              <w:ind w:right="0" w:firstLine="420" w:firstLineChars="200"/>
              <w:rPr>
                <w:color w:val="auto"/>
                <w:sz w:val="21"/>
                <w:szCs w:val="21"/>
              </w:rPr>
            </w:pPr>
            <w:r>
              <w:rPr>
                <w:color w:val="auto"/>
                <w:sz w:val="21"/>
                <w:szCs w:val="21"/>
              </w:rPr>
              <w:t>1）风险调查</w:t>
            </w:r>
          </w:p>
          <w:p w14:paraId="49159149">
            <w:pPr>
              <w:pStyle w:val="10"/>
              <w:spacing w:before="0" w:after="0" w:line="360" w:lineRule="auto"/>
              <w:ind w:right="0" w:firstLine="420" w:firstLineChars="200"/>
              <w:rPr>
                <w:color w:val="auto"/>
                <w:sz w:val="21"/>
                <w:szCs w:val="21"/>
              </w:rPr>
            </w:pPr>
            <w:r>
              <w:rPr>
                <w:color w:val="auto"/>
                <w:sz w:val="21"/>
                <w:szCs w:val="21"/>
              </w:rPr>
              <w:t>本项目不涉及危险工艺，根据《建设项目环境风险评价技术导则》（HJ169-2018）中附录B中所列物质</w:t>
            </w:r>
            <w:r>
              <w:rPr>
                <w:rFonts w:hint="eastAsia"/>
                <w:color w:val="auto"/>
                <w:sz w:val="21"/>
                <w:szCs w:val="21"/>
              </w:rPr>
              <w:t>，本项目主要涉及环境风险物质主要为</w:t>
            </w:r>
            <w:r>
              <w:rPr>
                <w:rFonts w:hint="eastAsia"/>
                <w:color w:val="auto"/>
                <w:sz w:val="21"/>
                <w:szCs w:val="21"/>
                <w:lang w:val="en-US" w:eastAsia="zh-CN"/>
              </w:rPr>
              <w:t>氢氟酸</w:t>
            </w:r>
            <w:r>
              <w:rPr>
                <w:rFonts w:hint="eastAsia"/>
                <w:color w:val="auto"/>
                <w:sz w:val="21"/>
                <w:szCs w:val="21"/>
              </w:rPr>
              <w:t>、</w:t>
            </w:r>
            <w:r>
              <w:rPr>
                <w:rFonts w:hint="eastAsia"/>
                <w:color w:val="auto"/>
                <w:sz w:val="21"/>
                <w:szCs w:val="21"/>
                <w:lang w:val="en-US" w:eastAsia="zh-CN"/>
              </w:rPr>
              <w:t>油墨</w:t>
            </w:r>
            <w:r>
              <w:rPr>
                <w:rFonts w:hint="eastAsia"/>
                <w:color w:val="auto"/>
                <w:sz w:val="21"/>
                <w:szCs w:val="21"/>
              </w:rPr>
              <w:t>及危险废物。</w:t>
            </w:r>
          </w:p>
          <w:p w14:paraId="5B7379D4">
            <w:pPr>
              <w:pStyle w:val="10"/>
              <w:spacing w:before="0" w:after="0" w:line="360" w:lineRule="auto"/>
              <w:ind w:right="0" w:firstLine="420" w:firstLineChars="200"/>
              <w:rPr>
                <w:color w:val="auto"/>
                <w:sz w:val="21"/>
                <w:szCs w:val="21"/>
              </w:rPr>
            </w:pPr>
            <w:r>
              <w:rPr>
                <w:rFonts w:hint="eastAsia"/>
                <w:color w:val="auto"/>
                <w:sz w:val="21"/>
                <w:szCs w:val="21"/>
              </w:rPr>
              <w:t>2）危险物质数量与临界量比值（Q）</w:t>
            </w:r>
          </w:p>
          <w:p w14:paraId="7815B1D3">
            <w:pPr>
              <w:pStyle w:val="10"/>
              <w:spacing w:before="0" w:after="0" w:line="360" w:lineRule="auto"/>
              <w:ind w:right="0" w:firstLine="420" w:firstLineChars="200"/>
              <w:rPr>
                <w:color w:val="auto"/>
                <w:sz w:val="21"/>
                <w:szCs w:val="21"/>
              </w:rPr>
            </w:pPr>
            <w:r>
              <w:rPr>
                <w:color w:val="auto"/>
                <w:sz w:val="21"/>
                <w:szCs w:val="21"/>
              </w:rPr>
              <w:t>计算所涉及的每种危险物质在厂界内的最大存在总量与其在附录</w:t>
            </w:r>
            <w:r>
              <w:rPr>
                <w:rFonts w:hint="eastAsia"/>
                <w:color w:val="auto"/>
                <w:sz w:val="21"/>
                <w:szCs w:val="21"/>
              </w:rPr>
              <w:t>B</w:t>
            </w:r>
            <w:r>
              <w:rPr>
                <w:color w:val="auto"/>
                <w:sz w:val="21"/>
                <w:szCs w:val="21"/>
              </w:rPr>
              <w:t>中对应临界量的比值Q。在不同厂区的同一种物质</w:t>
            </w:r>
            <w:r>
              <w:rPr>
                <w:rFonts w:hint="eastAsia"/>
                <w:color w:val="auto"/>
                <w:sz w:val="21"/>
                <w:szCs w:val="21"/>
              </w:rPr>
              <w:t>，</w:t>
            </w:r>
            <w:r>
              <w:rPr>
                <w:color w:val="auto"/>
                <w:sz w:val="21"/>
                <w:szCs w:val="21"/>
              </w:rPr>
              <w:t>按其在厂界内的最大存在总量计算。当只涉及一种危险物质时</w:t>
            </w:r>
            <w:r>
              <w:rPr>
                <w:rFonts w:hint="eastAsia"/>
                <w:color w:val="auto"/>
                <w:sz w:val="21"/>
                <w:szCs w:val="21"/>
              </w:rPr>
              <w:t>，</w:t>
            </w:r>
            <w:r>
              <w:rPr>
                <w:color w:val="auto"/>
                <w:sz w:val="21"/>
                <w:szCs w:val="21"/>
              </w:rPr>
              <w:t>计算该物质的总量与其临界量比值</w:t>
            </w:r>
            <w:r>
              <w:rPr>
                <w:rFonts w:hint="eastAsia"/>
                <w:color w:val="auto"/>
                <w:sz w:val="21"/>
                <w:szCs w:val="21"/>
              </w:rPr>
              <w:t>，</w:t>
            </w:r>
            <w:r>
              <w:rPr>
                <w:color w:val="auto"/>
                <w:sz w:val="21"/>
                <w:szCs w:val="21"/>
              </w:rPr>
              <w:t>即为Q；当存在多种危险物质时</w:t>
            </w:r>
            <w:r>
              <w:rPr>
                <w:rFonts w:hint="eastAsia"/>
                <w:color w:val="auto"/>
                <w:sz w:val="21"/>
                <w:szCs w:val="21"/>
              </w:rPr>
              <w:t>，</w:t>
            </w:r>
            <w:r>
              <w:rPr>
                <w:color w:val="auto"/>
                <w:sz w:val="21"/>
                <w:szCs w:val="21"/>
              </w:rPr>
              <w:t>则按式</w:t>
            </w:r>
            <w:r>
              <w:rPr>
                <w:rFonts w:hint="eastAsia"/>
                <w:color w:val="auto"/>
                <w:sz w:val="21"/>
                <w:szCs w:val="21"/>
              </w:rPr>
              <w:t>（</w:t>
            </w:r>
            <w:r>
              <w:rPr>
                <w:color w:val="auto"/>
                <w:sz w:val="21"/>
                <w:szCs w:val="21"/>
              </w:rPr>
              <w:t>C</w:t>
            </w:r>
            <w:r>
              <w:rPr>
                <w:rFonts w:hint="eastAsia"/>
                <w:color w:val="auto"/>
                <w:sz w:val="21"/>
                <w:szCs w:val="21"/>
                <w:lang w:val="en-US" w:eastAsia="zh-CN"/>
              </w:rPr>
              <w:t>.</w:t>
            </w:r>
            <w:r>
              <w:rPr>
                <w:color w:val="auto"/>
                <w:sz w:val="21"/>
                <w:szCs w:val="21"/>
              </w:rPr>
              <w:t>1</w:t>
            </w:r>
            <w:r>
              <w:rPr>
                <w:rFonts w:hint="eastAsia"/>
                <w:color w:val="auto"/>
                <w:sz w:val="21"/>
                <w:szCs w:val="21"/>
              </w:rPr>
              <w:t>）</w:t>
            </w:r>
            <w:r>
              <w:rPr>
                <w:color w:val="auto"/>
                <w:sz w:val="21"/>
                <w:szCs w:val="21"/>
              </w:rPr>
              <w:t>计算物质总量与其临界量比值</w:t>
            </w:r>
            <w:r>
              <w:rPr>
                <w:rFonts w:hint="eastAsia"/>
                <w:color w:val="auto"/>
                <w:sz w:val="21"/>
                <w:szCs w:val="21"/>
              </w:rPr>
              <w:t>（</w:t>
            </w:r>
            <w:r>
              <w:rPr>
                <w:color w:val="auto"/>
                <w:sz w:val="21"/>
                <w:szCs w:val="21"/>
              </w:rPr>
              <w:t>Q</w:t>
            </w:r>
            <w:r>
              <w:rPr>
                <w:rFonts w:hint="eastAsia"/>
                <w:color w:val="auto"/>
                <w:sz w:val="21"/>
                <w:szCs w:val="21"/>
              </w:rPr>
              <w:t>）</w:t>
            </w:r>
            <w:r>
              <w:rPr>
                <w:color w:val="auto"/>
                <w:sz w:val="21"/>
                <w:szCs w:val="21"/>
              </w:rPr>
              <w:t>：</w:t>
            </w:r>
          </w:p>
          <w:p w14:paraId="7353D67F">
            <w:pPr>
              <w:pStyle w:val="10"/>
              <w:spacing w:before="0" w:after="0" w:line="360" w:lineRule="auto"/>
              <w:ind w:right="0"/>
              <w:jc w:val="center"/>
              <w:rPr>
                <w:color w:val="auto"/>
                <w:sz w:val="21"/>
                <w:szCs w:val="21"/>
              </w:rPr>
            </w:pPr>
            <w:r>
              <w:rPr>
                <w:rFonts w:hint="eastAsia"/>
                <w:color w:val="auto"/>
                <w:position w:val="-30"/>
                <w:sz w:val="21"/>
                <w:szCs w:val="21"/>
              </w:rPr>
              <w:object>
                <v:shape id="_x0000_i1030" o:spt="75" type="#_x0000_t75" style="height:33.8pt;width:117.25pt;" o:ole="t" filled="f" o:preferrelative="t" stroked="f" coordsize="21600,21600">
                  <v:path/>
                  <v:fill on="f" focussize="0,0"/>
                  <v:stroke on="f" joinstyle="miter"/>
                  <v:imagedata r:id="rId36" o:title=""/>
                  <o:lock v:ext="edit" aspectratio="t"/>
                  <w10:wrap type="none"/>
                  <w10:anchorlock/>
                </v:shape>
                <o:OLEObject Type="Embed" ProgID="Equation.KSEE3" ShapeID="_x0000_i1030" DrawAspect="Content" ObjectID="_1468075730" r:id="rId35">
                  <o:LockedField>false</o:LockedField>
                </o:OLEObject>
              </w:object>
            </w:r>
          </w:p>
          <w:p w14:paraId="7258C73C">
            <w:pPr>
              <w:pStyle w:val="10"/>
              <w:spacing w:before="0" w:after="0" w:line="360" w:lineRule="auto"/>
              <w:ind w:right="0" w:firstLine="420" w:firstLineChars="200"/>
              <w:rPr>
                <w:color w:val="auto"/>
                <w:sz w:val="21"/>
                <w:szCs w:val="21"/>
              </w:rPr>
            </w:pPr>
            <w:r>
              <w:rPr>
                <w:color w:val="auto"/>
                <w:sz w:val="21"/>
                <w:szCs w:val="21"/>
              </w:rPr>
              <w:t>式中</w:t>
            </w:r>
            <w:r>
              <w:rPr>
                <w:rFonts w:hint="eastAsia"/>
                <w:color w:val="auto"/>
                <w:sz w:val="21"/>
                <w:szCs w:val="21"/>
              </w:rPr>
              <w:t>，</w:t>
            </w:r>
            <w:r>
              <w:rPr>
                <w:color w:val="auto"/>
                <w:sz w:val="21"/>
                <w:szCs w:val="21"/>
              </w:rPr>
              <w:t>q</w:t>
            </w:r>
            <w:r>
              <w:rPr>
                <w:color w:val="auto"/>
                <w:sz w:val="21"/>
                <w:szCs w:val="21"/>
                <w:vertAlign w:val="subscript"/>
              </w:rPr>
              <w:t>1</w:t>
            </w:r>
            <w:r>
              <w:rPr>
                <w:rFonts w:hint="eastAsia"/>
                <w:color w:val="auto"/>
                <w:sz w:val="21"/>
                <w:szCs w:val="21"/>
              </w:rPr>
              <w:t>，</w:t>
            </w:r>
            <w:r>
              <w:rPr>
                <w:color w:val="auto"/>
                <w:sz w:val="21"/>
                <w:szCs w:val="21"/>
              </w:rPr>
              <w:t>q</w:t>
            </w:r>
            <w:r>
              <w:rPr>
                <w:color w:val="auto"/>
                <w:sz w:val="21"/>
                <w:szCs w:val="21"/>
                <w:vertAlign w:val="subscript"/>
              </w:rPr>
              <w:t>2</w:t>
            </w:r>
            <w:r>
              <w:rPr>
                <w:color w:val="auto"/>
                <w:sz w:val="21"/>
                <w:szCs w:val="21"/>
              </w:rPr>
              <w:t>…</w:t>
            </w:r>
            <w:r>
              <w:rPr>
                <w:rFonts w:hint="eastAsia"/>
                <w:color w:val="auto"/>
                <w:sz w:val="21"/>
                <w:szCs w:val="21"/>
              </w:rPr>
              <w:t>，</w:t>
            </w:r>
            <w:r>
              <w:rPr>
                <w:color w:val="auto"/>
                <w:sz w:val="21"/>
                <w:szCs w:val="21"/>
              </w:rPr>
              <w:t>q</w:t>
            </w:r>
            <w:r>
              <w:rPr>
                <w:color w:val="auto"/>
                <w:sz w:val="21"/>
                <w:szCs w:val="21"/>
                <w:vertAlign w:val="subscript"/>
              </w:rPr>
              <w:t>n</w:t>
            </w:r>
            <w:r>
              <w:rPr>
                <w:color w:val="auto"/>
                <w:sz w:val="21"/>
                <w:szCs w:val="21"/>
              </w:rPr>
              <w:t>—每种危险物质的最大存在总量</w:t>
            </w:r>
            <w:r>
              <w:rPr>
                <w:rFonts w:hint="eastAsia"/>
                <w:color w:val="auto"/>
                <w:sz w:val="21"/>
                <w:szCs w:val="21"/>
              </w:rPr>
              <w:t>，</w:t>
            </w:r>
            <w:r>
              <w:rPr>
                <w:color w:val="auto"/>
                <w:sz w:val="21"/>
                <w:szCs w:val="21"/>
              </w:rPr>
              <w:t>t。</w:t>
            </w:r>
          </w:p>
          <w:p w14:paraId="52E047CD">
            <w:pPr>
              <w:pStyle w:val="10"/>
              <w:spacing w:before="0" w:after="0" w:line="360" w:lineRule="auto"/>
              <w:ind w:right="0" w:firstLine="1050" w:firstLineChars="500"/>
              <w:rPr>
                <w:color w:val="auto"/>
                <w:sz w:val="21"/>
                <w:szCs w:val="21"/>
              </w:rPr>
            </w:pPr>
            <w:r>
              <w:rPr>
                <w:color w:val="auto"/>
                <w:sz w:val="21"/>
                <w:szCs w:val="21"/>
              </w:rPr>
              <w:t>Q</w:t>
            </w:r>
            <w:r>
              <w:rPr>
                <w:color w:val="auto"/>
                <w:sz w:val="21"/>
                <w:szCs w:val="21"/>
                <w:vertAlign w:val="subscript"/>
              </w:rPr>
              <w:t>1</w:t>
            </w:r>
            <w:r>
              <w:rPr>
                <w:rFonts w:hint="eastAsia"/>
                <w:color w:val="auto"/>
                <w:sz w:val="21"/>
                <w:szCs w:val="21"/>
              </w:rPr>
              <w:t>，</w:t>
            </w:r>
            <w:r>
              <w:rPr>
                <w:color w:val="auto"/>
                <w:sz w:val="21"/>
                <w:szCs w:val="21"/>
              </w:rPr>
              <w:t>Q</w:t>
            </w:r>
            <w:r>
              <w:rPr>
                <w:color w:val="auto"/>
                <w:sz w:val="21"/>
                <w:szCs w:val="21"/>
                <w:vertAlign w:val="subscript"/>
              </w:rPr>
              <w:t>2</w:t>
            </w:r>
            <w:r>
              <w:rPr>
                <w:color w:val="auto"/>
                <w:sz w:val="21"/>
                <w:szCs w:val="21"/>
              </w:rPr>
              <w:t>…Q</w:t>
            </w:r>
            <w:r>
              <w:rPr>
                <w:color w:val="auto"/>
                <w:sz w:val="21"/>
                <w:szCs w:val="21"/>
                <w:vertAlign w:val="subscript"/>
              </w:rPr>
              <w:t>n</w:t>
            </w:r>
            <w:r>
              <w:rPr>
                <w:color w:val="auto"/>
                <w:sz w:val="21"/>
                <w:szCs w:val="21"/>
              </w:rPr>
              <w:t>—每种危险物质的临界量</w:t>
            </w:r>
            <w:r>
              <w:rPr>
                <w:rFonts w:hint="eastAsia"/>
                <w:color w:val="auto"/>
                <w:sz w:val="21"/>
                <w:szCs w:val="21"/>
              </w:rPr>
              <w:t>，</w:t>
            </w:r>
            <w:r>
              <w:rPr>
                <w:color w:val="auto"/>
                <w:sz w:val="21"/>
                <w:szCs w:val="21"/>
              </w:rPr>
              <w:t>t。</w:t>
            </w:r>
          </w:p>
          <w:p w14:paraId="012F58D2">
            <w:pPr>
              <w:pStyle w:val="10"/>
              <w:spacing w:before="0" w:after="0" w:line="360" w:lineRule="auto"/>
              <w:ind w:right="0" w:firstLine="1050" w:firstLineChars="500"/>
              <w:rPr>
                <w:color w:val="auto"/>
                <w:sz w:val="21"/>
                <w:szCs w:val="21"/>
              </w:rPr>
            </w:pPr>
            <w:r>
              <w:rPr>
                <w:color w:val="auto"/>
                <w:sz w:val="21"/>
                <w:szCs w:val="21"/>
              </w:rPr>
              <w:t>当Q＜1时</w:t>
            </w:r>
            <w:r>
              <w:rPr>
                <w:rFonts w:hint="eastAsia"/>
                <w:color w:val="auto"/>
                <w:sz w:val="21"/>
                <w:szCs w:val="21"/>
              </w:rPr>
              <w:t>，</w:t>
            </w:r>
            <w:r>
              <w:rPr>
                <w:color w:val="auto"/>
                <w:sz w:val="21"/>
                <w:szCs w:val="21"/>
              </w:rPr>
              <w:t>该项目环境风险潜势为Ⅰ。</w:t>
            </w:r>
          </w:p>
          <w:p w14:paraId="106F1F7F">
            <w:pPr>
              <w:pStyle w:val="10"/>
              <w:spacing w:before="0" w:after="0" w:line="360" w:lineRule="auto"/>
              <w:ind w:right="0" w:firstLine="630" w:firstLineChars="300"/>
              <w:rPr>
                <w:color w:val="auto"/>
                <w:sz w:val="21"/>
                <w:szCs w:val="21"/>
              </w:rPr>
            </w:pPr>
            <w:r>
              <w:rPr>
                <w:color w:val="auto"/>
                <w:sz w:val="21"/>
                <w:szCs w:val="21"/>
              </w:rPr>
              <w:t>当Q≥1时</w:t>
            </w:r>
            <w:r>
              <w:rPr>
                <w:rFonts w:hint="eastAsia"/>
                <w:color w:val="auto"/>
                <w:sz w:val="21"/>
                <w:szCs w:val="21"/>
              </w:rPr>
              <w:t>，</w:t>
            </w:r>
            <w:r>
              <w:rPr>
                <w:color w:val="auto"/>
                <w:sz w:val="21"/>
                <w:szCs w:val="21"/>
              </w:rPr>
              <w:t>将Q值划分为：（1）1≤Q＜10；（2）10≤Q＜100；（3）Q≥100。</w:t>
            </w:r>
          </w:p>
          <w:p w14:paraId="12180F40">
            <w:pPr>
              <w:pStyle w:val="10"/>
              <w:spacing w:before="0" w:after="0" w:line="360" w:lineRule="auto"/>
              <w:ind w:right="0" w:firstLine="420" w:firstLineChars="200"/>
              <w:rPr>
                <w:color w:val="auto"/>
                <w:sz w:val="21"/>
                <w:szCs w:val="21"/>
              </w:rPr>
            </w:pPr>
            <w:r>
              <w:rPr>
                <w:rFonts w:hint="eastAsia"/>
                <w:color w:val="auto"/>
                <w:sz w:val="21"/>
                <w:szCs w:val="21"/>
              </w:rPr>
              <w:t>参考《建设项目环境风险评价技术导则》（HJ169-2018）附录B中各物质选取临界量并计算q/Q值，详见表4-</w:t>
            </w:r>
            <w:r>
              <w:rPr>
                <w:rFonts w:hint="eastAsia"/>
                <w:color w:val="auto"/>
                <w:sz w:val="21"/>
                <w:szCs w:val="21"/>
                <w:lang w:val="en-US" w:eastAsia="zh-CN"/>
              </w:rPr>
              <w:t>34</w:t>
            </w:r>
            <w:r>
              <w:rPr>
                <w:rFonts w:hint="eastAsia"/>
                <w:color w:val="auto"/>
                <w:sz w:val="21"/>
                <w:szCs w:val="21"/>
              </w:rPr>
              <w:t>。</w:t>
            </w:r>
          </w:p>
          <w:p w14:paraId="400DCD80">
            <w:pPr>
              <w:widowControl/>
              <w:adjustRightInd w:val="0"/>
              <w:snapToGrid w:val="0"/>
              <w:spacing w:before="147" w:beforeLines="50"/>
              <w:jc w:val="center"/>
              <w:rPr>
                <w:b/>
                <w:bCs/>
                <w:color w:val="auto"/>
                <w:szCs w:val="21"/>
              </w:rPr>
            </w:pPr>
            <w:r>
              <w:rPr>
                <w:rFonts w:hint="eastAsia"/>
                <w:b/>
                <w:bCs/>
                <w:color w:val="auto"/>
                <w:szCs w:val="21"/>
              </w:rPr>
              <w:t>表4-</w:t>
            </w:r>
            <w:r>
              <w:rPr>
                <w:rFonts w:hint="eastAsia"/>
                <w:b/>
                <w:bCs/>
                <w:color w:val="auto"/>
                <w:szCs w:val="21"/>
                <w:lang w:val="en-US" w:eastAsia="zh-CN"/>
              </w:rPr>
              <w:t>34</w:t>
            </w:r>
            <w:r>
              <w:rPr>
                <w:rFonts w:hint="eastAsia"/>
                <w:b/>
                <w:bCs/>
                <w:color w:val="auto"/>
                <w:szCs w:val="21"/>
              </w:rPr>
              <w:t xml:space="preserve"> 本项目涉及危险物质q/Q值计算（单位：t）</w:t>
            </w:r>
          </w:p>
          <w:tbl>
            <w:tblPr>
              <w:tblStyle w:val="3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80"/>
              <w:gridCol w:w="1100"/>
              <w:gridCol w:w="1250"/>
              <w:gridCol w:w="1575"/>
              <w:gridCol w:w="1512"/>
              <w:gridCol w:w="1312"/>
              <w:gridCol w:w="1205"/>
            </w:tblGrid>
            <w:tr w14:paraId="105B5A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80" w:type="dxa"/>
                  <w:tcBorders>
                    <w:tl2br w:val="nil"/>
                    <w:tr2bl w:val="nil"/>
                  </w:tcBorders>
                  <w:vAlign w:val="center"/>
                </w:tcPr>
                <w:p w14:paraId="6C916F04">
                  <w:pPr>
                    <w:jc w:val="center"/>
                    <w:rPr>
                      <w:color w:val="auto"/>
                    </w:rPr>
                  </w:pPr>
                  <w:r>
                    <w:rPr>
                      <w:rFonts w:hint="eastAsia"/>
                      <w:b/>
                      <w:bCs/>
                      <w:color w:val="auto"/>
                      <w:szCs w:val="21"/>
                      <w:lang w:bidi="ar"/>
                    </w:rPr>
                    <w:t>序号</w:t>
                  </w:r>
                </w:p>
              </w:tc>
              <w:tc>
                <w:tcPr>
                  <w:tcW w:w="1100" w:type="dxa"/>
                  <w:tcBorders>
                    <w:tl2br w:val="nil"/>
                    <w:tr2bl w:val="nil"/>
                  </w:tcBorders>
                  <w:vAlign w:val="center"/>
                </w:tcPr>
                <w:p w14:paraId="225CE7F0">
                  <w:pPr>
                    <w:jc w:val="center"/>
                    <w:rPr>
                      <w:color w:val="auto"/>
                    </w:rPr>
                  </w:pPr>
                  <w:r>
                    <w:rPr>
                      <w:rFonts w:hint="eastAsia"/>
                      <w:b/>
                      <w:bCs/>
                      <w:color w:val="auto"/>
                      <w:szCs w:val="21"/>
                      <w:lang w:bidi="ar"/>
                    </w:rPr>
                    <w:t>名称</w:t>
                  </w:r>
                </w:p>
              </w:tc>
              <w:tc>
                <w:tcPr>
                  <w:tcW w:w="1250" w:type="dxa"/>
                  <w:tcBorders>
                    <w:tl2br w:val="nil"/>
                    <w:tr2bl w:val="nil"/>
                  </w:tcBorders>
                  <w:vAlign w:val="center"/>
                </w:tcPr>
                <w:p w14:paraId="613AA2D9">
                  <w:pPr>
                    <w:jc w:val="center"/>
                    <w:rPr>
                      <w:b/>
                      <w:bCs/>
                      <w:color w:val="auto"/>
                    </w:rPr>
                  </w:pPr>
                  <w:r>
                    <w:rPr>
                      <w:rFonts w:hint="eastAsia"/>
                      <w:b/>
                      <w:bCs/>
                      <w:color w:val="auto"/>
                    </w:rPr>
                    <w:t>CAS号</w:t>
                  </w:r>
                </w:p>
              </w:tc>
              <w:tc>
                <w:tcPr>
                  <w:tcW w:w="1575" w:type="dxa"/>
                  <w:tcBorders>
                    <w:tl2br w:val="nil"/>
                    <w:tr2bl w:val="nil"/>
                  </w:tcBorders>
                  <w:vAlign w:val="center"/>
                </w:tcPr>
                <w:p w14:paraId="218655AC">
                  <w:pPr>
                    <w:widowControl/>
                    <w:jc w:val="center"/>
                    <w:textAlignment w:val="center"/>
                    <w:rPr>
                      <w:b/>
                      <w:bCs/>
                      <w:color w:val="auto"/>
                      <w:szCs w:val="21"/>
                    </w:rPr>
                  </w:pPr>
                  <w:r>
                    <w:rPr>
                      <w:b/>
                      <w:bCs/>
                      <w:color w:val="auto"/>
                      <w:kern w:val="0"/>
                      <w:szCs w:val="21"/>
                      <w:lang w:bidi="ar"/>
                    </w:rPr>
                    <w:t>最大贮存量</w:t>
                  </w:r>
                  <w:r>
                    <w:rPr>
                      <w:rFonts w:hint="eastAsia"/>
                      <w:b/>
                      <w:bCs/>
                      <w:color w:val="auto"/>
                      <w:kern w:val="0"/>
                      <w:szCs w:val="21"/>
                      <w:lang w:bidi="ar"/>
                    </w:rPr>
                    <w:t>（t）</w:t>
                  </w:r>
                </w:p>
              </w:tc>
              <w:tc>
                <w:tcPr>
                  <w:tcW w:w="1512" w:type="dxa"/>
                  <w:tcBorders>
                    <w:tl2br w:val="nil"/>
                    <w:tr2bl w:val="nil"/>
                  </w:tcBorders>
                  <w:vAlign w:val="center"/>
                </w:tcPr>
                <w:p w14:paraId="39915E1C">
                  <w:pPr>
                    <w:widowControl/>
                    <w:jc w:val="center"/>
                    <w:textAlignment w:val="center"/>
                    <w:rPr>
                      <w:color w:val="auto"/>
                    </w:rPr>
                  </w:pPr>
                  <w:r>
                    <w:rPr>
                      <w:rFonts w:hint="eastAsia"/>
                      <w:b/>
                      <w:bCs/>
                      <w:color w:val="auto"/>
                      <w:kern w:val="0"/>
                      <w:szCs w:val="21"/>
                      <w:lang w:bidi="ar"/>
                    </w:rPr>
                    <w:t>最大在线量（t）</w:t>
                  </w:r>
                </w:p>
              </w:tc>
              <w:tc>
                <w:tcPr>
                  <w:tcW w:w="1312" w:type="dxa"/>
                  <w:tcBorders>
                    <w:tl2br w:val="nil"/>
                    <w:tr2bl w:val="nil"/>
                  </w:tcBorders>
                  <w:vAlign w:val="center"/>
                </w:tcPr>
                <w:p w14:paraId="18D41B9C">
                  <w:pPr>
                    <w:widowControl/>
                    <w:jc w:val="center"/>
                    <w:textAlignment w:val="center"/>
                    <w:rPr>
                      <w:color w:val="auto"/>
                    </w:rPr>
                  </w:pPr>
                  <w:r>
                    <w:rPr>
                      <w:rFonts w:hint="eastAsia"/>
                      <w:b/>
                      <w:bCs/>
                      <w:color w:val="auto"/>
                      <w:kern w:val="0"/>
                      <w:szCs w:val="21"/>
                      <w:lang w:bidi="ar"/>
                    </w:rPr>
                    <w:t>临界量（t）</w:t>
                  </w:r>
                </w:p>
              </w:tc>
              <w:tc>
                <w:tcPr>
                  <w:tcW w:w="1205" w:type="dxa"/>
                  <w:tcBorders>
                    <w:tl2br w:val="nil"/>
                    <w:tr2bl w:val="nil"/>
                  </w:tcBorders>
                  <w:vAlign w:val="center"/>
                </w:tcPr>
                <w:p w14:paraId="1C33F56F">
                  <w:pPr>
                    <w:jc w:val="center"/>
                    <w:rPr>
                      <w:color w:val="auto"/>
                    </w:rPr>
                  </w:pPr>
                  <w:r>
                    <w:rPr>
                      <w:rFonts w:hint="eastAsia"/>
                      <w:b/>
                      <w:bCs/>
                      <w:color w:val="auto"/>
                      <w:szCs w:val="21"/>
                    </w:rPr>
                    <w:t>q/Q</w:t>
                  </w:r>
                </w:p>
              </w:tc>
            </w:tr>
            <w:tr w14:paraId="04F3B2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80" w:type="dxa"/>
                  <w:tcBorders>
                    <w:tl2br w:val="nil"/>
                    <w:tr2bl w:val="nil"/>
                  </w:tcBorders>
                  <w:vAlign w:val="center"/>
                </w:tcPr>
                <w:p w14:paraId="1BBBE109">
                  <w:pPr>
                    <w:widowControl/>
                    <w:jc w:val="center"/>
                    <w:rPr>
                      <w:color w:val="auto"/>
                    </w:rPr>
                  </w:pPr>
                  <w:r>
                    <w:rPr>
                      <w:rFonts w:hint="eastAsia"/>
                      <w:color w:val="auto"/>
                      <w:szCs w:val="21"/>
                    </w:rPr>
                    <w:t>1</w:t>
                  </w:r>
                </w:p>
              </w:tc>
              <w:tc>
                <w:tcPr>
                  <w:tcW w:w="1100" w:type="dxa"/>
                  <w:tcBorders>
                    <w:tl2br w:val="nil"/>
                    <w:tr2bl w:val="nil"/>
                  </w:tcBorders>
                  <w:vAlign w:val="center"/>
                </w:tcPr>
                <w:p w14:paraId="11B4CCD2">
                  <w:pPr>
                    <w:adjustRightInd w:val="0"/>
                    <w:snapToGrid w:val="0"/>
                    <w:jc w:val="center"/>
                    <w:rPr>
                      <w:rFonts w:hint="eastAsia" w:eastAsia="宋体"/>
                      <w:color w:val="auto"/>
                      <w:lang w:val="en-US" w:eastAsia="zh-CN"/>
                    </w:rPr>
                  </w:pPr>
                  <w:r>
                    <w:rPr>
                      <w:rFonts w:hint="eastAsia"/>
                      <w:color w:val="auto"/>
                      <w:lang w:val="en-US" w:eastAsia="zh-CN"/>
                    </w:rPr>
                    <w:t>氨水</w:t>
                  </w:r>
                </w:p>
              </w:tc>
              <w:tc>
                <w:tcPr>
                  <w:tcW w:w="1250" w:type="dxa"/>
                  <w:tcBorders>
                    <w:tl2br w:val="nil"/>
                    <w:tr2bl w:val="nil"/>
                  </w:tcBorders>
                  <w:vAlign w:val="center"/>
                </w:tcPr>
                <w:p w14:paraId="602250C1">
                  <w:pPr>
                    <w:jc w:val="center"/>
                    <w:rPr>
                      <w:rFonts w:hint="default" w:eastAsia="宋体"/>
                      <w:color w:val="auto"/>
                      <w:lang w:val="en-US" w:eastAsia="zh-CN"/>
                    </w:rPr>
                  </w:pPr>
                  <w:r>
                    <w:rPr>
                      <w:rFonts w:hint="eastAsia"/>
                      <w:color w:val="auto"/>
                      <w:lang w:val="en-US" w:eastAsia="zh-CN"/>
                    </w:rPr>
                    <w:t>1336-21-6</w:t>
                  </w:r>
                </w:p>
              </w:tc>
              <w:tc>
                <w:tcPr>
                  <w:tcW w:w="1575" w:type="dxa"/>
                  <w:tcBorders>
                    <w:tl2br w:val="nil"/>
                    <w:tr2bl w:val="nil"/>
                  </w:tcBorders>
                  <w:vAlign w:val="center"/>
                </w:tcPr>
                <w:p w14:paraId="1F80EC5C">
                  <w:pPr>
                    <w:jc w:val="center"/>
                    <w:rPr>
                      <w:rFonts w:hint="default" w:eastAsia="宋体"/>
                      <w:color w:val="auto"/>
                      <w:lang w:val="en-US" w:eastAsia="zh-CN"/>
                    </w:rPr>
                  </w:pPr>
                  <w:r>
                    <w:rPr>
                      <w:rFonts w:hint="eastAsia"/>
                      <w:color w:val="auto"/>
                      <w:lang w:val="en-US" w:eastAsia="zh-CN"/>
                    </w:rPr>
                    <w:t>4.5</w:t>
                  </w:r>
                </w:p>
              </w:tc>
              <w:tc>
                <w:tcPr>
                  <w:tcW w:w="1512" w:type="dxa"/>
                  <w:tcBorders>
                    <w:tl2br w:val="nil"/>
                    <w:tr2bl w:val="nil"/>
                  </w:tcBorders>
                  <w:vAlign w:val="center"/>
                </w:tcPr>
                <w:p w14:paraId="2FF83CA5">
                  <w:pPr>
                    <w:jc w:val="center"/>
                    <w:rPr>
                      <w:rFonts w:hint="eastAsia" w:eastAsia="宋体"/>
                      <w:color w:val="auto"/>
                      <w:lang w:eastAsia="zh-CN"/>
                    </w:rPr>
                  </w:pPr>
                  <w:r>
                    <w:rPr>
                      <w:rFonts w:hint="eastAsia"/>
                      <w:color w:val="auto"/>
                      <w:lang w:val="en-US" w:eastAsia="zh-CN"/>
                    </w:rPr>
                    <w:t>/</w:t>
                  </w:r>
                </w:p>
              </w:tc>
              <w:tc>
                <w:tcPr>
                  <w:tcW w:w="1312" w:type="dxa"/>
                  <w:tcBorders>
                    <w:tl2br w:val="nil"/>
                    <w:tr2bl w:val="nil"/>
                  </w:tcBorders>
                  <w:vAlign w:val="center"/>
                </w:tcPr>
                <w:p w14:paraId="613B5AC2">
                  <w:pPr>
                    <w:jc w:val="center"/>
                    <w:rPr>
                      <w:rFonts w:hint="default" w:eastAsia="宋体"/>
                      <w:color w:val="auto"/>
                      <w:lang w:val="en-US" w:eastAsia="zh-CN"/>
                    </w:rPr>
                  </w:pPr>
                  <w:r>
                    <w:rPr>
                      <w:rFonts w:hint="eastAsia"/>
                      <w:color w:val="auto"/>
                      <w:lang w:val="en-US" w:eastAsia="zh-CN"/>
                    </w:rPr>
                    <w:t>10</w:t>
                  </w:r>
                </w:p>
              </w:tc>
              <w:tc>
                <w:tcPr>
                  <w:tcW w:w="1205" w:type="dxa"/>
                  <w:tcBorders>
                    <w:tl2br w:val="nil"/>
                    <w:tr2bl w:val="nil"/>
                  </w:tcBorders>
                  <w:vAlign w:val="center"/>
                </w:tcPr>
                <w:p w14:paraId="3D15B5FE">
                  <w:pPr>
                    <w:jc w:val="center"/>
                    <w:rPr>
                      <w:rFonts w:hint="default" w:eastAsia="宋体"/>
                      <w:color w:val="auto"/>
                      <w:lang w:val="en-US" w:eastAsia="zh-CN"/>
                    </w:rPr>
                  </w:pPr>
                  <w:r>
                    <w:rPr>
                      <w:rFonts w:hint="eastAsia"/>
                      <w:color w:val="auto"/>
                      <w:lang w:val="en-US" w:eastAsia="zh-CN"/>
                    </w:rPr>
                    <w:t>0.45</w:t>
                  </w:r>
                </w:p>
              </w:tc>
            </w:tr>
            <w:tr w14:paraId="31DA8F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80" w:type="dxa"/>
                  <w:tcBorders>
                    <w:tl2br w:val="nil"/>
                    <w:tr2bl w:val="nil"/>
                  </w:tcBorders>
                  <w:shd w:val="clear" w:color="auto" w:fill="auto"/>
                  <w:vAlign w:val="center"/>
                </w:tcPr>
                <w:p w14:paraId="2BC464A3">
                  <w:pPr>
                    <w:widowControl/>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2</w:t>
                  </w:r>
                </w:p>
              </w:tc>
              <w:tc>
                <w:tcPr>
                  <w:tcW w:w="1100" w:type="dxa"/>
                  <w:tcBorders>
                    <w:tl2br w:val="nil"/>
                    <w:tr2bl w:val="nil"/>
                  </w:tcBorders>
                  <w:shd w:val="clear" w:color="auto" w:fill="auto"/>
                  <w:vAlign w:val="center"/>
                </w:tcPr>
                <w:p w14:paraId="1050A1B0">
                  <w:pPr>
                    <w:adjustRightInd w:val="0"/>
                    <w:snapToGrid w:val="0"/>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氢氟酸</w:t>
                  </w:r>
                </w:p>
              </w:tc>
              <w:tc>
                <w:tcPr>
                  <w:tcW w:w="1250" w:type="dxa"/>
                  <w:tcBorders>
                    <w:tl2br w:val="nil"/>
                    <w:tr2bl w:val="nil"/>
                  </w:tcBorders>
                  <w:shd w:val="clear" w:color="auto" w:fill="auto"/>
                  <w:vAlign w:val="center"/>
                </w:tcPr>
                <w:p w14:paraId="7EDF8919">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7664-39-3</w:t>
                  </w:r>
                </w:p>
              </w:tc>
              <w:tc>
                <w:tcPr>
                  <w:tcW w:w="1575" w:type="dxa"/>
                  <w:tcBorders>
                    <w:tl2br w:val="nil"/>
                    <w:tr2bl w:val="nil"/>
                  </w:tcBorders>
                  <w:shd w:val="clear" w:color="auto" w:fill="auto"/>
                  <w:vAlign w:val="center"/>
                </w:tcPr>
                <w:p w14:paraId="2DD99B72">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0.2</w:t>
                  </w:r>
                </w:p>
              </w:tc>
              <w:tc>
                <w:tcPr>
                  <w:tcW w:w="1512" w:type="dxa"/>
                  <w:tcBorders>
                    <w:tl2br w:val="nil"/>
                    <w:tr2bl w:val="nil"/>
                  </w:tcBorders>
                  <w:shd w:val="clear" w:color="auto" w:fill="auto"/>
                  <w:vAlign w:val="center"/>
                </w:tcPr>
                <w:p w14:paraId="48C7BFFC">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1312" w:type="dxa"/>
                  <w:tcBorders>
                    <w:tl2br w:val="nil"/>
                    <w:tr2bl w:val="nil"/>
                  </w:tcBorders>
                  <w:shd w:val="clear" w:color="auto" w:fill="auto"/>
                  <w:vAlign w:val="center"/>
                </w:tcPr>
                <w:p w14:paraId="2841B39F">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1</w:t>
                  </w:r>
                </w:p>
              </w:tc>
              <w:tc>
                <w:tcPr>
                  <w:tcW w:w="1205" w:type="dxa"/>
                  <w:tcBorders>
                    <w:tl2br w:val="nil"/>
                    <w:tr2bl w:val="nil"/>
                  </w:tcBorders>
                  <w:shd w:val="clear" w:color="auto" w:fill="auto"/>
                  <w:vAlign w:val="center"/>
                </w:tcPr>
                <w:p w14:paraId="1EF3952A">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0.2</w:t>
                  </w:r>
                </w:p>
              </w:tc>
            </w:tr>
            <w:tr w14:paraId="4A8397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80" w:type="dxa"/>
                  <w:tcBorders>
                    <w:tl2br w:val="nil"/>
                    <w:tr2bl w:val="nil"/>
                  </w:tcBorders>
                  <w:shd w:val="clear" w:color="auto" w:fill="auto"/>
                  <w:vAlign w:val="center"/>
                </w:tcPr>
                <w:p w14:paraId="666F88D2">
                  <w:pPr>
                    <w:widowControl/>
                    <w:jc w:val="center"/>
                    <w:rPr>
                      <w:rFonts w:hint="eastAsia" w:ascii="Times New Roman" w:hAnsi="Times New Roman" w:eastAsia="宋体" w:cs="Times New Roman"/>
                      <w:color w:val="auto"/>
                      <w:kern w:val="2"/>
                      <w:sz w:val="21"/>
                      <w:szCs w:val="24"/>
                      <w:lang w:val="en-US" w:eastAsia="zh-CN" w:bidi="ar-SA"/>
                    </w:rPr>
                  </w:pPr>
                  <w:r>
                    <w:rPr>
                      <w:rFonts w:hint="eastAsia"/>
                      <w:color w:val="auto"/>
                      <w:szCs w:val="21"/>
                      <w:lang w:val="en-US" w:eastAsia="zh-CN"/>
                    </w:rPr>
                    <w:t>3</w:t>
                  </w:r>
                </w:p>
              </w:tc>
              <w:tc>
                <w:tcPr>
                  <w:tcW w:w="1100" w:type="dxa"/>
                  <w:tcBorders>
                    <w:tl2br w:val="nil"/>
                    <w:tr2bl w:val="nil"/>
                  </w:tcBorders>
                  <w:vAlign w:val="center"/>
                </w:tcPr>
                <w:p w14:paraId="2E70B01D">
                  <w:pPr>
                    <w:adjustRightInd w:val="0"/>
                    <w:snapToGrid w:val="0"/>
                    <w:jc w:val="center"/>
                    <w:rPr>
                      <w:rFonts w:hint="default"/>
                      <w:color w:val="auto"/>
                      <w:lang w:val="en-US" w:eastAsia="zh-CN"/>
                    </w:rPr>
                  </w:pPr>
                  <w:r>
                    <w:rPr>
                      <w:rFonts w:hint="eastAsia"/>
                      <w:color w:val="auto"/>
                      <w:lang w:val="en-US" w:eastAsia="zh-CN"/>
                    </w:rPr>
                    <w:t>硫酸</w:t>
                  </w:r>
                </w:p>
              </w:tc>
              <w:tc>
                <w:tcPr>
                  <w:tcW w:w="1250" w:type="dxa"/>
                  <w:tcBorders>
                    <w:tl2br w:val="nil"/>
                    <w:tr2bl w:val="nil"/>
                  </w:tcBorders>
                  <w:vAlign w:val="center"/>
                </w:tcPr>
                <w:p w14:paraId="0F4CD6C8">
                  <w:pPr>
                    <w:jc w:val="center"/>
                    <w:rPr>
                      <w:rFonts w:hint="eastAsia"/>
                      <w:color w:val="auto"/>
                      <w:lang w:val="en-US" w:eastAsia="zh-CN"/>
                    </w:rPr>
                  </w:pPr>
                  <w:r>
                    <w:rPr>
                      <w:rFonts w:hint="eastAsia"/>
                      <w:color w:val="auto"/>
                      <w:lang w:val="en-US" w:eastAsia="zh-CN"/>
                    </w:rPr>
                    <w:t>7664-93-9</w:t>
                  </w:r>
                </w:p>
              </w:tc>
              <w:tc>
                <w:tcPr>
                  <w:tcW w:w="1575" w:type="dxa"/>
                  <w:tcBorders>
                    <w:tl2br w:val="nil"/>
                    <w:tr2bl w:val="nil"/>
                  </w:tcBorders>
                  <w:vAlign w:val="center"/>
                </w:tcPr>
                <w:p w14:paraId="7F1E73E6">
                  <w:pPr>
                    <w:jc w:val="center"/>
                    <w:rPr>
                      <w:rFonts w:hint="default"/>
                      <w:color w:val="auto"/>
                      <w:lang w:val="en-US" w:eastAsia="zh-CN"/>
                    </w:rPr>
                  </w:pPr>
                  <w:r>
                    <w:rPr>
                      <w:rFonts w:hint="eastAsia"/>
                      <w:color w:val="auto"/>
                      <w:lang w:val="en-US" w:eastAsia="zh-CN"/>
                    </w:rPr>
                    <w:t>1</w:t>
                  </w:r>
                </w:p>
              </w:tc>
              <w:tc>
                <w:tcPr>
                  <w:tcW w:w="1512" w:type="dxa"/>
                  <w:tcBorders>
                    <w:tl2br w:val="nil"/>
                    <w:tr2bl w:val="nil"/>
                  </w:tcBorders>
                  <w:vAlign w:val="center"/>
                </w:tcPr>
                <w:p w14:paraId="63711AD5">
                  <w:pPr>
                    <w:jc w:val="center"/>
                    <w:rPr>
                      <w:rFonts w:hint="default"/>
                      <w:color w:val="auto"/>
                      <w:lang w:val="en-US" w:eastAsia="zh-CN"/>
                    </w:rPr>
                  </w:pPr>
                  <w:r>
                    <w:rPr>
                      <w:rFonts w:hint="eastAsia"/>
                      <w:color w:val="auto"/>
                      <w:lang w:val="en-US" w:eastAsia="zh-CN"/>
                    </w:rPr>
                    <w:t>/</w:t>
                  </w:r>
                </w:p>
              </w:tc>
              <w:tc>
                <w:tcPr>
                  <w:tcW w:w="1312" w:type="dxa"/>
                  <w:tcBorders>
                    <w:tl2br w:val="nil"/>
                    <w:tr2bl w:val="nil"/>
                  </w:tcBorders>
                  <w:vAlign w:val="center"/>
                </w:tcPr>
                <w:p w14:paraId="0D7D535F">
                  <w:pPr>
                    <w:jc w:val="center"/>
                    <w:rPr>
                      <w:rFonts w:hint="default"/>
                      <w:color w:val="auto"/>
                      <w:lang w:val="en-US" w:eastAsia="zh-CN"/>
                    </w:rPr>
                  </w:pPr>
                  <w:r>
                    <w:rPr>
                      <w:rFonts w:hint="eastAsia"/>
                      <w:color w:val="auto"/>
                      <w:lang w:val="en-US" w:eastAsia="zh-CN"/>
                    </w:rPr>
                    <w:t>10</w:t>
                  </w:r>
                </w:p>
              </w:tc>
              <w:tc>
                <w:tcPr>
                  <w:tcW w:w="1205" w:type="dxa"/>
                  <w:tcBorders>
                    <w:tl2br w:val="nil"/>
                    <w:tr2bl w:val="nil"/>
                  </w:tcBorders>
                  <w:vAlign w:val="center"/>
                </w:tcPr>
                <w:p w14:paraId="11597911">
                  <w:pPr>
                    <w:jc w:val="center"/>
                    <w:rPr>
                      <w:rFonts w:hint="default"/>
                      <w:color w:val="auto"/>
                      <w:lang w:val="en-US" w:eastAsia="zh-CN"/>
                    </w:rPr>
                  </w:pPr>
                  <w:r>
                    <w:rPr>
                      <w:rFonts w:hint="eastAsia"/>
                      <w:color w:val="auto"/>
                      <w:lang w:val="en-US" w:eastAsia="zh-CN"/>
                    </w:rPr>
                    <w:t>0.1</w:t>
                  </w:r>
                </w:p>
              </w:tc>
            </w:tr>
            <w:tr w14:paraId="34D680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80" w:type="dxa"/>
                  <w:tcBorders>
                    <w:tl2br w:val="nil"/>
                    <w:tr2bl w:val="nil"/>
                  </w:tcBorders>
                  <w:shd w:val="clear" w:color="auto" w:fill="auto"/>
                  <w:vAlign w:val="center"/>
                </w:tcPr>
                <w:p w14:paraId="14095CED">
                  <w:pPr>
                    <w:widowControl/>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4</w:t>
                  </w:r>
                </w:p>
              </w:tc>
              <w:tc>
                <w:tcPr>
                  <w:tcW w:w="1100" w:type="dxa"/>
                  <w:tcBorders>
                    <w:tl2br w:val="nil"/>
                    <w:tr2bl w:val="nil"/>
                  </w:tcBorders>
                  <w:vAlign w:val="center"/>
                </w:tcPr>
                <w:p w14:paraId="463E9B42">
                  <w:pPr>
                    <w:adjustRightInd w:val="0"/>
                    <w:snapToGrid w:val="0"/>
                    <w:jc w:val="center"/>
                    <w:rPr>
                      <w:rFonts w:hint="eastAsia" w:eastAsia="宋体"/>
                      <w:color w:val="auto"/>
                      <w:lang w:eastAsia="zh-CN"/>
                    </w:rPr>
                  </w:pPr>
                  <w:r>
                    <w:rPr>
                      <w:rFonts w:hint="eastAsia"/>
                      <w:color w:val="auto"/>
                      <w:szCs w:val="21"/>
                      <w:lang w:val="en-US" w:eastAsia="zh-CN"/>
                    </w:rPr>
                    <w:t>油墨</w:t>
                  </w:r>
                </w:p>
              </w:tc>
              <w:tc>
                <w:tcPr>
                  <w:tcW w:w="1250" w:type="dxa"/>
                  <w:tcBorders>
                    <w:tl2br w:val="nil"/>
                    <w:tr2bl w:val="nil"/>
                  </w:tcBorders>
                  <w:vAlign w:val="center"/>
                </w:tcPr>
                <w:p w14:paraId="6AD6FE6D">
                  <w:pPr>
                    <w:jc w:val="center"/>
                    <w:rPr>
                      <w:rFonts w:hint="eastAsia" w:eastAsia="宋体"/>
                      <w:color w:val="auto"/>
                      <w:lang w:eastAsia="zh-CN"/>
                    </w:rPr>
                  </w:pPr>
                  <w:r>
                    <w:rPr>
                      <w:rFonts w:hint="eastAsia"/>
                      <w:color w:val="auto"/>
                      <w:lang w:val="en-US" w:eastAsia="zh-CN"/>
                    </w:rPr>
                    <w:t>/</w:t>
                  </w:r>
                </w:p>
              </w:tc>
              <w:tc>
                <w:tcPr>
                  <w:tcW w:w="1575" w:type="dxa"/>
                  <w:tcBorders>
                    <w:tl2br w:val="nil"/>
                    <w:tr2bl w:val="nil"/>
                  </w:tcBorders>
                  <w:vAlign w:val="center"/>
                </w:tcPr>
                <w:p w14:paraId="54EB986D">
                  <w:pPr>
                    <w:jc w:val="center"/>
                    <w:rPr>
                      <w:rFonts w:hint="default" w:eastAsia="宋体"/>
                      <w:color w:val="auto"/>
                      <w:lang w:val="en-US" w:eastAsia="zh-CN"/>
                    </w:rPr>
                  </w:pPr>
                  <w:r>
                    <w:rPr>
                      <w:rFonts w:hint="eastAsia"/>
                      <w:color w:val="auto"/>
                      <w:lang w:val="en-US" w:eastAsia="zh-CN"/>
                    </w:rPr>
                    <w:t>0.2</w:t>
                  </w:r>
                </w:p>
              </w:tc>
              <w:tc>
                <w:tcPr>
                  <w:tcW w:w="1512" w:type="dxa"/>
                  <w:tcBorders>
                    <w:tl2br w:val="nil"/>
                    <w:tr2bl w:val="nil"/>
                  </w:tcBorders>
                  <w:vAlign w:val="center"/>
                </w:tcPr>
                <w:p w14:paraId="6D437F1D">
                  <w:pPr>
                    <w:jc w:val="center"/>
                    <w:rPr>
                      <w:rFonts w:hint="eastAsia" w:eastAsia="宋体"/>
                      <w:color w:val="auto"/>
                      <w:lang w:eastAsia="zh-CN"/>
                    </w:rPr>
                  </w:pPr>
                  <w:r>
                    <w:rPr>
                      <w:rFonts w:hint="eastAsia"/>
                      <w:color w:val="auto"/>
                      <w:lang w:val="en-US" w:eastAsia="zh-CN"/>
                    </w:rPr>
                    <w:t>/</w:t>
                  </w:r>
                </w:p>
              </w:tc>
              <w:tc>
                <w:tcPr>
                  <w:tcW w:w="1312" w:type="dxa"/>
                  <w:tcBorders>
                    <w:tl2br w:val="nil"/>
                    <w:tr2bl w:val="nil"/>
                  </w:tcBorders>
                  <w:vAlign w:val="center"/>
                </w:tcPr>
                <w:p w14:paraId="51705C7E">
                  <w:pPr>
                    <w:jc w:val="center"/>
                    <w:rPr>
                      <w:rFonts w:hint="default" w:eastAsia="宋体"/>
                      <w:color w:val="auto"/>
                      <w:lang w:val="en-US" w:eastAsia="zh-CN"/>
                    </w:rPr>
                  </w:pPr>
                  <w:r>
                    <w:rPr>
                      <w:rFonts w:hint="eastAsia"/>
                      <w:color w:val="auto"/>
                      <w:lang w:val="en-US" w:eastAsia="zh-CN"/>
                    </w:rPr>
                    <w:t>50</w:t>
                  </w:r>
                </w:p>
              </w:tc>
              <w:tc>
                <w:tcPr>
                  <w:tcW w:w="1205" w:type="dxa"/>
                  <w:tcBorders>
                    <w:tl2br w:val="nil"/>
                    <w:tr2bl w:val="nil"/>
                  </w:tcBorders>
                  <w:vAlign w:val="center"/>
                </w:tcPr>
                <w:p w14:paraId="5E992969">
                  <w:pPr>
                    <w:jc w:val="center"/>
                    <w:rPr>
                      <w:rFonts w:hint="default" w:eastAsia="宋体"/>
                      <w:color w:val="auto"/>
                      <w:lang w:val="en-US" w:eastAsia="zh-CN"/>
                    </w:rPr>
                  </w:pPr>
                  <w:r>
                    <w:rPr>
                      <w:rFonts w:hint="eastAsia"/>
                      <w:color w:val="auto"/>
                      <w:lang w:val="en-US" w:eastAsia="zh-CN"/>
                    </w:rPr>
                    <w:t>0.004</w:t>
                  </w:r>
                </w:p>
              </w:tc>
            </w:tr>
            <w:tr w14:paraId="5A26E5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80" w:type="dxa"/>
                  <w:tcBorders>
                    <w:tl2br w:val="nil"/>
                    <w:tr2bl w:val="nil"/>
                  </w:tcBorders>
                  <w:vAlign w:val="center"/>
                </w:tcPr>
                <w:p w14:paraId="7A633994">
                  <w:pPr>
                    <w:widowControl/>
                    <w:jc w:val="center"/>
                    <w:rPr>
                      <w:rFonts w:hint="eastAsia" w:eastAsia="宋体"/>
                      <w:color w:val="auto"/>
                      <w:szCs w:val="21"/>
                      <w:lang w:eastAsia="zh-CN"/>
                    </w:rPr>
                  </w:pPr>
                  <w:r>
                    <w:rPr>
                      <w:rFonts w:hint="eastAsia"/>
                      <w:color w:val="auto"/>
                      <w:szCs w:val="21"/>
                      <w:lang w:val="en-US" w:eastAsia="zh-CN"/>
                    </w:rPr>
                    <w:t>5</w:t>
                  </w:r>
                </w:p>
              </w:tc>
              <w:tc>
                <w:tcPr>
                  <w:tcW w:w="1100" w:type="dxa"/>
                  <w:tcBorders>
                    <w:tl2br w:val="nil"/>
                    <w:tr2bl w:val="nil"/>
                  </w:tcBorders>
                  <w:vAlign w:val="center"/>
                </w:tcPr>
                <w:p w14:paraId="4BA4DB2D">
                  <w:pPr>
                    <w:adjustRightInd w:val="0"/>
                    <w:snapToGrid w:val="0"/>
                    <w:jc w:val="center"/>
                    <w:rPr>
                      <w:color w:val="auto"/>
                      <w:szCs w:val="21"/>
                    </w:rPr>
                  </w:pPr>
                  <w:r>
                    <w:rPr>
                      <w:rFonts w:hint="eastAsia"/>
                      <w:color w:val="auto"/>
                      <w:szCs w:val="21"/>
                    </w:rPr>
                    <w:t>危险废物</w:t>
                  </w:r>
                </w:p>
              </w:tc>
              <w:tc>
                <w:tcPr>
                  <w:tcW w:w="1250" w:type="dxa"/>
                  <w:tcBorders>
                    <w:tl2br w:val="nil"/>
                    <w:tr2bl w:val="nil"/>
                  </w:tcBorders>
                  <w:vAlign w:val="center"/>
                </w:tcPr>
                <w:p w14:paraId="0E79234B">
                  <w:pPr>
                    <w:jc w:val="center"/>
                    <w:rPr>
                      <w:color w:val="auto"/>
                    </w:rPr>
                  </w:pPr>
                  <w:r>
                    <w:rPr>
                      <w:rFonts w:hint="eastAsia"/>
                      <w:color w:val="auto"/>
                    </w:rPr>
                    <w:t>/</w:t>
                  </w:r>
                </w:p>
              </w:tc>
              <w:tc>
                <w:tcPr>
                  <w:tcW w:w="1575" w:type="dxa"/>
                  <w:tcBorders>
                    <w:tl2br w:val="nil"/>
                    <w:tr2bl w:val="nil"/>
                  </w:tcBorders>
                  <w:vAlign w:val="center"/>
                </w:tcPr>
                <w:p w14:paraId="584BB4D5">
                  <w:pPr>
                    <w:jc w:val="center"/>
                    <w:rPr>
                      <w:rFonts w:hint="default" w:eastAsia="宋体"/>
                      <w:color w:val="auto"/>
                      <w:lang w:val="en-US" w:eastAsia="zh-CN"/>
                    </w:rPr>
                  </w:pPr>
                  <w:r>
                    <w:rPr>
                      <w:rFonts w:hint="eastAsia"/>
                      <w:color w:val="auto"/>
                      <w:lang w:val="en-US" w:eastAsia="zh-CN"/>
                    </w:rPr>
                    <w:t>7.922</w:t>
                  </w:r>
                </w:p>
              </w:tc>
              <w:tc>
                <w:tcPr>
                  <w:tcW w:w="1512" w:type="dxa"/>
                  <w:tcBorders>
                    <w:tl2br w:val="nil"/>
                    <w:tr2bl w:val="nil"/>
                  </w:tcBorders>
                  <w:vAlign w:val="center"/>
                </w:tcPr>
                <w:p w14:paraId="6B653F3F">
                  <w:pPr>
                    <w:jc w:val="center"/>
                    <w:rPr>
                      <w:color w:val="auto"/>
                    </w:rPr>
                  </w:pPr>
                  <w:r>
                    <w:rPr>
                      <w:rFonts w:hint="eastAsia"/>
                      <w:color w:val="auto"/>
                    </w:rPr>
                    <w:t>/</w:t>
                  </w:r>
                </w:p>
              </w:tc>
              <w:tc>
                <w:tcPr>
                  <w:tcW w:w="1312" w:type="dxa"/>
                  <w:tcBorders>
                    <w:tl2br w:val="nil"/>
                    <w:tr2bl w:val="nil"/>
                  </w:tcBorders>
                  <w:vAlign w:val="center"/>
                </w:tcPr>
                <w:p w14:paraId="263834FF">
                  <w:pPr>
                    <w:jc w:val="center"/>
                    <w:rPr>
                      <w:rFonts w:hint="default" w:eastAsia="宋体"/>
                      <w:color w:val="auto"/>
                      <w:lang w:val="en-US" w:eastAsia="zh-CN"/>
                    </w:rPr>
                  </w:pPr>
                  <w:r>
                    <w:rPr>
                      <w:rFonts w:hint="eastAsia"/>
                      <w:color w:val="auto"/>
                      <w:lang w:val="en-US" w:eastAsia="zh-CN"/>
                    </w:rPr>
                    <w:t>50</w:t>
                  </w:r>
                </w:p>
              </w:tc>
              <w:tc>
                <w:tcPr>
                  <w:tcW w:w="1205" w:type="dxa"/>
                  <w:tcBorders>
                    <w:tl2br w:val="nil"/>
                    <w:tr2bl w:val="nil"/>
                  </w:tcBorders>
                  <w:vAlign w:val="center"/>
                </w:tcPr>
                <w:p w14:paraId="5555DDB2">
                  <w:pPr>
                    <w:jc w:val="center"/>
                    <w:rPr>
                      <w:rFonts w:hint="default" w:eastAsia="宋体"/>
                      <w:color w:val="auto"/>
                      <w:lang w:val="en-US" w:eastAsia="zh-CN"/>
                    </w:rPr>
                  </w:pPr>
                  <w:r>
                    <w:rPr>
                      <w:rFonts w:hint="eastAsia"/>
                      <w:color w:val="auto"/>
                      <w:lang w:val="en-US" w:eastAsia="zh-CN"/>
                    </w:rPr>
                    <w:t>0.158</w:t>
                  </w:r>
                </w:p>
              </w:tc>
            </w:tr>
            <w:tr w14:paraId="3E1E3C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229" w:type="dxa"/>
                  <w:gridSpan w:val="6"/>
                  <w:tcBorders>
                    <w:tl2br w:val="nil"/>
                    <w:tr2bl w:val="nil"/>
                  </w:tcBorders>
                  <w:vAlign w:val="center"/>
                </w:tcPr>
                <w:p w14:paraId="2137D3E7">
                  <w:pPr>
                    <w:jc w:val="center"/>
                    <w:rPr>
                      <w:b/>
                      <w:bCs/>
                      <w:color w:val="auto"/>
                    </w:rPr>
                  </w:pPr>
                  <w:r>
                    <w:rPr>
                      <w:rFonts w:hint="eastAsia"/>
                      <w:color w:val="auto"/>
                      <w:kern w:val="0"/>
                      <w:szCs w:val="21"/>
                      <w:lang w:bidi="ar"/>
                    </w:rPr>
                    <w:t>合计（</w:t>
                  </w:r>
                  <w:r>
                    <w:rPr>
                      <w:color w:val="auto"/>
                      <w:kern w:val="0"/>
                      <w:szCs w:val="21"/>
                      <w:lang w:bidi="ar"/>
                    </w:rPr>
                    <w:t>Σ</w:t>
                  </w:r>
                  <w:r>
                    <w:rPr>
                      <w:color w:val="auto"/>
                      <w:szCs w:val="21"/>
                    </w:rPr>
                    <w:t>q/Q</w:t>
                  </w:r>
                  <w:r>
                    <w:rPr>
                      <w:rFonts w:hint="eastAsia"/>
                      <w:color w:val="auto"/>
                      <w:kern w:val="0"/>
                      <w:szCs w:val="21"/>
                      <w:lang w:bidi="ar"/>
                    </w:rPr>
                    <w:t>）</w:t>
                  </w:r>
                </w:p>
              </w:tc>
              <w:tc>
                <w:tcPr>
                  <w:tcW w:w="1205" w:type="dxa"/>
                  <w:tcBorders>
                    <w:tl2br w:val="nil"/>
                    <w:tr2bl w:val="nil"/>
                  </w:tcBorders>
                  <w:vAlign w:val="center"/>
                </w:tcPr>
                <w:p w14:paraId="75C91457">
                  <w:pPr>
                    <w:jc w:val="center"/>
                    <w:rPr>
                      <w:rFonts w:hint="default" w:eastAsia="宋体"/>
                      <w:color w:val="auto"/>
                      <w:lang w:val="en-US" w:eastAsia="zh-CN"/>
                    </w:rPr>
                  </w:pPr>
                  <w:r>
                    <w:rPr>
                      <w:rFonts w:hint="eastAsia"/>
                      <w:color w:val="auto"/>
                    </w:rPr>
                    <w:t>0.</w:t>
                  </w:r>
                  <w:r>
                    <w:rPr>
                      <w:rFonts w:hint="eastAsia"/>
                      <w:color w:val="auto"/>
                      <w:lang w:val="en-US" w:eastAsia="zh-CN"/>
                    </w:rPr>
                    <w:t>912</w:t>
                  </w:r>
                </w:p>
              </w:tc>
            </w:tr>
            <w:tr w14:paraId="0DD0EF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8434" w:type="dxa"/>
                  <w:gridSpan w:val="7"/>
                  <w:tcBorders>
                    <w:tl2br w:val="nil"/>
                    <w:tr2bl w:val="nil"/>
                  </w:tcBorders>
                  <w:vAlign w:val="center"/>
                </w:tcPr>
                <w:p w14:paraId="14C9DF3A">
                  <w:pPr>
                    <w:adjustRightInd w:val="0"/>
                    <w:snapToGrid w:val="0"/>
                    <w:rPr>
                      <w:rFonts w:hint="eastAsia"/>
                      <w:color w:val="auto"/>
                      <w:kern w:val="0"/>
                      <w:szCs w:val="21"/>
                      <w:highlight w:val="none"/>
                      <w:lang w:val="en-US" w:eastAsia="zh-CN" w:bidi="ar"/>
                    </w:rPr>
                  </w:pPr>
                  <w:r>
                    <w:rPr>
                      <w:rFonts w:hint="eastAsia"/>
                      <w:color w:val="auto"/>
                    </w:rPr>
                    <w:t>注：</w:t>
                  </w:r>
                  <w:r>
                    <w:rPr>
                      <w:rFonts w:hint="eastAsia"/>
                      <w:bCs/>
                      <w:color w:val="auto"/>
                      <w:kern w:val="0"/>
                    </w:rPr>
                    <w:t>①</w:t>
                  </w:r>
                  <w:r>
                    <w:rPr>
                      <w:rFonts w:hint="eastAsia"/>
                      <w:color w:val="auto"/>
                      <w:kern w:val="0"/>
                      <w:szCs w:val="21"/>
                      <w:highlight w:val="none"/>
                      <w:lang w:val="en-US" w:eastAsia="zh-CN" w:bidi="ar"/>
                    </w:rPr>
                    <w:t>油墨临界量50，健康危险急性毒性物质（类别2，类别3）。</w:t>
                  </w:r>
                </w:p>
                <w:p w14:paraId="5A9B2B17">
                  <w:pPr>
                    <w:ind w:firstLine="420" w:firstLineChars="200"/>
                    <w:rPr>
                      <w:color w:val="auto"/>
                      <w:kern w:val="0"/>
                      <w:szCs w:val="21"/>
                      <w:lang w:bidi="ar"/>
                    </w:rPr>
                  </w:pPr>
                  <w:r>
                    <w:rPr>
                      <w:rFonts w:hint="eastAsia"/>
                      <w:color w:val="auto"/>
                      <w:kern w:val="0"/>
                      <w:szCs w:val="21"/>
                      <w:highlight w:val="none"/>
                      <w:lang w:val="en-US" w:eastAsia="zh-CN" w:bidi="ar"/>
                    </w:rPr>
                    <w:t>②</w:t>
                  </w:r>
                  <w:r>
                    <w:rPr>
                      <w:bCs/>
                      <w:color w:val="auto"/>
                      <w:kern w:val="0"/>
                    </w:rPr>
                    <w:t>危险固废临界量50，参考《关于印发《浙江省企业环境风险评估技术指南（第二版）》的通知》（浙环办函</w:t>
                  </w:r>
                  <w:r>
                    <w:rPr>
                      <w:rFonts w:hint="eastAsia"/>
                      <w:bCs/>
                      <w:color w:val="auto"/>
                      <w:kern w:val="0"/>
                    </w:rPr>
                    <w:t>〔</w:t>
                  </w:r>
                  <w:r>
                    <w:rPr>
                      <w:bCs/>
                      <w:color w:val="auto"/>
                      <w:kern w:val="0"/>
                    </w:rPr>
                    <w:t>2015</w:t>
                  </w:r>
                  <w:r>
                    <w:rPr>
                      <w:rFonts w:hint="eastAsia"/>
                      <w:bCs/>
                      <w:color w:val="auto"/>
                      <w:kern w:val="0"/>
                    </w:rPr>
                    <w:t>〕</w:t>
                  </w:r>
                  <w:r>
                    <w:rPr>
                      <w:bCs/>
                      <w:color w:val="auto"/>
                      <w:kern w:val="0"/>
                    </w:rPr>
                    <w:t>54号）</w:t>
                  </w:r>
                  <w:r>
                    <w:rPr>
                      <w:rFonts w:hint="eastAsia"/>
                      <w:color w:val="auto"/>
                      <w:kern w:val="0"/>
                      <w:szCs w:val="21"/>
                      <w:highlight w:val="none"/>
                      <w:lang w:val="en-US" w:eastAsia="zh-CN" w:bidi="ar"/>
                    </w:rPr>
                    <w:t>。本项目依托现有危废库，按危废库内危废的最大贮存量核算。</w:t>
                  </w:r>
                </w:p>
              </w:tc>
            </w:tr>
          </w:tbl>
          <w:p w14:paraId="2393A690">
            <w:pPr>
              <w:pStyle w:val="10"/>
              <w:keepNext w:val="0"/>
              <w:keepLines w:val="0"/>
              <w:pageBreakBefore w:val="0"/>
              <w:widowControl/>
              <w:kinsoku/>
              <w:wordWrap/>
              <w:overflowPunct/>
              <w:topLinePunct w:val="0"/>
              <w:autoSpaceDE/>
              <w:autoSpaceDN/>
              <w:bidi w:val="0"/>
              <w:adjustRightInd/>
              <w:snapToGrid w:val="0"/>
              <w:spacing w:before="148" w:beforeLines="50" w:after="0" w:line="360" w:lineRule="auto"/>
              <w:ind w:right="0" w:firstLine="420" w:firstLineChars="200"/>
              <w:textAlignment w:val="auto"/>
              <w:rPr>
                <w:color w:val="auto"/>
                <w:sz w:val="21"/>
                <w:szCs w:val="21"/>
              </w:rPr>
            </w:pPr>
            <w:r>
              <w:rPr>
                <w:rFonts w:hint="eastAsia"/>
                <w:color w:val="auto"/>
                <w:sz w:val="21"/>
                <w:szCs w:val="21"/>
              </w:rPr>
              <w:t>根据计算可得，本项目Q=</w:t>
            </w:r>
            <w:r>
              <w:rPr>
                <w:rFonts w:hint="eastAsia"/>
                <w:color w:val="auto"/>
                <w:sz w:val="21"/>
                <w:szCs w:val="21"/>
                <w:lang w:bidi="ar"/>
              </w:rPr>
              <w:t>0.</w:t>
            </w:r>
            <w:r>
              <w:rPr>
                <w:rFonts w:hint="eastAsia"/>
                <w:color w:val="auto"/>
                <w:sz w:val="21"/>
                <w:szCs w:val="21"/>
                <w:lang w:val="en-US" w:eastAsia="zh-CN" w:bidi="ar"/>
              </w:rPr>
              <w:t>912</w:t>
            </w:r>
            <w:r>
              <w:rPr>
                <w:rFonts w:hint="eastAsia"/>
                <w:color w:val="auto"/>
                <w:sz w:val="21"/>
                <w:szCs w:val="21"/>
              </w:rPr>
              <w:t>&lt;1，本项</w:t>
            </w:r>
            <w:r>
              <w:rPr>
                <w:color w:val="auto"/>
                <w:sz w:val="21"/>
                <w:szCs w:val="21"/>
              </w:rPr>
              <w:t>目环境风险潜势</w:t>
            </w:r>
            <w:r>
              <w:rPr>
                <w:rFonts w:hint="eastAsia"/>
                <w:color w:val="auto"/>
                <w:sz w:val="21"/>
                <w:szCs w:val="21"/>
              </w:rPr>
              <w:t>初判</w:t>
            </w:r>
            <w:r>
              <w:rPr>
                <w:color w:val="auto"/>
                <w:sz w:val="21"/>
                <w:szCs w:val="21"/>
              </w:rPr>
              <w:t>为Ⅰ</w:t>
            </w:r>
            <w:r>
              <w:rPr>
                <w:rFonts w:hint="eastAsia"/>
                <w:color w:val="auto"/>
                <w:sz w:val="21"/>
                <w:szCs w:val="21"/>
              </w:rPr>
              <w:t>。</w:t>
            </w:r>
          </w:p>
          <w:p w14:paraId="72699A22">
            <w:pPr>
              <w:pStyle w:val="5"/>
              <w:pageBreakBefore w:val="0"/>
              <w:numPr>
                <w:ilvl w:val="0"/>
                <w:numId w:val="0"/>
              </w:numPr>
              <w:kinsoku/>
              <w:wordWrap/>
              <w:overflowPunct/>
              <w:topLinePunct w:val="0"/>
              <w:autoSpaceDE/>
              <w:autoSpaceDN/>
              <w:bidi w:val="0"/>
              <w:adjustRightInd/>
              <w:snapToGrid w:val="0"/>
              <w:spacing w:before="0" w:after="0" w:line="360" w:lineRule="auto"/>
              <w:ind w:firstLine="420" w:firstLineChars="200"/>
              <w:textAlignment w:val="auto"/>
              <w:rPr>
                <w:b w:val="0"/>
                <w:bCs w:val="0"/>
                <w:color w:val="auto"/>
                <w:sz w:val="21"/>
                <w:szCs w:val="21"/>
              </w:rPr>
            </w:pPr>
            <w:r>
              <w:rPr>
                <w:rFonts w:ascii="Times New Roman" w:hAnsi="Times New Roman" w:eastAsia="宋体" w:cs="Times New Roman"/>
                <w:b w:val="0"/>
                <w:bCs w:val="0"/>
                <w:color w:val="auto"/>
                <w:kern w:val="2"/>
                <w:sz w:val="21"/>
                <w:szCs w:val="21"/>
                <w:lang w:val="en-US" w:eastAsia="zh-CN" w:bidi="ar-SA"/>
              </w:rPr>
              <w:t>（1）</w:t>
            </w:r>
            <w:r>
              <w:rPr>
                <w:rFonts w:hint="eastAsia"/>
                <w:b w:val="0"/>
                <w:bCs w:val="0"/>
                <w:color w:val="auto"/>
                <w:sz w:val="21"/>
                <w:szCs w:val="21"/>
              </w:rPr>
              <w:t>风险物质和风险源分布情况</w:t>
            </w:r>
          </w:p>
          <w:p w14:paraId="584AF08D">
            <w:pPr>
              <w:pStyle w:val="5"/>
              <w:pageBreakBefore w:val="0"/>
              <w:kinsoku/>
              <w:wordWrap/>
              <w:overflowPunct/>
              <w:topLinePunct w:val="0"/>
              <w:autoSpaceDE/>
              <w:autoSpaceDN/>
              <w:bidi w:val="0"/>
              <w:adjustRightInd/>
              <w:snapToGrid w:val="0"/>
              <w:spacing w:before="0" w:after="0" w:line="360" w:lineRule="auto"/>
              <w:ind w:firstLine="420" w:firstLineChars="200"/>
              <w:textAlignment w:val="auto"/>
              <w:rPr>
                <w:b w:val="0"/>
                <w:bCs w:val="0"/>
                <w:color w:val="auto"/>
                <w:sz w:val="21"/>
                <w:szCs w:val="21"/>
              </w:rPr>
            </w:pPr>
            <w:r>
              <w:rPr>
                <w:b w:val="0"/>
                <w:bCs w:val="0"/>
                <w:color w:val="auto"/>
                <w:sz w:val="21"/>
                <w:szCs w:val="21"/>
              </w:rPr>
              <w:t>本项目涉及的</w:t>
            </w:r>
            <w:r>
              <w:rPr>
                <w:rFonts w:hint="eastAsia"/>
                <w:b w:val="0"/>
                <w:bCs w:val="0"/>
                <w:color w:val="auto"/>
                <w:sz w:val="21"/>
                <w:szCs w:val="21"/>
              </w:rPr>
              <w:t>风</w:t>
            </w:r>
            <w:r>
              <w:rPr>
                <w:b w:val="0"/>
                <w:bCs w:val="0"/>
                <w:color w:val="auto"/>
                <w:sz w:val="21"/>
                <w:szCs w:val="21"/>
              </w:rPr>
              <w:t>险物质和风险源分布情况见表4-</w:t>
            </w:r>
            <w:r>
              <w:rPr>
                <w:rFonts w:hint="eastAsia"/>
                <w:b w:val="0"/>
                <w:bCs w:val="0"/>
                <w:color w:val="auto"/>
                <w:sz w:val="21"/>
                <w:szCs w:val="21"/>
                <w:lang w:val="en-US" w:eastAsia="zh-CN"/>
              </w:rPr>
              <w:t>35</w:t>
            </w:r>
            <w:r>
              <w:rPr>
                <w:b w:val="0"/>
                <w:bCs w:val="0"/>
                <w:color w:val="auto"/>
                <w:sz w:val="21"/>
                <w:szCs w:val="21"/>
              </w:rPr>
              <w:t>。</w:t>
            </w:r>
          </w:p>
          <w:p w14:paraId="4DFB4822">
            <w:pPr>
              <w:widowControl/>
              <w:adjustRightInd w:val="0"/>
              <w:snapToGrid w:val="0"/>
              <w:spacing w:before="147" w:beforeLines="50"/>
              <w:jc w:val="center"/>
              <w:rPr>
                <w:b/>
                <w:bCs/>
                <w:color w:val="auto"/>
                <w:szCs w:val="21"/>
              </w:rPr>
            </w:pPr>
            <w:r>
              <w:rPr>
                <w:rFonts w:hint="eastAsia"/>
                <w:b/>
                <w:bCs/>
                <w:color w:val="auto"/>
                <w:szCs w:val="21"/>
              </w:rPr>
              <w:t>表4-</w:t>
            </w:r>
            <w:r>
              <w:rPr>
                <w:rFonts w:hint="eastAsia"/>
                <w:b/>
                <w:bCs/>
                <w:color w:val="auto"/>
                <w:szCs w:val="21"/>
                <w:lang w:val="en-US" w:eastAsia="zh-CN"/>
              </w:rPr>
              <w:t>35</w:t>
            </w:r>
            <w:r>
              <w:rPr>
                <w:rFonts w:hint="eastAsia"/>
                <w:b/>
                <w:bCs/>
                <w:color w:val="auto"/>
                <w:szCs w:val="21"/>
              </w:rPr>
              <w:t xml:space="preserve"> 风险源分布情况</w:t>
            </w:r>
          </w:p>
          <w:tbl>
            <w:tblPr>
              <w:tblStyle w:val="3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2335"/>
              <w:gridCol w:w="3432"/>
              <w:gridCol w:w="2667"/>
            </w:tblGrid>
            <w:tr w14:paraId="4E7C51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335" w:type="dxa"/>
                  <w:vAlign w:val="center"/>
                </w:tcPr>
                <w:p w14:paraId="3C0B244E">
                  <w:pPr>
                    <w:pStyle w:val="10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风险单元</w:t>
                  </w:r>
                </w:p>
              </w:tc>
              <w:tc>
                <w:tcPr>
                  <w:tcW w:w="3432" w:type="dxa"/>
                  <w:vAlign w:val="center"/>
                </w:tcPr>
                <w:p w14:paraId="127CAA04">
                  <w:pPr>
                    <w:pStyle w:val="10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涉及风险物质</w:t>
                  </w:r>
                </w:p>
              </w:tc>
              <w:tc>
                <w:tcPr>
                  <w:tcW w:w="2667" w:type="dxa"/>
                  <w:vAlign w:val="center"/>
                </w:tcPr>
                <w:p w14:paraId="53932196">
                  <w:pPr>
                    <w:pStyle w:val="10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环境风险类型</w:t>
                  </w:r>
                </w:p>
              </w:tc>
            </w:tr>
            <w:tr w14:paraId="3AB2A3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335" w:type="dxa"/>
                  <w:vAlign w:val="center"/>
                </w:tcPr>
                <w:p w14:paraId="125FFA85">
                  <w:pPr>
                    <w:pStyle w:val="10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化学品仓库、生产车间</w:t>
                  </w:r>
                </w:p>
              </w:tc>
              <w:tc>
                <w:tcPr>
                  <w:tcW w:w="3432" w:type="dxa"/>
                  <w:vAlign w:val="center"/>
                </w:tcPr>
                <w:p w14:paraId="071A78BE">
                  <w:pPr>
                    <w:adjustRightInd w:val="0"/>
                    <w:snapToGrid w:val="0"/>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氢氟酸</w:t>
                  </w:r>
                </w:p>
              </w:tc>
              <w:tc>
                <w:tcPr>
                  <w:tcW w:w="2667" w:type="dxa"/>
                  <w:vAlign w:val="center"/>
                </w:tcPr>
                <w:p w14:paraId="1D96BBE3">
                  <w:pPr>
                    <w:pStyle w:val="10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泄漏、火灾、爆炸</w:t>
                  </w:r>
                </w:p>
              </w:tc>
            </w:tr>
            <w:tr w14:paraId="270427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335" w:type="dxa"/>
                  <w:vAlign w:val="center"/>
                </w:tcPr>
                <w:p w14:paraId="49A850E0">
                  <w:pPr>
                    <w:pStyle w:val="10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原料仓库、生产车间</w:t>
                  </w:r>
                </w:p>
              </w:tc>
              <w:tc>
                <w:tcPr>
                  <w:tcW w:w="3432" w:type="dxa"/>
                  <w:vAlign w:val="center"/>
                </w:tcPr>
                <w:p w14:paraId="59336DF4">
                  <w:pPr>
                    <w:adjustRightInd w:val="0"/>
                    <w:snapToGrid w:val="0"/>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油墨</w:t>
                  </w:r>
                </w:p>
              </w:tc>
              <w:tc>
                <w:tcPr>
                  <w:tcW w:w="2667" w:type="dxa"/>
                  <w:vAlign w:val="center"/>
                </w:tcPr>
                <w:p w14:paraId="250E0C8C">
                  <w:pPr>
                    <w:pStyle w:val="10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泄漏、火灾</w:t>
                  </w:r>
                </w:p>
              </w:tc>
            </w:tr>
            <w:tr w14:paraId="46D321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335" w:type="dxa"/>
                  <w:vAlign w:val="center"/>
                </w:tcPr>
                <w:p w14:paraId="65742437">
                  <w:pPr>
                    <w:pStyle w:val="10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危废仓库</w:t>
                  </w:r>
                </w:p>
              </w:tc>
              <w:tc>
                <w:tcPr>
                  <w:tcW w:w="3432" w:type="dxa"/>
                  <w:vAlign w:val="center"/>
                </w:tcPr>
                <w:p w14:paraId="339E4D8A">
                  <w:pPr>
                    <w:pStyle w:val="107"/>
                    <w:spacing w:line="240" w:lineRule="auto"/>
                    <w:ind w:firstLine="0" w:firstLineChars="0"/>
                    <w:jc w:val="center"/>
                    <w:rPr>
                      <w:rFonts w:hint="eastAsia" w:asciiTheme="minorEastAsia" w:hAnsiTheme="minorEastAsia" w:eastAsiaTheme="minorEastAsia" w:cstheme="minorEastAsia"/>
                      <w:color w:val="auto"/>
                      <w:sz w:val="21"/>
                      <w:szCs w:val="21"/>
                      <w:lang w:val="en-US" w:bidi="ar"/>
                    </w:rPr>
                  </w:pPr>
                  <w:r>
                    <w:rPr>
                      <w:rFonts w:hint="eastAsia" w:asciiTheme="minorEastAsia" w:hAnsiTheme="minorEastAsia" w:eastAsiaTheme="minorEastAsia" w:cstheme="minorEastAsia"/>
                      <w:color w:val="auto"/>
                      <w:kern w:val="2"/>
                      <w:sz w:val="21"/>
                      <w:szCs w:val="21"/>
                      <w:lang w:val="en-US" w:eastAsia="zh-CN" w:bidi="ar-SA"/>
                    </w:rPr>
                    <w:t>废油墨桶、废抹布手套、废石英砂、废活性炭及现有项目危废</w:t>
                  </w:r>
                </w:p>
              </w:tc>
              <w:tc>
                <w:tcPr>
                  <w:tcW w:w="2667" w:type="dxa"/>
                  <w:vAlign w:val="center"/>
                </w:tcPr>
                <w:p w14:paraId="5B116EC3">
                  <w:pPr>
                    <w:pStyle w:val="10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泄漏、火灾</w:t>
                  </w:r>
                </w:p>
              </w:tc>
            </w:tr>
          </w:tbl>
          <w:p w14:paraId="2CBB21F3">
            <w:pPr>
              <w:pStyle w:val="5"/>
              <w:keepNext/>
              <w:keepLines/>
              <w:pageBreakBefore w:val="0"/>
              <w:widowControl w:val="0"/>
              <w:numPr>
                <w:ilvl w:val="0"/>
                <w:numId w:val="0"/>
              </w:numPr>
              <w:kinsoku/>
              <w:wordWrap/>
              <w:overflowPunct/>
              <w:topLinePunct w:val="0"/>
              <w:autoSpaceDE/>
              <w:autoSpaceDN/>
              <w:bidi w:val="0"/>
              <w:adjustRightInd/>
              <w:snapToGrid w:val="0"/>
              <w:spacing w:before="148" w:beforeLines="50" w:after="0" w:line="360" w:lineRule="auto"/>
              <w:ind w:firstLine="420" w:firstLineChars="200"/>
              <w:textAlignment w:val="auto"/>
              <w:rPr>
                <w:b w:val="0"/>
                <w:bCs w:val="0"/>
                <w:color w:val="auto"/>
                <w:sz w:val="21"/>
                <w:szCs w:val="21"/>
              </w:rPr>
            </w:pPr>
            <w:r>
              <w:rPr>
                <w:rFonts w:ascii="Times New Roman" w:hAnsi="Times New Roman" w:eastAsia="宋体" w:cs="Times New Roman"/>
                <w:b w:val="0"/>
                <w:bCs w:val="0"/>
                <w:color w:val="auto"/>
                <w:kern w:val="2"/>
                <w:sz w:val="21"/>
                <w:szCs w:val="21"/>
                <w:lang w:val="en-US" w:eastAsia="zh-CN" w:bidi="ar-SA"/>
              </w:rPr>
              <w:t>（2）</w:t>
            </w:r>
            <w:r>
              <w:rPr>
                <w:rFonts w:hint="eastAsia"/>
                <w:b w:val="0"/>
                <w:bCs w:val="0"/>
                <w:color w:val="auto"/>
                <w:sz w:val="21"/>
                <w:szCs w:val="21"/>
              </w:rPr>
              <w:t>影响途径及危害后果</w:t>
            </w:r>
          </w:p>
          <w:p w14:paraId="22122731">
            <w:pPr>
              <w:widowControl/>
              <w:adjustRightInd w:val="0"/>
              <w:snapToGrid w:val="0"/>
              <w:spacing w:before="147" w:beforeLines="50"/>
              <w:jc w:val="center"/>
              <w:rPr>
                <w:b/>
                <w:bCs/>
                <w:color w:val="auto"/>
                <w:szCs w:val="21"/>
              </w:rPr>
            </w:pPr>
            <w:r>
              <w:rPr>
                <w:rFonts w:hint="eastAsia"/>
                <w:b/>
                <w:bCs/>
                <w:color w:val="auto"/>
                <w:szCs w:val="21"/>
              </w:rPr>
              <w:t>表4-</w:t>
            </w:r>
            <w:r>
              <w:rPr>
                <w:rFonts w:hint="eastAsia"/>
                <w:b/>
                <w:bCs/>
                <w:color w:val="auto"/>
                <w:szCs w:val="21"/>
                <w:lang w:val="en-US" w:eastAsia="zh-CN"/>
              </w:rPr>
              <w:t xml:space="preserve">36 </w:t>
            </w:r>
            <w:r>
              <w:rPr>
                <w:rFonts w:hint="eastAsia"/>
                <w:b/>
                <w:bCs/>
                <w:color w:val="auto"/>
                <w:szCs w:val="21"/>
              </w:rPr>
              <w:t>项目环境风险事故时各环境要素影响途径及环境危害</w:t>
            </w:r>
          </w:p>
          <w:tbl>
            <w:tblPr>
              <w:tblStyle w:val="30"/>
              <w:tblW w:w="846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346"/>
              <w:gridCol w:w="1980"/>
              <w:gridCol w:w="1695"/>
              <w:gridCol w:w="3444"/>
            </w:tblGrid>
            <w:tr w14:paraId="5641D8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346" w:type="dxa"/>
                  <w:vAlign w:val="center"/>
                </w:tcPr>
                <w:p w14:paraId="2D765A52">
                  <w:pPr>
                    <w:tabs>
                      <w:tab w:val="left" w:pos="2655"/>
                    </w:tabs>
                    <w:jc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风险单元</w:t>
                  </w:r>
                </w:p>
              </w:tc>
              <w:tc>
                <w:tcPr>
                  <w:tcW w:w="1980" w:type="dxa"/>
                  <w:vAlign w:val="center"/>
                </w:tcPr>
                <w:p w14:paraId="3073B543">
                  <w:pPr>
                    <w:pStyle w:val="5"/>
                    <w:spacing w:before="0" w:after="0" w:line="240" w:lineRule="auto"/>
                    <w:jc w:val="center"/>
                    <w:rPr>
                      <w:rFonts w:hint="eastAsia" w:asciiTheme="minorEastAsia" w:hAnsiTheme="minorEastAsia" w:eastAsiaTheme="minorEastAsia" w:cstheme="minorEastAsia"/>
                      <w:b w:val="0"/>
                      <w:bCs w:val="0"/>
                      <w:color w:val="auto"/>
                      <w:sz w:val="21"/>
                      <w:szCs w:val="21"/>
                    </w:rPr>
                  </w:pPr>
                  <w:r>
                    <w:rPr>
                      <w:rFonts w:hint="eastAsia" w:asciiTheme="minorEastAsia" w:hAnsiTheme="minorEastAsia" w:eastAsiaTheme="minorEastAsia" w:cstheme="minorEastAsia"/>
                      <w:color w:val="auto"/>
                      <w:sz w:val="21"/>
                      <w:szCs w:val="21"/>
                    </w:rPr>
                    <w:t>主要危险物质</w:t>
                  </w:r>
                </w:p>
              </w:tc>
              <w:tc>
                <w:tcPr>
                  <w:tcW w:w="1695" w:type="dxa"/>
                  <w:vAlign w:val="center"/>
                </w:tcPr>
                <w:p w14:paraId="61FD8B07">
                  <w:pPr>
                    <w:pStyle w:val="5"/>
                    <w:spacing w:before="0" w:after="0" w:line="240" w:lineRule="auto"/>
                    <w:jc w:val="center"/>
                    <w:rPr>
                      <w:rFonts w:hint="eastAsia" w:asciiTheme="minorEastAsia" w:hAnsiTheme="minorEastAsia" w:eastAsiaTheme="minorEastAsia" w:cstheme="minorEastAsia"/>
                      <w:b w:val="0"/>
                      <w:bCs w:val="0"/>
                      <w:color w:val="auto"/>
                      <w:sz w:val="21"/>
                      <w:szCs w:val="21"/>
                    </w:rPr>
                  </w:pPr>
                  <w:r>
                    <w:rPr>
                      <w:rFonts w:hint="eastAsia" w:asciiTheme="minorEastAsia" w:hAnsiTheme="minorEastAsia" w:eastAsiaTheme="minorEastAsia" w:cstheme="minorEastAsia"/>
                      <w:color w:val="auto"/>
                      <w:sz w:val="21"/>
                      <w:szCs w:val="21"/>
                    </w:rPr>
                    <w:t>环境风险类型</w:t>
                  </w:r>
                </w:p>
              </w:tc>
              <w:tc>
                <w:tcPr>
                  <w:tcW w:w="3444" w:type="dxa"/>
                  <w:vAlign w:val="center"/>
                </w:tcPr>
                <w:p w14:paraId="56CB7484">
                  <w:pPr>
                    <w:pStyle w:val="5"/>
                    <w:spacing w:before="0" w:after="0"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环境影响途径</w:t>
                  </w:r>
                </w:p>
              </w:tc>
            </w:tr>
            <w:tr w14:paraId="4A592E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346" w:type="dxa"/>
                  <w:shd w:val="clear" w:color="auto" w:fill="auto"/>
                  <w:vAlign w:val="center"/>
                </w:tcPr>
                <w:p w14:paraId="370E0EBC">
                  <w:pPr>
                    <w:pStyle w:val="109"/>
                    <w:rPr>
                      <w:rFonts w:hint="eastAsia" w:asciiTheme="minorEastAsia" w:hAnsiTheme="minorEastAsia" w:eastAsiaTheme="minorEastAsia" w:cstheme="minorEastAsia"/>
                      <w:color w:val="auto"/>
                      <w:kern w:val="0"/>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化学品仓库、生产车间</w:t>
                  </w:r>
                </w:p>
              </w:tc>
              <w:tc>
                <w:tcPr>
                  <w:tcW w:w="1980" w:type="dxa"/>
                  <w:shd w:val="clear" w:color="auto" w:fill="auto"/>
                  <w:vAlign w:val="center"/>
                </w:tcPr>
                <w:p w14:paraId="31580F79">
                  <w:pPr>
                    <w:adjustRightInd w:val="0"/>
                    <w:snapToGrid w:val="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氢氟酸</w:t>
                  </w:r>
                </w:p>
              </w:tc>
              <w:tc>
                <w:tcPr>
                  <w:tcW w:w="1695" w:type="dxa"/>
                  <w:shd w:val="clear" w:color="auto" w:fill="auto"/>
                  <w:vAlign w:val="center"/>
                </w:tcPr>
                <w:p w14:paraId="1A56723F">
                  <w:pPr>
                    <w:pStyle w:val="109"/>
                    <w:rPr>
                      <w:rFonts w:hint="eastAsia" w:asciiTheme="minorEastAsia" w:hAnsiTheme="minorEastAsia" w:eastAsiaTheme="minorEastAsia" w:cstheme="minorEastAsia"/>
                      <w:color w:val="auto"/>
                      <w:kern w:val="0"/>
                      <w:sz w:val="21"/>
                      <w:szCs w:val="21"/>
                      <w:lang w:val="en-US" w:eastAsia="zh-CN" w:bidi="ar-SA"/>
                    </w:rPr>
                  </w:pPr>
                  <w:r>
                    <w:rPr>
                      <w:rFonts w:hint="eastAsia" w:asciiTheme="minorEastAsia" w:hAnsiTheme="minorEastAsia" w:eastAsiaTheme="minorEastAsia" w:cstheme="minorEastAsia"/>
                      <w:color w:val="auto"/>
                      <w:sz w:val="21"/>
                      <w:szCs w:val="21"/>
                    </w:rPr>
                    <w:t>泄漏、火灾、爆炸</w:t>
                  </w:r>
                </w:p>
              </w:tc>
              <w:tc>
                <w:tcPr>
                  <w:tcW w:w="3444" w:type="dxa"/>
                  <w:vAlign w:val="center"/>
                </w:tcPr>
                <w:p w14:paraId="016993D6">
                  <w:pPr>
                    <w:tabs>
                      <w:tab w:val="left" w:pos="2655"/>
                    </w:tabs>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泄漏/火灾/爆炸等引发的伴生/次生污染物进入地表水或大气，对地表水、大气可能造成污染，影响项目东侧的淮泗河。</w:t>
                  </w:r>
                </w:p>
              </w:tc>
            </w:tr>
            <w:tr w14:paraId="00DA05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346" w:type="dxa"/>
                  <w:shd w:val="clear" w:color="auto" w:fill="auto"/>
                  <w:vAlign w:val="center"/>
                </w:tcPr>
                <w:p w14:paraId="69E6FEC4">
                  <w:pPr>
                    <w:pStyle w:val="109"/>
                    <w:rPr>
                      <w:rFonts w:hint="eastAsia" w:asciiTheme="minorEastAsia" w:hAnsiTheme="minorEastAsia" w:eastAsiaTheme="minorEastAsia" w:cstheme="minorEastAsia"/>
                      <w:color w:val="auto"/>
                      <w:kern w:val="0"/>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原料仓库、生产车间</w:t>
                  </w:r>
                </w:p>
              </w:tc>
              <w:tc>
                <w:tcPr>
                  <w:tcW w:w="1980" w:type="dxa"/>
                  <w:shd w:val="clear" w:color="auto" w:fill="auto"/>
                  <w:vAlign w:val="center"/>
                </w:tcPr>
                <w:p w14:paraId="5DC8990A">
                  <w:pPr>
                    <w:adjustRightInd w:val="0"/>
                    <w:snapToGrid w:val="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油墨</w:t>
                  </w:r>
                </w:p>
              </w:tc>
              <w:tc>
                <w:tcPr>
                  <w:tcW w:w="1695" w:type="dxa"/>
                  <w:shd w:val="clear" w:color="auto" w:fill="auto"/>
                  <w:vAlign w:val="center"/>
                </w:tcPr>
                <w:p w14:paraId="73A40DCA">
                  <w:pPr>
                    <w:pStyle w:val="109"/>
                    <w:rPr>
                      <w:rFonts w:hint="eastAsia" w:asciiTheme="minorEastAsia" w:hAnsiTheme="minorEastAsia" w:eastAsiaTheme="minorEastAsia" w:cstheme="minorEastAsia"/>
                      <w:color w:val="auto"/>
                      <w:kern w:val="0"/>
                      <w:sz w:val="21"/>
                      <w:szCs w:val="21"/>
                      <w:lang w:val="en-US" w:eastAsia="zh-CN" w:bidi="ar-SA"/>
                    </w:rPr>
                  </w:pPr>
                  <w:r>
                    <w:rPr>
                      <w:rFonts w:hint="eastAsia" w:asciiTheme="minorEastAsia" w:hAnsiTheme="minorEastAsia" w:eastAsiaTheme="minorEastAsia" w:cstheme="minorEastAsia"/>
                      <w:color w:val="auto"/>
                      <w:sz w:val="21"/>
                      <w:szCs w:val="21"/>
                    </w:rPr>
                    <w:t>泄漏、火灾</w:t>
                  </w:r>
                </w:p>
              </w:tc>
              <w:tc>
                <w:tcPr>
                  <w:tcW w:w="3444" w:type="dxa"/>
                  <w:vAlign w:val="center"/>
                </w:tcPr>
                <w:p w14:paraId="77B1F391">
                  <w:pPr>
                    <w:tabs>
                      <w:tab w:val="left" w:pos="2655"/>
                    </w:tabs>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泄漏/火灾等引发的伴生/次生污染物进入地表水或大气，对地表水、大气可能造成污染，影响项目东侧的淮泗河。</w:t>
                  </w:r>
                </w:p>
              </w:tc>
            </w:tr>
            <w:tr w14:paraId="08C88E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346" w:type="dxa"/>
                  <w:shd w:val="clear" w:color="auto" w:fill="auto"/>
                  <w:vAlign w:val="center"/>
                </w:tcPr>
                <w:p w14:paraId="470560CB">
                  <w:pPr>
                    <w:pStyle w:val="109"/>
                    <w:rPr>
                      <w:rFonts w:hint="eastAsia" w:asciiTheme="minorEastAsia" w:hAnsiTheme="minorEastAsia" w:eastAsiaTheme="minorEastAsia" w:cstheme="minorEastAsia"/>
                      <w:color w:val="auto"/>
                      <w:kern w:val="0"/>
                      <w:sz w:val="21"/>
                      <w:szCs w:val="21"/>
                      <w:lang w:val="en-US" w:eastAsia="zh-CN" w:bidi="ar-SA"/>
                    </w:rPr>
                  </w:pPr>
                  <w:r>
                    <w:rPr>
                      <w:rFonts w:hint="eastAsia" w:asciiTheme="minorEastAsia" w:hAnsiTheme="minorEastAsia" w:eastAsiaTheme="minorEastAsia" w:cstheme="minorEastAsia"/>
                      <w:color w:val="auto"/>
                      <w:sz w:val="21"/>
                      <w:szCs w:val="21"/>
                    </w:rPr>
                    <w:t>危废仓库</w:t>
                  </w:r>
                </w:p>
              </w:tc>
              <w:tc>
                <w:tcPr>
                  <w:tcW w:w="1980" w:type="dxa"/>
                  <w:shd w:val="clear" w:color="auto" w:fill="auto"/>
                  <w:vAlign w:val="center"/>
                </w:tcPr>
                <w:p w14:paraId="345F3699">
                  <w:pPr>
                    <w:pStyle w:val="107"/>
                    <w:spacing w:line="240" w:lineRule="auto"/>
                    <w:ind w:firstLine="0" w:firstLineChars="0"/>
                    <w:jc w:val="center"/>
                    <w:rPr>
                      <w:rFonts w:hint="eastAsia" w:asciiTheme="minorEastAsia" w:hAnsiTheme="minorEastAsia" w:eastAsiaTheme="minorEastAsia" w:cstheme="minorEastAsia"/>
                      <w:color w:val="auto"/>
                      <w:kern w:val="0"/>
                      <w:sz w:val="21"/>
                      <w:szCs w:val="21"/>
                      <w:lang w:val="en-US" w:eastAsia="zh-CN" w:bidi="ar"/>
                    </w:rPr>
                  </w:pPr>
                  <w:r>
                    <w:rPr>
                      <w:rFonts w:hint="eastAsia" w:asciiTheme="minorEastAsia" w:hAnsiTheme="minorEastAsia" w:eastAsiaTheme="minorEastAsia" w:cstheme="minorEastAsia"/>
                      <w:color w:val="auto"/>
                      <w:kern w:val="2"/>
                      <w:sz w:val="21"/>
                      <w:szCs w:val="21"/>
                      <w:lang w:val="en-US" w:eastAsia="zh-CN" w:bidi="ar-SA"/>
                    </w:rPr>
                    <w:t>废油墨桶、废抹布手套、废石英砂、废活性炭等</w:t>
                  </w:r>
                </w:p>
              </w:tc>
              <w:tc>
                <w:tcPr>
                  <w:tcW w:w="1695" w:type="dxa"/>
                  <w:shd w:val="clear" w:color="auto" w:fill="auto"/>
                  <w:vAlign w:val="center"/>
                </w:tcPr>
                <w:p w14:paraId="43BE4B45">
                  <w:pPr>
                    <w:pStyle w:val="109"/>
                    <w:rPr>
                      <w:rFonts w:hint="eastAsia" w:asciiTheme="minorEastAsia" w:hAnsiTheme="minorEastAsia" w:eastAsiaTheme="minorEastAsia" w:cstheme="minorEastAsia"/>
                      <w:color w:val="auto"/>
                      <w:kern w:val="0"/>
                      <w:sz w:val="21"/>
                      <w:szCs w:val="21"/>
                      <w:lang w:val="en-US" w:eastAsia="zh-CN" w:bidi="ar-SA"/>
                    </w:rPr>
                  </w:pPr>
                  <w:r>
                    <w:rPr>
                      <w:rFonts w:hint="eastAsia" w:asciiTheme="minorEastAsia" w:hAnsiTheme="minorEastAsia" w:eastAsiaTheme="minorEastAsia" w:cstheme="minorEastAsia"/>
                      <w:color w:val="auto"/>
                      <w:sz w:val="21"/>
                      <w:szCs w:val="21"/>
                    </w:rPr>
                    <w:t>泄漏、火灾</w:t>
                  </w:r>
                </w:p>
              </w:tc>
              <w:tc>
                <w:tcPr>
                  <w:tcW w:w="3444" w:type="dxa"/>
                  <w:vAlign w:val="center"/>
                </w:tcPr>
                <w:p w14:paraId="765A7F0A">
                  <w:pPr>
                    <w:tabs>
                      <w:tab w:val="left" w:pos="2655"/>
                    </w:tabs>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危险废物泄漏后挥发进入大气，火灾/爆炸等引发的伴生/次生污染物进入大气，对大气可能造成污染。</w:t>
                  </w:r>
                </w:p>
              </w:tc>
            </w:tr>
          </w:tbl>
          <w:p w14:paraId="111C3FF2">
            <w:pPr>
              <w:keepNext w:val="0"/>
              <w:keepLines w:val="0"/>
              <w:pageBreakBefore w:val="0"/>
              <w:widowControl w:val="0"/>
              <w:numPr>
                <w:ilvl w:val="0"/>
                <w:numId w:val="0"/>
              </w:numPr>
              <w:tabs>
                <w:tab w:val="left" w:pos="2655"/>
              </w:tabs>
              <w:kinsoku/>
              <w:wordWrap/>
              <w:overflowPunct/>
              <w:topLinePunct w:val="0"/>
              <w:autoSpaceDE/>
              <w:autoSpaceDN/>
              <w:bidi w:val="0"/>
              <w:adjustRightInd/>
              <w:snapToGrid w:val="0"/>
              <w:spacing w:before="148" w:beforeLines="50" w:line="360" w:lineRule="auto"/>
              <w:ind w:firstLine="380" w:firstLineChars="200"/>
              <w:textAlignment w:val="auto"/>
              <w:rPr>
                <w:rFonts w:hint="eastAsia" w:ascii="宋体" w:hAnsi="宋体" w:cs="宋体"/>
                <w:bCs/>
                <w:color w:val="auto"/>
                <w:spacing w:val="-10"/>
                <w:szCs w:val="21"/>
              </w:rPr>
            </w:pPr>
            <w:r>
              <w:rPr>
                <w:rFonts w:hint="default" w:ascii="Times New Roman" w:hAnsi="Times New Roman" w:eastAsia="宋体" w:cs="Times New Roman"/>
                <w:bCs/>
                <w:color w:val="auto"/>
                <w:spacing w:val="-10"/>
                <w:kern w:val="2"/>
                <w:sz w:val="21"/>
                <w:szCs w:val="21"/>
                <w:lang w:val="en-US" w:eastAsia="zh-CN" w:bidi="ar-SA"/>
              </w:rPr>
              <w:t>（1）</w:t>
            </w:r>
            <w:r>
              <w:rPr>
                <w:color w:val="auto"/>
                <w:szCs w:val="21"/>
              </w:rPr>
              <w:t>环境风险防范措施</w:t>
            </w:r>
          </w:p>
          <w:p w14:paraId="63C1992C">
            <w:pPr>
              <w:keepNext w:val="0"/>
              <w:keepLines w:val="0"/>
              <w:pageBreakBefore w:val="0"/>
              <w:numPr>
                <w:ilvl w:val="0"/>
                <w:numId w:val="0"/>
              </w:numPr>
              <w:tabs>
                <w:tab w:val="left" w:pos="2655"/>
              </w:tabs>
              <w:kinsoku/>
              <w:wordWrap/>
              <w:overflowPunct/>
              <w:topLinePunct w:val="0"/>
              <w:bidi w:val="0"/>
              <w:adjustRightInd/>
              <w:snapToGrid w:val="0"/>
              <w:spacing w:line="360" w:lineRule="auto"/>
              <w:ind w:right="0" w:rightChars="0" w:firstLine="420" w:firstLineChars="200"/>
              <w:textAlignment w:val="auto"/>
              <w:rPr>
                <w:rFonts w:hint="eastAsia"/>
                <w:color w:val="auto"/>
                <w:szCs w:val="21"/>
              </w:rPr>
            </w:pPr>
            <w:r>
              <w:rPr>
                <w:rFonts w:hint="default" w:ascii="Times New Roman" w:hAnsi="Times New Roman" w:eastAsia="宋体" w:cs="Times New Roman"/>
                <w:color w:val="auto"/>
                <w:kern w:val="2"/>
                <w:sz w:val="21"/>
                <w:szCs w:val="21"/>
                <w:lang w:val="en-US" w:eastAsia="zh-CN" w:bidi="ar-SA"/>
              </w:rPr>
              <w:t>A、</w:t>
            </w:r>
            <w:r>
              <w:rPr>
                <w:rFonts w:hint="eastAsia"/>
                <w:color w:val="auto"/>
                <w:szCs w:val="21"/>
              </w:rPr>
              <w:t>泄漏事故</w:t>
            </w:r>
          </w:p>
          <w:p w14:paraId="3A2D50AD">
            <w:pPr>
              <w:pStyle w:val="10"/>
              <w:keepNext w:val="0"/>
              <w:keepLines w:val="0"/>
              <w:pageBreakBefore w:val="0"/>
              <w:widowControl/>
              <w:kinsoku/>
              <w:wordWrap/>
              <w:overflowPunct/>
              <w:topLinePunct w:val="0"/>
              <w:autoSpaceDE/>
              <w:autoSpaceDN/>
              <w:bidi w:val="0"/>
              <w:adjustRightInd/>
              <w:snapToGrid w:val="0"/>
              <w:spacing w:before="0" w:after="0" w:line="360" w:lineRule="auto"/>
              <w:ind w:right="0" w:firstLine="420" w:firstLineChars="200"/>
              <w:textAlignment w:val="auto"/>
              <w:rPr>
                <w:rFonts w:hint="eastAsia"/>
                <w:color w:val="auto"/>
                <w:sz w:val="21"/>
                <w:szCs w:val="21"/>
              </w:rPr>
            </w:pPr>
            <w:r>
              <w:rPr>
                <w:rFonts w:hint="eastAsia"/>
                <w:color w:val="auto"/>
                <w:sz w:val="21"/>
                <w:szCs w:val="21"/>
              </w:rPr>
              <w:t>应按照相关要求规范对原辅材料的使用、贮存及管理过程，加强对员工的教育培训；危废库</w:t>
            </w:r>
            <w:r>
              <w:rPr>
                <w:rFonts w:hint="eastAsia" w:ascii="Times New Roman" w:eastAsia="宋体"/>
                <w:color w:val="auto"/>
                <w:sz w:val="21"/>
                <w:szCs w:val="21"/>
                <w:lang w:val="en-US" w:eastAsia="zh-CN"/>
              </w:rPr>
              <w:t>等</w:t>
            </w:r>
            <w:r>
              <w:rPr>
                <w:rFonts w:hint="eastAsia"/>
                <w:color w:val="auto"/>
                <w:sz w:val="21"/>
                <w:szCs w:val="21"/>
              </w:rPr>
              <w:t>重点防渗区采用等效黏土防渗层Mb</w:t>
            </w:r>
            <w:r>
              <w:rPr>
                <w:rFonts w:hint="default" w:ascii="Times New Roman" w:hAnsi="Times New Roman" w:cs="Times New Roman"/>
                <w:color w:val="auto"/>
                <w:sz w:val="21"/>
                <w:szCs w:val="21"/>
              </w:rPr>
              <w:t>≥</w:t>
            </w:r>
            <w:r>
              <w:rPr>
                <w:rFonts w:hint="eastAsia"/>
                <w:color w:val="auto"/>
                <w:sz w:val="21"/>
                <w:szCs w:val="21"/>
              </w:rPr>
              <w:t>6.0m，K</w:t>
            </w:r>
            <w:r>
              <w:rPr>
                <w:rFonts w:hint="default" w:ascii="Times New Roman" w:hAnsi="Times New Roman" w:cs="Times New Roman"/>
                <w:color w:val="auto"/>
                <w:sz w:val="21"/>
                <w:szCs w:val="21"/>
              </w:rPr>
              <w:t>≤1×10</w:t>
            </w:r>
            <w:r>
              <w:rPr>
                <w:rFonts w:hint="default" w:ascii="Times New Roman" w:hAnsi="Times New Roman" w:cs="Times New Roman"/>
                <w:color w:val="auto"/>
                <w:sz w:val="21"/>
                <w:szCs w:val="21"/>
                <w:vertAlign w:val="superscript"/>
              </w:rPr>
              <w:t>-7</w:t>
            </w:r>
            <w:r>
              <w:rPr>
                <w:rFonts w:hint="default" w:ascii="Times New Roman" w:hAnsi="Times New Roman" w:cs="Times New Roman"/>
                <w:color w:val="auto"/>
                <w:sz w:val="21"/>
                <w:szCs w:val="21"/>
              </w:rPr>
              <w:t>cm/s</w:t>
            </w:r>
            <w:r>
              <w:rPr>
                <w:rFonts w:hint="eastAsia"/>
                <w:color w:val="auto"/>
                <w:sz w:val="21"/>
                <w:szCs w:val="21"/>
              </w:rPr>
              <w:t>；或参照GB18598执行；成品区</w:t>
            </w:r>
            <w:r>
              <w:rPr>
                <w:rFonts w:hint="eastAsia"/>
                <w:color w:val="auto"/>
                <w:sz w:val="21"/>
                <w:szCs w:val="21"/>
                <w:lang w:eastAsia="zh-CN"/>
              </w:rPr>
              <w:t>、</w:t>
            </w:r>
            <w:r>
              <w:rPr>
                <w:rFonts w:hint="eastAsia"/>
                <w:color w:val="auto"/>
                <w:sz w:val="21"/>
                <w:szCs w:val="21"/>
              </w:rPr>
              <w:t>生产车间</w:t>
            </w:r>
            <w:r>
              <w:rPr>
                <w:rFonts w:hint="eastAsia" w:eastAsia="宋体"/>
                <w:color w:val="auto"/>
                <w:sz w:val="21"/>
                <w:szCs w:val="21"/>
                <w:lang w:eastAsia="zh-CN"/>
              </w:rPr>
              <w:t>、</w:t>
            </w:r>
            <w:r>
              <w:rPr>
                <w:rFonts w:hint="eastAsia" w:ascii="Times New Roman" w:eastAsia="宋体"/>
                <w:color w:val="auto"/>
                <w:sz w:val="21"/>
                <w:szCs w:val="21"/>
                <w:lang w:val="en-US" w:eastAsia="zh-CN"/>
              </w:rPr>
              <w:t>废气处理设施区域等</w:t>
            </w:r>
            <w:r>
              <w:rPr>
                <w:rFonts w:hint="eastAsia"/>
                <w:color w:val="auto"/>
                <w:sz w:val="21"/>
                <w:szCs w:val="21"/>
              </w:rPr>
              <w:t>一般防渗区采用等效黏土防渗层Mb</w:t>
            </w:r>
            <w:r>
              <w:rPr>
                <w:rFonts w:hint="default" w:ascii="Times New Roman" w:hAnsi="Times New Roman" w:cs="Times New Roman"/>
                <w:color w:val="auto"/>
                <w:sz w:val="21"/>
                <w:szCs w:val="21"/>
              </w:rPr>
              <w:t>≥</w:t>
            </w:r>
            <w:r>
              <w:rPr>
                <w:rFonts w:hint="eastAsia"/>
                <w:color w:val="auto"/>
                <w:sz w:val="21"/>
                <w:szCs w:val="21"/>
              </w:rPr>
              <w:t>1.5m，渗透系数</w:t>
            </w:r>
            <w:r>
              <w:rPr>
                <w:rFonts w:hint="default" w:ascii="Times New Roman" w:hAnsi="Times New Roman" w:cs="Times New Roman"/>
                <w:color w:val="auto"/>
                <w:sz w:val="21"/>
                <w:szCs w:val="21"/>
              </w:rPr>
              <w:t>≤</w:t>
            </w:r>
            <w:r>
              <w:rPr>
                <w:rFonts w:hint="eastAsia"/>
                <w:color w:val="auto"/>
                <w:sz w:val="21"/>
                <w:szCs w:val="21"/>
              </w:rPr>
              <w:t>1.0</w:t>
            </w:r>
            <w:r>
              <w:rPr>
                <w:rFonts w:hint="default" w:ascii="Times New Roman" w:hAnsi="Times New Roman" w:cs="Times New Roman"/>
                <w:color w:val="auto"/>
                <w:sz w:val="21"/>
                <w:szCs w:val="21"/>
              </w:rPr>
              <w:t>×</w:t>
            </w:r>
            <w:r>
              <w:rPr>
                <w:rFonts w:hint="eastAsia"/>
                <w:color w:val="auto"/>
                <w:sz w:val="21"/>
                <w:szCs w:val="21"/>
              </w:rPr>
              <w:t>10</w:t>
            </w:r>
            <w:r>
              <w:rPr>
                <w:rFonts w:hint="eastAsia"/>
                <w:color w:val="auto"/>
                <w:sz w:val="21"/>
                <w:szCs w:val="21"/>
                <w:vertAlign w:val="superscript"/>
              </w:rPr>
              <w:t>-7</w:t>
            </w:r>
            <w:r>
              <w:rPr>
                <w:rFonts w:hint="eastAsia"/>
                <w:color w:val="auto"/>
                <w:sz w:val="21"/>
                <w:szCs w:val="21"/>
              </w:rPr>
              <w:t>cm/s；或参照GB16889执行；办公区</w:t>
            </w:r>
            <w:r>
              <w:rPr>
                <w:rFonts w:hint="eastAsia" w:ascii="Times New Roman" w:eastAsia="宋体"/>
                <w:color w:val="auto"/>
                <w:sz w:val="21"/>
                <w:szCs w:val="21"/>
                <w:lang w:val="en-US" w:eastAsia="zh-CN"/>
              </w:rPr>
              <w:t>等</w:t>
            </w:r>
            <w:r>
              <w:rPr>
                <w:rFonts w:hint="eastAsia"/>
                <w:color w:val="auto"/>
                <w:sz w:val="21"/>
                <w:szCs w:val="21"/>
              </w:rPr>
              <w:t>简单防渗区采取地面一般硬底化，并设置围堰；储存辅助材料的桶上应注明物质的名称、危险特性、安全使用说明以及事故应对措施等内容；仓库应安排专人管理，做好入库记录，并定期检查材料存储的安全状态，定期检查其包装有无破损，以防止泄漏。</w:t>
            </w:r>
          </w:p>
          <w:p w14:paraId="63191558">
            <w:pPr>
              <w:pStyle w:val="10"/>
              <w:keepNext w:val="0"/>
              <w:keepLines w:val="0"/>
              <w:pageBreakBefore w:val="0"/>
              <w:kinsoku/>
              <w:wordWrap/>
              <w:overflowPunct/>
              <w:topLinePunct w:val="0"/>
              <w:bidi w:val="0"/>
              <w:adjustRightInd/>
              <w:snapToGrid w:val="0"/>
              <w:spacing w:before="0" w:after="0" w:line="360" w:lineRule="auto"/>
              <w:ind w:right="0" w:firstLine="420" w:firstLineChars="200"/>
              <w:textAlignment w:val="auto"/>
              <w:rPr>
                <w:rFonts w:hint="eastAsia"/>
                <w:color w:val="auto"/>
                <w:sz w:val="21"/>
                <w:szCs w:val="21"/>
              </w:rPr>
            </w:pPr>
            <w:r>
              <w:rPr>
                <w:rFonts w:hint="default" w:ascii="Times New Roman" w:hAnsi="Times New Roman" w:eastAsia="宋体" w:cs="Times New Roman"/>
                <w:color w:val="auto"/>
                <w:kern w:val="2"/>
                <w:sz w:val="21"/>
                <w:szCs w:val="21"/>
                <w:lang w:val="en-US" w:eastAsia="zh-CN" w:bidi="ar-SA"/>
              </w:rPr>
              <w:t>B</w:t>
            </w:r>
            <w:r>
              <w:rPr>
                <w:rFonts w:hint="eastAsia" w:cs="Times New Roman"/>
                <w:color w:val="auto"/>
                <w:kern w:val="2"/>
                <w:sz w:val="21"/>
                <w:szCs w:val="21"/>
                <w:lang w:val="en-US" w:eastAsia="zh-CN" w:bidi="ar-SA"/>
              </w:rPr>
              <w:t>、</w:t>
            </w:r>
            <w:r>
              <w:rPr>
                <w:rFonts w:hint="eastAsia"/>
                <w:color w:val="auto"/>
                <w:sz w:val="21"/>
                <w:szCs w:val="21"/>
              </w:rPr>
              <w:t>火灾事故</w:t>
            </w:r>
          </w:p>
          <w:p w14:paraId="656B5BB0">
            <w:pPr>
              <w:keepNext w:val="0"/>
              <w:keepLines w:val="0"/>
              <w:pageBreakBefore w:val="0"/>
              <w:kinsoku/>
              <w:wordWrap/>
              <w:overflowPunct/>
              <w:topLinePunct w:val="0"/>
              <w:autoSpaceDE w:val="0"/>
              <w:autoSpaceDN w:val="0"/>
              <w:bidi w:val="0"/>
              <w:adjustRightInd/>
              <w:snapToGrid w:val="0"/>
              <w:spacing w:line="360" w:lineRule="auto"/>
              <w:ind w:right="0" w:firstLine="420" w:firstLineChars="200"/>
              <w:jc w:val="left"/>
              <w:textAlignment w:val="auto"/>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由于</w:t>
            </w:r>
            <w:r>
              <w:rPr>
                <w:rFonts w:hint="eastAsia" w:ascii="Times New Roman" w:hAnsi="Times New Roman" w:eastAsia="宋体" w:cs="Times New Roman"/>
                <w:color w:val="auto"/>
                <w:szCs w:val="21"/>
                <w:lang w:val="en-US" w:eastAsia="zh-CN"/>
              </w:rPr>
              <w:t>原料起火</w:t>
            </w:r>
            <w:r>
              <w:rPr>
                <w:rFonts w:hint="eastAsia" w:ascii="Times New Roman" w:hAnsi="Times New Roman" w:eastAsia="宋体" w:cs="Times New Roman"/>
                <w:color w:val="auto"/>
                <w:szCs w:val="21"/>
              </w:rPr>
              <w:t>会导致厂区发生火灾。火灾本身不会对环境产生直接的污染，但物质燃烧时会产生污染物，其主要污染物为一氧化碳、二氧化碳、水蒸气及其他有毒烟气，应采取以下措施进行火灾防范。</w:t>
            </w:r>
          </w:p>
          <w:p w14:paraId="2B852D0B">
            <w:pPr>
              <w:pStyle w:val="10"/>
              <w:keepNext w:val="0"/>
              <w:keepLines w:val="0"/>
              <w:pageBreakBefore w:val="0"/>
              <w:kinsoku/>
              <w:wordWrap/>
              <w:overflowPunct/>
              <w:topLinePunct w:val="0"/>
              <w:autoSpaceDE/>
              <w:autoSpaceDN/>
              <w:bidi w:val="0"/>
              <w:adjustRightInd/>
              <w:snapToGrid w:val="0"/>
              <w:spacing w:before="0" w:after="0" w:line="360" w:lineRule="auto"/>
              <w:ind w:right="0" w:firstLine="420" w:firstLineChars="200"/>
              <w:textAlignment w:val="auto"/>
              <w:rPr>
                <w:color w:val="auto"/>
                <w:sz w:val="21"/>
                <w:szCs w:val="21"/>
              </w:rPr>
            </w:pPr>
            <w:r>
              <w:rPr>
                <w:rFonts w:hint="eastAsia"/>
                <w:color w:val="auto"/>
                <w:sz w:val="21"/>
                <w:szCs w:val="21"/>
              </w:rPr>
              <w:t>①日常加强项目生产车间、质检室、仓库等的消防安全的管理。对项目区内电线等定期排查，确保生产安全；对电力设备定期检修，确保设备正常运行；严禁设备运行期间擅自离岗；项目区内设置明火控制区，控制区内严禁任何明火。</w:t>
            </w:r>
          </w:p>
          <w:p w14:paraId="2F1DCD5F">
            <w:pPr>
              <w:pStyle w:val="10"/>
              <w:keepNext w:val="0"/>
              <w:keepLines w:val="0"/>
              <w:pageBreakBefore w:val="0"/>
              <w:kinsoku/>
              <w:wordWrap/>
              <w:overflowPunct/>
              <w:topLinePunct w:val="0"/>
              <w:autoSpaceDE/>
              <w:autoSpaceDN/>
              <w:bidi w:val="0"/>
              <w:adjustRightInd/>
              <w:snapToGrid w:val="0"/>
              <w:spacing w:before="0" w:after="0" w:line="360" w:lineRule="auto"/>
              <w:ind w:right="0" w:firstLine="420" w:firstLineChars="200"/>
              <w:textAlignment w:val="auto"/>
              <w:rPr>
                <w:color w:val="auto"/>
                <w:sz w:val="21"/>
                <w:szCs w:val="21"/>
              </w:rPr>
            </w:pPr>
            <w:r>
              <w:rPr>
                <w:rFonts w:hint="eastAsia"/>
                <w:color w:val="auto"/>
                <w:sz w:val="21"/>
                <w:szCs w:val="21"/>
              </w:rPr>
              <w:t>②存在火灾隐患区域按要求配备相应消防器材，并定期检查，确保消防器材能随时使用。</w:t>
            </w:r>
          </w:p>
          <w:p w14:paraId="255C8F34">
            <w:pPr>
              <w:pStyle w:val="10"/>
              <w:keepNext w:val="0"/>
              <w:keepLines w:val="0"/>
              <w:pageBreakBefore w:val="0"/>
              <w:kinsoku/>
              <w:wordWrap/>
              <w:overflowPunct/>
              <w:topLinePunct w:val="0"/>
              <w:autoSpaceDE/>
              <w:autoSpaceDN/>
              <w:bidi w:val="0"/>
              <w:adjustRightInd/>
              <w:snapToGrid w:val="0"/>
              <w:spacing w:before="0" w:after="0" w:line="360" w:lineRule="auto"/>
              <w:ind w:right="0" w:firstLine="420" w:firstLineChars="200"/>
              <w:textAlignment w:val="auto"/>
              <w:rPr>
                <w:color w:val="auto"/>
                <w:sz w:val="21"/>
                <w:szCs w:val="21"/>
              </w:rPr>
            </w:pPr>
            <w:r>
              <w:rPr>
                <w:rFonts w:hint="eastAsia"/>
                <w:color w:val="auto"/>
                <w:sz w:val="21"/>
                <w:szCs w:val="21"/>
              </w:rPr>
              <w:t>③加强对可燃物质的管理，严格执行有关防雷、防静电、防火、防爆的规定、规程和标准。</w:t>
            </w:r>
          </w:p>
          <w:p w14:paraId="6AEE81A0">
            <w:pPr>
              <w:pStyle w:val="10"/>
              <w:keepNext w:val="0"/>
              <w:keepLines w:val="0"/>
              <w:pageBreakBefore w:val="0"/>
              <w:kinsoku/>
              <w:wordWrap/>
              <w:overflowPunct/>
              <w:topLinePunct w:val="0"/>
              <w:autoSpaceDE/>
              <w:autoSpaceDN/>
              <w:bidi w:val="0"/>
              <w:adjustRightInd/>
              <w:snapToGrid w:val="0"/>
              <w:spacing w:before="0" w:after="0" w:line="360" w:lineRule="auto"/>
              <w:ind w:right="0" w:firstLine="420" w:firstLineChars="200"/>
              <w:textAlignment w:val="auto"/>
              <w:rPr>
                <w:color w:val="auto"/>
                <w:sz w:val="21"/>
                <w:szCs w:val="21"/>
              </w:rPr>
            </w:pPr>
            <w:r>
              <w:rPr>
                <w:rFonts w:hint="eastAsia"/>
                <w:color w:val="auto"/>
                <w:sz w:val="21"/>
                <w:szCs w:val="21"/>
              </w:rPr>
              <w:t>④按照《企业事业单位突发环境事件应急预案备案管理办法（试行）》</w:t>
            </w:r>
            <w:r>
              <w:rPr>
                <w:rFonts w:hint="eastAsia"/>
                <w:color w:val="auto"/>
                <w:sz w:val="21"/>
                <w:szCs w:val="21"/>
                <w:lang w:eastAsia="zh-CN"/>
              </w:rPr>
              <w:t>（</w:t>
            </w:r>
            <w:r>
              <w:rPr>
                <w:rFonts w:hint="eastAsia"/>
                <w:color w:val="auto"/>
                <w:sz w:val="21"/>
                <w:szCs w:val="21"/>
              </w:rPr>
              <w:t>环发〔2015〕4号</w:t>
            </w:r>
            <w:r>
              <w:rPr>
                <w:rFonts w:hint="eastAsia"/>
                <w:color w:val="auto"/>
                <w:sz w:val="21"/>
                <w:szCs w:val="21"/>
                <w:lang w:eastAsia="zh-CN"/>
              </w:rPr>
              <w:t>）、《</w:t>
            </w:r>
            <w:r>
              <w:rPr>
                <w:rFonts w:hint="eastAsia"/>
                <w:color w:val="auto"/>
                <w:sz w:val="21"/>
                <w:szCs w:val="21"/>
              </w:rPr>
              <w:t>江苏省突发环境事件应急预案管理办法</w:t>
            </w:r>
            <w:r>
              <w:rPr>
                <w:rFonts w:hint="eastAsia"/>
                <w:color w:val="auto"/>
                <w:sz w:val="21"/>
                <w:szCs w:val="21"/>
                <w:lang w:eastAsia="zh-CN"/>
              </w:rPr>
              <w:t>》（</w:t>
            </w:r>
            <w:r>
              <w:rPr>
                <w:rFonts w:hint="eastAsia"/>
                <w:color w:val="auto"/>
                <w:sz w:val="21"/>
                <w:szCs w:val="21"/>
              </w:rPr>
              <w:t>苏环发〔2023〕7号</w:t>
            </w:r>
            <w:r>
              <w:rPr>
                <w:rFonts w:hint="eastAsia"/>
                <w:color w:val="auto"/>
                <w:sz w:val="21"/>
                <w:szCs w:val="21"/>
                <w:lang w:eastAsia="zh-CN"/>
              </w:rPr>
              <w:t>）</w:t>
            </w:r>
            <w:r>
              <w:rPr>
                <w:rFonts w:hint="eastAsia"/>
                <w:color w:val="auto"/>
                <w:sz w:val="21"/>
                <w:szCs w:val="21"/>
              </w:rPr>
              <w:t>要求制定应急预案，并定期演练。</w:t>
            </w:r>
          </w:p>
          <w:p w14:paraId="5AEFB8C1">
            <w:pPr>
              <w:pStyle w:val="10"/>
              <w:keepNext w:val="0"/>
              <w:keepLines w:val="0"/>
              <w:pageBreakBefore w:val="0"/>
              <w:kinsoku/>
              <w:wordWrap/>
              <w:overflowPunct/>
              <w:topLinePunct w:val="0"/>
              <w:autoSpaceDE/>
              <w:autoSpaceDN/>
              <w:bidi w:val="0"/>
              <w:adjustRightInd/>
              <w:snapToGrid w:val="0"/>
              <w:spacing w:before="0" w:after="0" w:line="360" w:lineRule="auto"/>
              <w:ind w:right="0" w:firstLine="420" w:firstLineChars="200"/>
              <w:textAlignment w:val="auto"/>
              <w:rPr>
                <w:color w:val="auto"/>
                <w:sz w:val="21"/>
                <w:szCs w:val="21"/>
              </w:rPr>
            </w:pPr>
            <w:r>
              <w:rPr>
                <w:rFonts w:hint="eastAsia"/>
                <w:color w:val="auto"/>
                <w:sz w:val="21"/>
                <w:szCs w:val="21"/>
              </w:rPr>
              <w:t>⑤成立应急预案小组，负责事故状态下的应急措施的开展。</w:t>
            </w:r>
          </w:p>
          <w:p w14:paraId="398FB807">
            <w:pPr>
              <w:pStyle w:val="10"/>
              <w:keepNext w:val="0"/>
              <w:keepLines w:val="0"/>
              <w:pageBreakBefore w:val="0"/>
              <w:kinsoku/>
              <w:wordWrap/>
              <w:overflowPunct/>
              <w:topLinePunct w:val="0"/>
              <w:autoSpaceDE/>
              <w:autoSpaceDN/>
              <w:bidi w:val="0"/>
              <w:adjustRightInd/>
              <w:snapToGrid w:val="0"/>
              <w:spacing w:before="0" w:after="0" w:line="360" w:lineRule="auto"/>
              <w:ind w:right="0" w:firstLine="420" w:firstLineChars="200"/>
              <w:textAlignment w:val="auto"/>
              <w:rPr>
                <w:color w:val="auto"/>
                <w:sz w:val="21"/>
                <w:szCs w:val="21"/>
              </w:rPr>
            </w:pPr>
            <w:r>
              <w:rPr>
                <w:rFonts w:hint="eastAsia"/>
                <w:color w:val="auto"/>
                <w:sz w:val="21"/>
                <w:szCs w:val="21"/>
              </w:rPr>
              <w:t>⑥事故发生情况下，立即疏散附近员工和群众，切断电力等供应设施，并及时组织人员控制事故规模，采取应急措施；事故规模较大时及时通知当地专业消防队伍进行救援。</w:t>
            </w:r>
          </w:p>
          <w:p w14:paraId="5993BE4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color w:val="auto"/>
              </w:rPr>
            </w:pPr>
            <w:r>
              <w:rPr>
                <w:rFonts w:hint="default" w:ascii="Times New Roman" w:hAnsi="Times New Roman" w:eastAsia="宋体" w:cs="Times New Roman"/>
                <w:b/>
                <w:bCs/>
                <w:color w:val="auto"/>
                <w:kern w:val="2"/>
                <w:sz w:val="21"/>
                <w:szCs w:val="21"/>
                <w:lang w:val="en-US" w:eastAsia="zh-CN" w:bidi="ar-SA"/>
              </w:rPr>
              <w:t>8、</w:t>
            </w:r>
            <w:r>
              <w:rPr>
                <w:rFonts w:hint="eastAsia"/>
                <w:b/>
                <w:bCs/>
                <w:color w:val="auto"/>
                <w:szCs w:val="21"/>
              </w:rPr>
              <w:t>生态影响</w:t>
            </w:r>
          </w:p>
          <w:p w14:paraId="13F8A768">
            <w:pPr>
              <w:pStyle w:val="5"/>
              <w:keepNext/>
              <w:keepLines/>
              <w:pageBreakBefore w:val="0"/>
              <w:widowControl w:val="0"/>
              <w:kinsoku/>
              <w:wordWrap/>
              <w:overflowPunct/>
              <w:topLinePunct w:val="0"/>
              <w:autoSpaceDE/>
              <w:autoSpaceDN/>
              <w:bidi w:val="0"/>
              <w:adjustRightInd/>
              <w:snapToGrid w:val="0"/>
              <w:spacing w:before="0" w:after="0" w:line="360" w:lineRule="auto"/>
              <w:ind w:firstLine="420" w:firstLineChars="200"/>
              <w:textAlignment w:val="auto"/>
              <w:rPr>
                <w:b w:val="0"/>
                <w:bCs w:val="0"/>
                <w:color w:val="auto"/>
                <w:sz w:val="21"/>
                <w:szCs w:val="21"/>
              </w:rPr>
            </w:pPr>
            <w:r>
              <w:rPr>
                <w:rFonts w:hint="eastAsia"/>
                <w:b w:val="0"/>
                <w:bCs w:val="0"/>
                <w:color w:val="auto"/>
                <w:sz w:val="21"/>
                <w:szCs w:val="21"/>
              </w:rPr>
              <w:t>项目位于江苏省泗阳经济开发区内，无需进行生态影响评价。</w:t>
            </w:r>
          </w:p>
          <w:p w14:paraId="453AF7E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color w:val="auto"/>
              </w:rPr>
            </w:pPr>
            <w:r>
              <w:rPr>
                <w:rFonts w:hint="default" w:ascii="Times New Roman" w:hAnsi="Times New Roman" w:eastAsia="宋体" w:cs="Times New Roman"/>
                <w:b/>
                <w:bCs/>
                <w:color w:val="auto"/>
                <w:kern w:val="2"/>
                <w:sz w:val="21"/>
                <w:szCs w:val="21"/>
                <w:lang w:val="en-US" w:eastAsia="zh-CN" w:bidi="ar-SA"/>
              </w:rPr>
              <w:t>9、</w:t>
            </w:r>
            <w:r>
              <w:rPr>
                <w:rFonts w:hint="eastAsia"/>
                <w:b/>
                <w:bCs/>
                <w:color w:val="auto"/>
                <w:szCs w:val="21"/>
              </w:rPr>
              <w:t>电磁辐射</w:t>
            </w:r>
          </w:p>
          <w:p w14:paraId="02463351">
            <w:pPr>
              <w:pStyle w:val="10"/>
              <w:spacing w:before="0" w:after="0" w:line="360" w:lineRule="auto"/>
              <w:ind w:right="0" w:firstLine="420" w:firstLineChars="200"/>
              <w:rPr>
                <w:color w:val="auto"/>
              </w:rPr>
            </w:pPr>
            <w:r>
              <w:rPr>
                <w:rFonts w:hint="eastAsia"/>
                <w:color w:val="auto"/>
                <w:sz w:val="21"/>
                <w:szCs w:val="22"/>
              </w:rPr>
              <w:t>本项目不涉及电磁辐射。</w:t>
            </w:r>
          </w:p>
          <w:p w14:paraId="5A2B535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b/>
                <w:bCs/>
                <w:color w:val="auto"/>
                <w:szCs w:val="21"/>
              </w:rPr>
            </w:pPr>
            <w:r>
              <w:rPr>
                <w:rFonts w:hint="default" w:ascii="Times New Roman" w:hAnsi="Times New Roman" w:eastAsia="宋体" w:cs="Times New Roman"/>
                <w:b/>
                <w:bCs/>
                <w:color w:val="auto"/>
                <w:kern w:val="2"/>
                <w:sz w:val="21"/>
                <w:szCs w:val="21"/>
                <w:lang w:val="en-US" w:eastAsia="zh-CN" w:bidi="ar-SA"/>
              </w:rPr>
              <w:t>10、</w:t>
            </w:r>
            <w:r>
              <w:rPr>
                <w:rFonts w:hint="eastAsia"/>
                <w:b/>
                <w:bCs/>
                <w:color w:val="auto"/>
                <w:szCs w:val="21"/>
              </w:rPr>
              <w:t>“三同时”验收一览表</w:t>
            </w:r>
          </w:p>
          <w:p w14:paraId="4B28EAD4">
            <w:pPr>
              <w:pStyle w:val="10"/>
              <w:adjustRightInd w:val="0"/>
              <w:spacing w:before="0" w:after="0" w:line="360" w:lineRule="auto"/>
              <w:ind w:right="0" w:firstLine="420" w:firstLineChars="200"/>
              <w:rPr>
                <w:color w:val="auto"/>
                <w:kern w:val="2"/>
                <w:sz w:val="21"/>
                <w:szCs w:val="24"/>
              </w:rPr>
            </w:pPr>
            <w:r>
              <w:rPr>
                <w:color w:val="auto"/>
                <w:kern w:val="2"/>
                <w:sz w:val="21"/>
                <w:szCs w:val="24"/>
              </w:rPr>
              <w:t>企业应严格执行建设项目</w:t>
            </w:r>
            <w:r>
              <w:rPr>
                <w:rFonts w:hint="eastAsia"/>
                <w:color w:val="auto"/>
                <w:kern w:val="2"/>
                <w:sz w:val="21"/>
                <w:szCs w:val="24"/>
              </w:rPr>
              <w:t>“三同时”</w:t>
            </w:r>
            <w:r>
              <w:rPr>
                <w:color w:val="auto"/>
                <w:kern w:val="2"/>
                <w:sz w:val="21"/>
                <w:szCs w:val="24"/>
              </w:rPr>
              <w:t>制度。根据我国有关建设项目环境保护管理制度的规定，建设项目的污染治理设施必须与主体工程</w:t>
            </w:r>
            <w:r>
              <w:rPr>
                <w:rFonts w:hint="eastAsia"/>
                <w:color w:val="auto"/>
                <w:kern w:val="2"/>
                <w:sz w:val="21"/>
                <w:szCs w:val="24"/>
              </w:rPr>
              <w:t>“同时设计、同时施工、同时投入运行”</w:t>
            </w:r>
            <w:r>
              <w:rPr>
                <w:color w:val="auto"/>
                <w:kern w:val="2"/>
                <w:sz w:val="21"/>
                <w:szCs w:val="24"/>
              </w:rPr>
              <w:t>。因此，项目的污染治理设施必须严格执行</w:t>
            </w:r>
            <w:r>
              <w:rPr>
                <w:rFonts w:hint="eastAsia"/>
                <w:color w:val="auto"/>
                <w:kern w:val="2"/>
                <w:sz w:val="21"/>
                <w:szCs w:val="24"/>
              </w:rPr>
              <w:t>“三同时”</w:t>
            </w:r>
            <w:r>
              <w:rPr>
                <w:color w:val="auto"/>
                <w:kern w:val="2"/>
                <w:sz w:val="21"/>
                <w:szCs w:val="24"/>
              </w:rPr>
              <w:t>制度，在各种污染治理设施未按要求完工之前，项目不得进行试生产，污染治理设施必须</w:t>
            </w:r>
            <w:r>
              <w:rPr>
                <w:rFonts w:hint="eastAsia"/>
                <w:color w:val="auto"/>
                <w:kern w:val="2"/>
                <w:sz w:val="21"/>
                <w:szCs w:val="24"/>
              </w:rPr>
              <w:t>经过自主</w:t>
            </w:r>
            <w:r>
              <w:rPr>
                <w:color w:val="auto"/>
                <w:kern w:val="2"/>
                <w:sz w:val="21"/>
                <w:szCs w:val="24"/>
              </w:rPr>
              <w:t>验收合格后方可投入正式运行，具体见表</w:t>
            </w:r>
            <w:r>
              <w:rPr>
                <w:rFonts w:hint="eastAsia"/>
                <w:color w:val="auto"/>
                <w:kern w:val="2"/>
                <w:sz w:val="21"/>
                <w:szCs w:val="24"/>
              </w:rPr>
              <w:t>4-</w:t>
            </w:r>
            <w:r>
              <w:rPr>
                <w:rFonts w:hint="eastAsia"/>
                <w:color w:val="auto"/>
                <w:kern w:val="2"/>
                <w:sz w:val="21"/>
                <w:szCs w:val="24"/>
                <w:lang w:val="en-US" w:eastAsia="zh-CN"/>
              </w:rPr>
              <w:t>37</w:t>
            </w:r>
            <w:r>
              <w:rPr>
                <w:color w:val="auto"/>
                <w:kern w:val="2"/>
                <w:sz w:val="21"/>
                <w:szCs w:val="24"/>
              </w:rPr>
              <w:t>。</w:t>
            </w:r>
          </w:p>
          <w:p w14:paraId="42F46620">
            <w:pPr>
              <w:widowControl/>
              <w:adjustRightInd w:val="0"/>
              <w:snapToGrid w:val="0"/>
              <w:spacing w:before="147" w:beforeLines="50"/>
              <w:jc w:val="center"/>
              <w:rPr>
                <w:rFonts w:hint="eastAsia"/>
                <w:b/>
                <w:bCs/>
                <w:color w:val="auto"/>
                <w:szCs w:val="21"/>
              </w:rPr>
            </w:pPr>
          </w:p>
          <w:p w14:paraId="7BC596A9">
            <w:pPr>
              <w:widowControl/>
              <w:adjustRightInd w:val="0"/>
              <w:snapToGrid w:val="0"/>
              <w:spacing w:before="147" w:beforeLines="50"/>
              <w:jc w:val="center"/>
              <w:rPr>
                <w:b/>
                <w:bCs/>
                <w:color w:val="auto"/>
                <w:szCs w:val="21"/>
              </w:rPr>
            </w:pPr>
            <w:r>
              <w:rPr>
                <w:rFonts w:hint="eastAsia"/>
                <w:b/>
                <w:bCs/>
                <w:color w:val="auto"/>
                <w:szCs w:val="21"/>
              </w:rPr>
              <w:t>表4-</w:t>
            </w:r>
            <w:r>
              <w:rPr>
                <w:rFonts w:hint="eastAsia"/>
                <w:b/>
                <w:bCs/>
                <w:color w:val="auto"/>
                <w:szCs w:val="21"/>
                <w:lang w:val="en-US" w:eastAsia="zh-CN"/>
              </w:rPr>
              <w:t xml:space="preserve">37 </w:t>
            </w:r>
            <w:r>
              <w:rPr>
                <w:rFonts w:hint="eastAsia"/>
                <w:b/>
                <w:bCs/>
                <w:color w:val="auto"/>
                <w:szCs w:val="21"/>
              </w:rPr>
              <w:t>“三同时”验收一览表</w:t>
            </w:r>
          </w:p>
          <w:tbl>
            <w:tblPr>
              <w:tblStyle w:val="3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37"/>
              <w:gridCol w:w="688"/>
              <w:gridCol w:w="752"/>
              <w:gridCol w:w="1440"/>
              <w:gridCol w:w="1884"/>
              <w:gridCol w:w="1848"/>
              <w:gridCol w:w="744"/>
              <w:gridCol w:w="541"/>
            </w:tblGrid>
            <w:tr w14:paraId="3EB09C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537" w:type="dxa"/>
                  <w:vAlign w:val="center"/>
                </w:tcPr>
                <w:p w14:paraId="6631D4D1">
                  <w:pPr>
                    <w:jc w:val="center"/>
                    <w:rPr>
                      <w:b/>
                      <w:color w:val="auto"/>
                      <w:szCs w:val="21"/>
                    </w:rPr>
                  </w:pPr>
                  <w:r>
                    <w:rPr>
                      <w:b/>
                      <w:color w:val="auto"/>
                      <w:szCs w:val="21"/>
                    </w:rPr>
                    <w:t>项目名称</w:t>
                  </w:r>
                </w:p>
              </w:tc>
              <w:tc>
                <w:tcPr>
                  <w:tcW w:w="7897" w:type="dxa"/>
                  <w:gridSpan w:val="7"/>
                  <w:vAlign w:val="center"/>
                </w:tcPr>
                <w:p w14:paraId="20BE46D8">
                  <w:pPr>
                    <w:jc w:val="center"/>
                    <w:rPr>
                      <w:b/>
                      <w:color w:val="auto"/>
                      <w:szCs w:val="21"/>
                    </w:rPr>
                  </w:pPr>
                  <w:r>
                    <w:rPr>
                      <w:rFonts w:hint="eastAsia"/>
                      <w:b/>
                      <w:bCs w:val="0"/>
                      <w:szCs w:val="21"/>
                    </w:rPr>
                    <w:t>年产4500万只中高档玻璃制品激光内雕、2000万中高档玻璃酒瓶直印深加工与800万中高档玻璃酒瓶热转印加工项目</w:t>
                  </w:r>
                </w:p>
              </w:tc>
            </w:tr>
            <w:tr w14:paraId="403609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37" w:type="dxa"/>
                  <w:vAlign w:val="center"/>
                </w:tcPr>
                <w:p w14:paraId="185F2817">
                  <w:pPr>
                    <w:jc w:val="center"/>
                    <w:rPr>
                      <w:b/>
                      <w:color w:val="auto"/>
                      <w:szCs w:val="21"/>
                    </w:rPr>
                  </w:pPr>
                  <w:r>
                    <w:rPr>
                      <w:b/>
                      <w:color w:val="auto"/>
                      <w:szCs w:val="21"/>
                    </w:rPr>
                    <w:t>类别</w:t>
                  </w:r>
                </w:p>
              </w:tc>
              <w:tc>
                <w:tcPr>
                  <w:tcW w:w="1440" w:type="dxa"/>
                  <w:gridSpan w:val="2"/>
                  <w:vAlign w:val="center"/>
                </w:tcPr>
                <w:p w14:paraId="1591C8E2">
                  <w:pPr>
                    <w:jc w:val="center"/>
                    <w:rPr>
                      <w:b/>
                      <w:color w:val="auto"/>
                      <w:szCs w:val="21"/>
                    </w:rPr>
                  </w:pPr>
                  <w:r>
                    <w:rPr>
                      <w:b/>
                      <w:color w:val="auto"/>
                      <w:szCs w:val="21"/>
                    </w:rPr>
                    <w:t>污染源</w:t>
                  </w:r>
                </w:p>
              </w:tc>
              <w:tc>
                <w:tcPr>
                  <w:tcW w:w="1440" w:type="dxa"/>
                  <w:vAlign w:val="center"/>
                </w:tcPr>
                <w:p w14:paraId="14D4475E">
                  <w:pPr>
                    <w:jc w:val="center"/>
                    <w:rPr>
                      <w:b/>
                      <w:color w:val="auto"/>
                      <w:szCs w:val="21"/>
                    </w:rPr>
                  </w:pPr>
                  <w:r>
                    <w:rPr>
                      <w:b/>
                      <w:color w:val="auto"/>
                      <w:szCs w:val="21"/>
                    </w:rPr>
                    <w:t>污染物</w:t>
                  </w:r>
                </w:p>
              </w:tc>
              <w:tc>
                <w:tcPr>
                  <w:tcW w:w="1884" w:type="dxa"/>
                  <w:vAlign w:val="center"/>
                </w:tcPr>
                <w:p w14:paraId="2EC29CA5">
                  <w:pPr>
                    <w:jc w:val="center"/>
                    <w:rPr>
                      <w:b/>
                      <w:color w:val="auto"/>
                      <w:szCs w:val="21"/>
                    </w:rPr>
                  </w:pPr>
                  <w:r>
                    <w:rPr>
                      <w:b/>
                      <w:color w:val="auto"/>
                      <w:szCs w:val="21"/>
                    </w:rPr>
                    <w:t>治理措施（建设数量、规模、处理能力等）</w:t>
                  </w:r>
                </w:p>
              </w:tc>
              <w:tc>
                <w:tcPr>
                  <w:tcW w:w="1848" w:type="dxa"/>
                  <w:vAlign w:val="center"/>
                </w:tcPr>
                <w:p w14:paraId="7B0021F5">
                  <w:pPr>
                    <w:jc w:val="center"/>
                    <w:rPr>
                      <w:b/>
                      <w:color w:val="auto"/>
                      <w:szCs w:val="21"/>
                    </w:rPr>
                  </w:pPr>
                  <w:r>
                    <w:rPr>
                      <w:b/>
                      <w:color w:val="auto"/>
                      <w:szCs w:val="21"/>
                    </w:rPr>
                    <w:t>处理效果、执行标准或拟达要求</w:t>
                  </w:r>
                </w:p>
              </w:tc>
              <w:tc>
                <w:tcPr>
                  <w:tcW w:w="744" w:type="dxa"/>
                  <w:vAlign w:val="center"/>
                </w:tcPr>
                <w:p w14:paraId="4F23A0CD">
                  <w:pPr>
                    <w:jc w:val="center"/>
                    <w:rPr>
                      <w:b/>
                      <w:color w:val="auto"/>
                      <w:szCs w:val="21"/>
                    </w:rPr>
                  </w:pPr>
                  <w:r>
                    <w:rPr>
                      <w:b/>
                      <w:color w:val="auto"/>
                      <w:szCs w:val="21"/>
                    </w:rPr>
                    <w:t>环保投资（万元）</w:t>
                  </w:r>
                </w:p>
              </w:tc>
              <w:tc>
                <w:tcPr>
                  <w:tcW w:w="541" w:type="dxa"/>
                  <w:vAlign w:val="center"/>
                </w:tcPr>
                <w:p w14:paraId="24DCA86C">
                  <w:pPr>
                    <w:jc w:val="center"/>
                    <w:rPr>
                      <w:b/>
                      <w:color w:val="auto"/>
                      <w:szCs w:val="21"/>
                    </w:rPr>
                  </w:pPr>
                  <w:r>
                    <w:rPr>
                      <w:b/>
                      <w:color w:val="auto"/>
                      <w:szCs w:val="21"/>
                    </w:rPr>
                    <w:t>完成时间</w:t>
                  </w:r>
                </w:p>
              </w:tc>
            </w:tr>
            <w:tr w14:paraId="767C65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37" w:type="dxa"/>
                  <w:vMerge w:val="restart"/>
                  <w:vAlign w:val="center"/>
                </w:tcPr>
                <w:p w14:paraId="7423041E">
                  <w:pPr>
                    <w:jc w:val="center"/>
                    <w:rPr>
                      <w:color w:val="auto"/>
                      <w:szCs w:val="21"/>
                    </w:rPr>
                  </w:pPr>
                  <w:r>
                    <w:rPr>
                      <w:color w:val="auto"/>
                      <w:szCs w:val="21"/>
                    </w:rPr>
                    <w:t>废水</w:t>
                  </w:r>
                </w:p>
              </w:tc>
              <w:tc>
                <w:tcPr>
                  <w:tcW w:w="1440" w:type="dxa"/>
                  <w:gridSpan w:val="2"/>
                  <w:shd w:val="clear" w:color="auto" w:fill="auto"/>
                  <w:vAlign w:val="center"/>
                </w:tcPr>
                <w:p w14:paraId="7E61DC65">
                  <w:pPr>
                    <w:keepNext w:val="0"/>
                    <w:keepLines w:val="0"/>
                    <w:pageBreakBefore w:val="0"/>
                    <w:kinsoku/>
                    <w:wordWrap/>
                    <w:overflowPunct/>
                    <w:topLinePunct w:val="0"/>
                    <w:autoSpaceDE/>
                    <w:autoSpaceDN/>
                    <w:bidi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生活污水</w:t>
                  </w:r>
                </w:p>
              </w:tc>
              <w:tc>
                <w:tcPr>
                  <w:tcW w:w="1440" w:type="dxa"/>
                  <w:shd w:val="clear" w:color="auto" w:fill="auto"/>
                  <w:vAlign w:val="center"/>
                </w:tcPr>
                <w:p w14:paraId="0B51054E">
                  <w:pPr>
                    <w:keepNext w:val="0"/>
                    <w:keepLines w:val="0"/>
                    <w:pageBreakBefore w:val="0"/>
                    <w:widowControl/>
                    <w:kinsoku/>
                    <w:wordWrap/>
                    <w:overflowPunct/>
                    <w:topLinePunct w:val="0"/>
                    <w:autoSpaceDE/>
                    <w:autoSpaceDN/>
                    <w:bidi w:val="0"/>
                    <w:adjustRightIn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pH</w:t>
                  </w:r>
                  <w:r>
                    <w:rPr>
                      <w:rFonts w:hint="eastAsia"/>
                      <w:color w:val="auto"/>
                      <w:szCs w:val="21"/>
                      <w:lang w:eastAsia="zh-CN"/>
                    </w:rPr>
                    <w:t>、</w:t>
                  </w:r>
                  <w:r>
                    <w:rPr>
                      <w:color w:val="auto"/>
                      <w:szCs w:val="21"/>
                    </w:rPr>
                    <w:t>COD、</w:t>
                  </w:r>
                  <w:r>
                    <w:rPr>
                      <w:rFonts w:hint="eastAsia"/>
                      <w:color w:val="auto"/>
                      <w:szCs w:val="21"/>
                      <w:lang w:val="en-US" w:eastAsia="zh-CN"/>
                    </w:rPr>
                    <w:t>BOD</w:t>
                  </w:r>
                  <w:r>
                    <w:rPr>
                      <w:rFonts w:hint="eastAsia"/>
                      <w:color w:val="auto"/>
                      <w:szCs w:val="21"/>
                      <w:vertAlign w:val="subscript"/>
                      <w:lang w:val="en-US" w:eastAsia="zh-CN"/>
                    </w:rPr>
                    <w:t>5</w:t>
                  </w:r>
                  <w:r>
                    <w:rPr>
                      <w:rFonts w:hint="eastAsia"/>
                      <w:color w:val="auto"/>
                      <w:szCs w:val="21"/>
                      <w:lang w:val="en-US" w:eastAsia="zh-CN"/>
                    </w:rPr>
                    <w:t>、</w:t>
                  </w:r>
                  <w:r>
                    <w:rPr>
                      <w:color w:val="auto"/>
                      <w:szCs w:val="21"/>
                    </w:rPr>
                    <w:t>SS、NH</w:t>
                  </w:r>
                  <w:r>
                    <w:rPr>
                      <w:color w:val="auto"/>
                      <w:szCs w:val="21"/>
                      <w:vertAlign w:val="subscript"/>
                    </w:rPr>
                    <w:t>3</w:t>
                  </w:r>
                  <w:r>
                    <w:rPr>
                      <w:color w:val="auto"/>
                      <w:szCs w:val="21"/>
                    </w:rPr>
                    <w:t>-N、TN、TP</w:t>
                  </w:r>
                </w:p>
              </w:tc>
              <w:tc>
                <w:tcPr>
                  <w:tcW w:w="1884" w:type="dxa"/>
                  <w:shd w:val="clear" w:color="auto" w:fill="auto"/>
                  <w:vAlign w:val="center"/>
                </w:tcPr>
                <w:p w14:paraId="3E45497E">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化粪池</w:t>
                  </w:r>
                </w:p>
              </w:tc>
              <w:tc>
                <w:tcPr>
                  <w:tcW w:w="1848" w:type="dxa"/>
                  <w:vMerge w:val="restart"/>
                  <w:vAlign w:val="center"/>
                </w:tcPr>
                <w:p w14:paraId="03213D8B">
                  <w:pPr>
                    <w:jc w:val="center"/>
                    <w:rPr>
                      <w:bCs/>
                      <w:color w:val="auto"/>
                      <w:szCs w:val="21"/>
                    </w:rPr>
                  </w:pPr>
                  <w:r>
                    <w:rPr>
                      <w:rFonts w:hint="eastAsia"/>
                      <w:bCs/>
                      <w:color w:val="auto"/>
                      <w:szCs w:val="21"/>
                      <w:lang w:val="en-US" w:eastAsia="zh-CN"/>
                    </w:rPr>
                    <w:t>城东污水处理厂二期接管标准</w:t>
                  </w:r>
                </w:p>
              </w:tc>
              <w:tc>
                <w:tcPr>
                  <w:tcW w:w="744" w:type="dxa"/>
                  <w:vAlign w:val="center"/>
                </w:tcPr>
                <w:p w14:paraId="2D42BE03">
                  <w:pPr>
                    <w:pStyle w:val="110"/>
                    <w:spacing w:line="240" w:lineRule="auto"/>
                    <w:ind w:left="0" w:leftChars="0" w:firstLine="0" w:firstLineChars="0"/>
                    <w:jc w:val="center"/>
                    <w:rPr>
                      <w:rFonts w:hint="eastAsia" w:eastAsia="宋体"/>
                      <w:color w:val="auto"/>
                      <w:szCs w:val="21"/>
                      <w:lang w:eastAsia="zh-CN"/>
                    </w:rPr>
                  </w:pPr>
                  <w:r>
                    <w:rPr>
                      <w:rFonts w:hint="eastAsia"/>
                      <w:color w:val="auto"/>
                      <w:szCs w:val="21"/>
                      <w:lang w:val="en-US" w:eastAsia="zh-CN"/>
                    </w:rPr>
                    <w:t>依托现有</w:t>
                  </w:r>
                </w:p>
              </w:tc>
              <w:tc>
                <w:tcPr>
                  <w:tcW w:w="541" w:type="dxa"/>
                  <w:vMerge w:val="restart"/>
                  <w:vAlign w:val="center"/>
                </w:tcPr>
                <w:p w14:paraId="74803BA0">
                  <w:pPr>
                    <w:jc w:val="center"/>
                    <w:rPr>
                      <w:color w:val="auto"/>
                      <w:szCs w:val="21"/>
                    </w:rPr>
                  </w:pPr>
                  <w:r>
                    <w:rPr>
                      <w:color w:val="auto"/>
                      <w:szCs w:val="21"/>
                    </w:rPr>
                    <w:t>与建设项目主体工程同时设计、同时施工、同时投产使用</w:t>
                  </w:r>
                </w:p>
              </w:tc>
            </w:tr>
            <w:tr w14:paraId="3F859F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37" w:type="dxa"/>
                  <w:vMerge w:val="continue"/>
                  <w:vAlign w:val="center"/>
                </w:tcPr>
                <w:p w14:paraId="1D0BB474">
                  <w:pPr>
                    <w:jc w:val="center"/>
                    <w:rPr>
                      <w:color w:val="auto"/>
                      <w:szCs w:val="21"/>
                    </w:rPr>
                  </w:pPr>
                </w:p>
              </w:tc>
              <w:tc>
                <w:tcPr>
                  <w:tcW w:w="1440" w:type="dxa"/>
                  <w:gridSpan w:val="2"/>
                  <w:shd w:val="clear" w:color="auto" w:fill="auto"/>
                  <w:vAlign w:val="center"/>
                </w:tcPr>
                <w:p w14:paraId="650BD8E1">
                  <w:pPr>
                    <w:keepNext w:val="0"/>
                    <w:keepLines w:val="0"/>
                    <w:pageBreakBefore w:val="0"/>
                    <w:kinsoku/>
                    <w:wordWrap/>
                    <w:overflowPunct/>
                    <w:topLinePunct w:val="0"/>
                    <w:autoSpaceDE/>
                    <w:autoSpaceDN/>
                    <w:bidi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生产废水</w:t>
                  </w:r>
                </w:p>
              </w:tc>
              <w:tc>
                <w:tcPr>
                  <w:tcW w:w="1440" w:type="dxa"/>
                  <w:shd w:val="clear" w:color="auto" w:fill="auto"/>
                  <w:vAlign w:val="center"/>
                </w:tcPr>
                <w:p w14:paraId="5E7C1C86">
                  <w:pPr>
                    <w:keepNext w:val="0"/>
                    <w:keepLines w:val="0"/>
                    <w:pageBreakBefore w:val="0"/>
                    <w:widowControl/>
                    <w:kinsoku/>
                    <w:wordWrap/>
                    <w:overflowPunct/>
                    <w:topLinePunct w:val="0"/>
                    <w:autoSpaceDE/>
                    <w:autoSpaceDN/>
                    <w:bidi w:val="0"/>
                    <w:adjustRightIn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pH</w:t>
                  </w:r>
                  <w:r>
                    <w:rPr>
                      <w:rFonts w:hint="eastAsia"/>
                      <w:color w:val="auto"/>
                      <w:szCs w:val="21"/>
                      <w:lang w:eastAsia="zh-CN"/>
                    </w:rPr>
                    <w:t>、</w:t>
                  </w:r>
                  <w:r>
                    <w:rPr>
                      <w:color w:val="auto"/>
                      <w:szCs w:val="21"/>
                    </w:rPr>
                    <w:t>COD、</w:t>
                  </w:r>
                  <w:r>
                    <w:rPr>
                      <w:rFonts w:hint="eastAsia"/>
                      <w:color w:val="auto"/>
                      <w:szCs w:val="21"/>
                      <w:lang w:val="en-US" w:eastAsia="zh-CN"/>
                    </w:rPr>
                    <w:t>BOD</w:t>
                  </w:r>
                  <w:r>
                    <w:rPr>
                      <w:rFonts w:hint="eastAsia"/>
                      <w:color w:val="auto"/>
                      <w:szCs w:val="21"/>
                      <w:vertAlign w:val="subscript"/>
                      <w:lang w:val="en-US" w:eastAsia="zh-CN"/>
                    </w:rPr>
                    <w:t>5</w:t>
                  </w:r>
                  <w:r>
                    <w:rPr>
                      <w:rFonts w:hint="eastAsia"/>
                      <w:color w:val="auto"/>
                      <w:szCs w:val="21"/>
                      <w:lang w:val="en-US" w:eastAsia="zh-CN"/>
                    </w:rPr>
                    <w:t>、</w:t>
                  </w:r>
                  <w:r>
                    <w:rPr>
                      <w:color w:val="auto"/>
                      <w:szCs w:val="21"/>
                    </w:rPr>
                    <w:t>SS、NH</w:t>
                  </w:r>
                  <w:r>
                    <w:rPr>
                      <w:color w:val="auto"/>
                      <w:szCs w:val="21"/>
                      <w:vertAlign w:val="subscript"/>
                    </w:rPr>
                    <w:t>3</w:t>
                  </w:r>
                  <w:r>
                    <w:rPr>
                      <w:color w:val="auto"/>
                      <w:szCs w:val="21"/>
                    </w:rPr>
                    <w:t>-N、TN、TP</w:t>
                  </w:r>
                  <w:r>
                    <w:rPr>
                      <w:rFonts w:hint="eastAsia"/>
                      <w:color w:val="auto"/>
                      <w:szCs w:val="21"/>
                      <w:lang w:eastAsia="zh-CN"/>
                    </w:rPr>
                    <w:t>、</w:t>
                  </w:r>
                  <w:r>
                    <w:rPr>
                      <w:rFonts w:hint="eastAsia" w:ascii="Times New Roman" w:hAnsi="Times New Roman" w:eastAsia="宋体" w:cs="Times New Roman"/>
                      <w:color w:val="auto"/>
                      <w:szCs w:val="21"/>
                      <w:lang w:val="en-US" w:eastAsia="zh-CN"/>
                    </w:rPr>
                    <w:t>氟化物</w:t>
                  </w:r>
                </w:p>
              </w:tc>
              <w:tc>
                <w:tcPr>
                  <w:tcW w:w="1884" w:type="dxa"/>
                  <w:shd w:val="clear" w:color="auto" w:fill="auto"/>
                  <w:vAlign w:val="center"/>
                </w:tcPr>
                <w:p w14:paraId="44265297">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污水处理装置</w:t>
                  </w:r>
                </w:p>
              </w:tc>
              <w:tc>
                <w:tcPr>
                  <w:tcW w:w="1848" w:type="dxa"/>
                  <w:vMerge w:val="continue"/>
                  <w:vAlign w:val="center"/>
                </w:tcPr>
                <w:p w14:paraId="462BA4A6">
                  <w:pPr>
                    <w:jc w:val="center"/>
                    <w:rPr>
                      <w:rFonts w:hint="eastAsia"/>
                      <w:bCs/>
                      <w:color w:val="auto"/>
                      <w:szCs w:val="21"/>
                    </w:rPr>
                  </w:pPr>
                </w:p>
              </w:tc>
              <w:tc>
                <w:tcPr>
                  <w:tcW w:w="744" w:type="dxa"/>
                  <w:vAlign w:val="center"/>
                </w:tcPr>
                <w:p w14:paraId="670DD693">
                  <w:pPr>
                    <w:pStyle w:val="110"/>
                    <w:spacing w:line="240" w:lineRule="auto"/>
                    <w:ind w:left="0" w:leftChars="0" w:firstLine="0" w:firstLineChars="0"/>
                    <w:jc w:val="center"/>
                    <w:rPr>
                      <w:rFonts w:hint="default" w:eastAsia="宋体"/>
                      <w:color w:val="auto"/>
                      <w:szCs w:val="21"/>
                      <w:lang w:val="en-US" w:eastAsia="zh-CN"/>
                    </w:rPr>
                  </w:pPr>
                  <w:r>
                    <w:rPr>
                      <w:rFonts w:hint="eastAsia"/>
                      <w:color w:val="auto"/>
                      <w:szCs w:val="21"/>
                      <w:lang w:val="en-US" w:eastAsia="zh-CN"/>
                    </w:rPr>
                    <w:t>8</w:t>
                  </w:r>
                </w:p>
              </w:tc>
              <w:tc>
                <w:tcPr>
                  <w:tcW w:w="541" w:type="dxa"/>
                  <w:vMerge w:val="continue"/>
                  <w:vAlign w:val="center"/>
                </w:tcPr>
                <w:p w14:paraId="1FF5B1F6">
                  <w:pPr>
                    <w:jc w:val="center"/>
                    <w:rPr>
                      <w:color w:val="auto"/>
                      <w:szCs w:val="21"/>
                    </w:rPr>
                  </w:pPr>
                </w:p>
              </w:tc>
            </w:tr>
            <w:tr w14:paraId="04838B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67" w:hRule="atLeast"/>
                <w:jc w:val="center"/>
              </w:trPr>
              <w:tc>
                <w:tcPr>
                  <w:tcW w:w="537" w:type="dxa"/>
                  <w:vMerge w:val="restart"/>
                  <w:vAlign w:val="center"/>
                </w:tcPr>
                <w:p w14:paraId="68CC5D1D">
                  <w:pPr>
                    <w:jc w:val="center"/>
                    <w:rPr>
                      <w:color w:val="auto"/>
                      <w:szCs w:val="21"/>
                    </w:rPr>
                  </w:pPr>
                  <w:r>
                    <w:rPr>
                      <w:color w:val="auto"/>
                      <w:szCs w:val="21"/>
                    </w:rPr>
                    <w:t>废气</w:t>
                  </w:r>
                </w:p>
              </w:tc>
              <w:tc>
                <w:tcPr>
                  <w:tcW w:w="688" w:type="dxa"/>
                  <w:vMerge w:val="restart"/>
                  <w:shd w:val="clear" w:color="auto" w:fill="auto"/>
                  <w:vAlign w:val="center"/>
                </w:tcPr>
                <w:p w14:paraId="0FA1CCDA">
                  <w:pPr>
                    <w:adjustRightInd w:val="0"/>
                    <w:snapToGrid w:val="0"/>
                    <w:jc w:val="center"/>
                    <w:rPr>
                      <w:rStyle w:val="111"/>
                      <w:rFonts w:hint="default" w:ascii="Times New Roman" w:hAnsi="Times New Roman" w:cs="Times New Roman"/>
                      <w:bCs/>
                      <w:color w:val="auto"/>
                      <w:lang w:bidi="ar"/>
                    </w:rPr>
                  </w:pPr>
                  <w:r>
                    <w:rPr>
                      <w:rFonts w:hint="eastAsia"/>
                      <w:color w:val="auto"/>
                      <w:szCs w:val="21"/>
                      <w:lang w:val="en-US" w:eastAsia="zh-CN"/>
                    </w:rPr>
                    <w:t>有组织</w:t>
                  </w:r>
                </w:p>
              </w:tc>
              <w:tc>
                <w:tcPr>
                  <w:tcW w:w="752" w:type="dxa"/>
                  <w:shd w:val="clear" w:color="auto" w:fill="auto"/>
                  <w:vAlign w:val="center"/>
                </w:tcPr>
                <w:p w14:paraId="32BA2C0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DA002</w:t>
                  </w:r>
                </w:p>
              </w:tc>
              <w:tc>
                <w:tcPr>
                  <w:tcW w:w="1440" w:type="dxa"/>
                  <w:shd w:val="clear" w:color="auto" w:fill="auto"/>
                  <w:vAlign w:val="center"/>
                </w:tcPr>
                <w:p w14:paraId="267F7AF3">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NMHC</w:t>
                  </w:r>
                </w:p>
              </w:tc>
              <w:tc>
                <w:tcPr>
                  <w:tcW w:w="1884" w:type="dxa"/>
                  <w:shd w:val="clear" w:color="auto" w:fill="auto"/>
                  <w:vAlign w:val="center"/>
                </w:tcPr>
                <w:p w14:paraId="74B11018">
                  <w:pPr>
                    <w:pStyle w:val="112"/>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rPr>
                    <w:t>水喷淋+二级干式过滤+活性炭吸附脱附+催化燃烧</w:t>
                  </w:r>
                </w:p>
              </w:tc>
              <w:tc>
                <w:tcPr>
                  <w:tcW w:w="1848" w:type="dxa"/>
                  <w:vMerge w:val="restart"/>
                  <w:vAlign w:val="center"/>
                </w:tcPr>
                <w:p w14:paraId="00C6C986">
                  <w:pPr>
                    <w:pStyle w:val="10"/>
                    <w:spacing w:before="0" w:after="0" w:line="240" w:lineRule="auto"/>
                    <w:ind w:right="0"/>
                    <w:jc w:val="center"/>
                    <w:rPr>
                      <w:color w:val="auto"/>
                    </w:rPr>
                  </w:pPr>
                  <w:r>
                    <w:rPr>
                      <w:rFonts w:hint="default" w:ascii="Times New Roman" w:hAnsi="Times New Roman" w:eastAsia="宋体" w:cs="Times New Roman"/>
                      <w:color w:val="auto"/>
                      <w:sz w:val="21"/>
                      <w:szCs w:val="21"/>
                      <w:highlight w:val="none"/>
                      <w:lang w:val="en-US" w:eastAsia="zh-CN"/>
                    </w:rPr>
                    <w:t>《印刷工业大气污染物排放标准》（DB32/4438-2022</w:t>
                  </w:r>
                  <w:r>
                    <w:rPr>
                      <w:rFonts w:hint="eastAsia" w:ascii="Times New Roman" w:hAnsi="Times New Roman" w:eastAsia="宋体" w:cs="Times New Roman"/>
                      <w:color w:val="auto"/>
                      <w:sz w:val="21"/>
                      <w:szCs w:val="21"/>
                      <w:highlight w:val="none"/>
                      <w:lang w:val="en-US" w:eastAsia="zh-CN"/>
                    </w:rPr>
                    <w:t>）</w:t>
                  </w:r>
                </w:p>
              </w:tc>
              <w:tc>
                <w:tcPr>
                  <w:tcW w:w="744" w:type="dxa"/>
                  <w:vMerge w:val="restart"/>
                  <w:vAlign w:val="center"/>
                </w:tcPr>
                <w:p w14:paraId="3125343E">
                  <w:pPr>
                    <w:pStyle w:val="110"/>
                    <w:spacing w:line="240" w:lineRule="auto"/>
                    <w:ind w:left="0" w:leftChars="0" w:firstLine="0" w:firstLineChars="0"/>
                    <w:jc w:val="center"/>
                    <w:rPr>
                      <w:rFonts w:hint="eastAsia" w:eastAsia="宋体"/>
                      <w:bCs/>
                      <w:color w:val="auto"/>
                      <w:lang w:val="en-US" w:eastAsia="zh-CN"/>
                    </w:rPr>
                  </w:pPr>
                  <w:r>
                    <w:rPr>
                      <w:rFonts w:hint="eastAsia"/>
                      <w:bCs/>
                      <w:color w:val="auto"/>
                      <w:lang w:val="en-US" w:eastAsia="zh-CN"/>
                    </w:rPr>
                    <w:t>8</w:t>
                  </w:r>
                </w:p>
              </w:tc>
              <w:tc>
                <w:tcPr>
                  <w:tcW w:w="541" w:type="dxa"/>
                  <w:vMerge w:val="continue"/>
                  <w:vAlign w:val="center"/>
                </w:tcPr>
                <w:p w14:paraId="42B5A7EE">
                  <w:pPr>
                    <w:jc w:val="center"/>
                    <w:rPr>
                      <w:color w:val="auto"/>
                      <w:szCs w:val="21"/>
                    </w:rPr>
                  </w:pPr>
                </w:p>
              </w:tc>
            </w:tr>
            <w:tr w14:paraId="0DCEDB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67" w:hRule="atLeast"/>
                <w:jc w:val="center"/>
              </w:trPr>
              <w:tc>
                <w:tcPr>
                  <w:tcW w:w="537" w:type="dxa"/>
                  <w:vMerge w:val="continue"/>
                  <w:vAlign w:val="center"/>
                </w:tcPr>
                <w:p w14:paraId="20511BBE">
                  <w:pPr>
                    <w:jc w:val="center"/>
                    <w:rPr>
                      <w:color w:val="auto"/>
                      <w:szCs w:val="21"/>
                    </w:rPr>
                  </w:pPr>
                </w:p>
              </w:tc>
              <w:tc>
                <w:tcPr>
                  <w:tcW w:w="688" w:type="dxa"/>
                  <w:vMerge w:val="continue"/>
                  <w:vAlign w:val="center"/>
                </w:tcPr>
                <w:p w14:paraId="3D87C4E2">
                  <w:pPr>
                    <w:widowControl/>
                    <w:jc w:val="center"/>
                    <w:textAlignment w:val="center"/>
                    <w:rPr>
                      <w:rStyle w:val="111"/>
                      <w:rFonts w:hint="default" w:ascii="Times New Roman" w:hAnsi="Times New Roman" w:cs="Times New Roman"/>
                      <w:bCs/>
                      <w:color w:val="auto"/>
                      <w:lang w:bidi="ar"/>
                    </w:rPr>
                  </w:pPr>
                </w:p>
              </w:tc>
              <w:tc>
                <w:tcPr>
                  <w:tcW w:w="752" w:type="dxa"/>
                  <w:shd w:val="clear" w:color="auto" w:fill="auto"/>
                  <w:vAlign w:val="center"/>
                </w:tcPr>
                <w:p w14:paraId="5E8406DC">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DA005</w:t>
                  </w:r>
                </w:p>
              </w:tc>
              <w:tc>
                <w:tcPr>
                  <w:tcW w:w="1440" w:type="dxa"/>
                  <w:shd w:val="clear" w:color="auto" w:fill="auto"/>
                  <w:vAlign w:val="center"/>
                </w:tcPr>
                <w:p w14:paraId="5B583FF8">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NMHC</w:t>
                  </w:r>
                </w:p>
              </w:tc>
              <w:tc>
                <w:tcPr>
                  <w:tcW w:w="1884" w:type="dxa"/>
                  <w:shd w:val="clear" w:color="auto" w:fill="auto"/>
                  <w:vAlign w:val="center"/>
                </w:tcPr>
                <w:p w14:paraId="3B766E0F">
                  <w:pPr>
                    <w:pStyle w:val="112"/>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lang w:val="en-US" w:eastAsia="zh-CN"/>
                    </w:rPr>
                    <w:t>二级</w:t>
                  </w:r>
                  <w:r>
                    <w:rPr>
                      <w:rFonts w:hint="default" w:ascii="Times New Roman" w:hAnsi="Times New Roman" w:cs="Times New Roman"/>
                    </w:rPr>
                    <w:t>活性炭吸附</w:t>
                  </w:r>
                </w:p>
              </w:tc>
              <w:tc>
                <w:tcPr>
                  <w:tcW w:w="1848" w:type="dxa"/>
                  <w:vMerge w:val="continue"/>
                  <w:vAlign w:val="center"/>
                </w:tcPr>
                <w:p w14:paraId="0240A8C5">
                  <w:pPr>
                    <w:pStyle w:val="10"/>
                    <w:spacing w:before="0" w:after="0" w:line="240" w:lineRule="auto"/>
                    <w:ind w:right="0"/>
                    <w:jc w:val="center"/>
                    <w:rPr>
                      <w:color w:val="auto"/>
                    </w:rPr>
                  </w:pPr>
                </w:p>
              </w:tc>
              <w:tc>
                <w:tcPr>
                  <w:tcW w:w="744" w:type="dxa"/>
                  <w:vMerge w:val="continue"/>
                  <w:vAlign w:val="center"/>
                </w:tcPr>
                <w:p w14:paraId="668AF9D0">
                  <w:pPr>
                    <w:pStyle w:val="110"/>
                    <w:spacing w:line="240" w:lineRule="auto"/>
                    <w:ind w:left="0" w:leftChars="0" w:firstLine="0" w:firstLineChars="0"/>
                    <w:jc w:val="center"/>
                    <w:rPr>
                      <w:rFonts w:hint="eastAsia"/>
                      <w:bCs/>
                      <w:color w:val="auto"/>
                    </w:rPr>
                  </w:pPr>
                </w:p>
              </w:tc>
              <w:tc>
                <w:tcPr>
                  <w:tcW w:w="541" w:type="dxa"/>
                  <w:vMerge w:val="continue"/>
                  <w:vAlign w:val="center"/>
                </w:tcPr>
                <w:p w14:paraId="6588B186">
                  <w:pPr>
                    <w:jc w:val="center"/>
                    <w:rPr>
                      <w:color w:val="auto"/>
                      <w:szCs w:val="21"/>
                    </w:rPr>
                  </w:pPr>
                </w:p>
              </w:tc>
            </w:tr>
            <w:tr w14:paraId="7CF0FC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67" w:hRule="atLeast"/>
                <w:jc w:val="center"/>
              </w:trPr>
              <w:tc>
                <w:tcPr>
                  <w:tcW w:w="537" w:type="dxa"/>
                  <w:vMerge w:val="continue"/>
                  <w:vAlign w:val="center"/>
                </w:tcPr>
                <w:p w14:paraId="4817E337">
                  <w:pPr>
                    <w:jc w:val="center"/>
                    <w:rPr>
                      <w:color w:val="auto"/>
                      <w:szCs w:val="21"/>
                    </w:rPr>
                  </w:pPr>
                </w:p>
              </w:tc>
              <w:tc>
                <w:tcPr>
                  <w:tcW w:w="688" w:type="dxa"/>
                  <w:vMerge w:val="restart"/>
                  <w:shd w:val="clear" w:color="auto" w:fill="auto"/>
                  <w:vAlign w:val="center"/>
                </w:tcPr>
                <w:p w14:paraId="64D99F9B">
                  <w:pPr>
                    <w:adjustRightInd w:val="0"/>
                    <w:snapToGrid w:val="0"/>
                    <w:jc w:val="center"/>
                    <w:rPr>
                      <w:rStyle w:val="111"/>
                      <w:rFonts w:hint="default" w:ascii="Times New Roman" w:hAnsi="Times New Roman" w:cs="Times New Roman"/>
                      <w:bCs/>
                      <w:color w:val="auto"/>
                      <w:lang w:bidi="ar"/>
                    </w:rPr>
                  </w:pPr>
                  <w:r>
                    <w:rPr>
                      <w:rFonts w:hint="eastAsia"/>
                      <w:color w:val="auto"/>
                      <w:szCs w:val="21"/>
                      <w:lang w:val="en-US" w:eastAsia="zh-CN"/>
                    </w:rPr>
                    <w:t>无组织</w:t>
                  </w:r>
                </w:p>
              </w:tc>
              <w:tc>
                <w:tcPr>
                  <w:tcW w:w="752" w:type="dxa"/>
                  <w:shd w:val="clear" w:color="auto" w:fill="auto"/>
                  <w:vAlign w:val="center"/>
                </w:tcPr>
                <w:p w14:paraId="7FE4F4F0">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厂界</w:t>
                  </w:r>
                </w:p>
              </w:tc>
              <w:tc>
                <w:tcPr>
                  <w:tcW w:w="1440" w:type="dxa"/>
                  <w:shd w:val="clear" w:color="auto" w:fill="auto"/>
                  <w:vAlign w:val="center"/>
                </w:tcPr>
                <w:p w14:paraId="78A66BD3">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NMHC</w:t>
                  </w:r>
                </w:p>
              </w:tc>
              <w:tc>
                <w:tcPr>
                  <w:tcW w:w="1884" w:type="dxa"/>
                  <w:shd w:val="clear" w:color="auto" w:fill="auto"/>
                  <w:vAlign w:val="center"/>
                </w:tcPr>
                <w:p w14:paraId="05206231">
                  <w:pPr>
                    <w:pStyle w:val="112"/>
                    <w:rPr>
                      <w:rFonts w:hint="eastAsia" w:ascii="Times New Roman" w:hAnsi="Times New Roman" w:eastAsia="宋体" w:cs="Times New Roman"/>
                      <w:color w:val="auto"/>
                      <w:kern w:val="2"/>
                      <w:sz w:val="21"/>
                      <w:szCs w:val="21"/>
                      <w:lang w:val="en-US" w:eastAsia="zh-CN" w:bidi="ar-SA"/>
                    </w:rPr>
                  </w:pPr>
                  <w:r>
                    <w:rPr>
                      <w:color w:val="auto"/>
                      <w:spacing w:val="-10"/>
                      <w:szCs w:val="21"/>
                    </w:rPr>
                    <w:t>提高</w:t>
                  </w:r>
                  <w:r>
                    <w:rPr>
                      <w:rFonts w:hint="eastAsia"/>
                      <w:color w:val="auto"/>
                      <w:spacing w:val="-10"/>
                      <w:szCs w:val="21"/>
                    </w:rPr>
                    <w:t>废气</w:t>
                  </w:r>
                  <w:r>
                    <w:rPr>
                      <w:color w:val="auto"/>
                      <w:spacing w:val="-10"/>
                      <w:szCs w:val="21"/>
                    </w:rPr>
                    <w:t>收集效率</w:t>
                  </w:r>
                  <w:r>
                    <w:rPr>
                      <w:rFonts w:hint="eastAsia"/>
                      <w:color w:val="auto"/>
                      <w:spacing w:val="-10"/>
                      <w:szCs w:val="21"/>
                    </w:rPr>
                    <w:t>，增加绿化</w:t>
                  </w:r>
                </w:p>
              </w:tc>
              <w:tc>
                <w:tcPr>
                  <w:tcW w:w="1848" w:type="dxa"/>
                  <w:vAlign w:val="center"/>
                </w:tcPr>
                <w:p w14:paraId="5C814373">
                  <w:pPr>
                    <w:pStyle w:val="10"/>
                    <w:spacing w:before="0" w:after="0" w:line="240" w:lineRule="auto"/>
                    <w:ind w:right="0"/>
                    <w:jc w:val="center"/>
                    <w:rPr>
                      <w:color w:val="auto"/>
                    </w:rPr>
                  </w:pPr>
                  <w:r>
                    <w:rPr>
                      <w:rFonts w:hint="default" w:ascii="Times New Roman" w:hAnsi="Times New Roman" w:cs="Times New Roman"/>
                      <w:color w:val="auto"/>
                      <w:sz w:val="21"/>
                      <w:szCs w:val="21"/>
                      <w:highlight w:val="none"/>
                    </w:rPr>
                    <w:t>《大气污染物综合排放标准》（DB32/4041-2021）</w:t>
                  </w:r>
                </w:p>
              </w:tc>
              <w:tc>
                <w:tcPr>
                  <w:tcW w:w="744" w:type="dxa"/>
                  <w:vMerge w:val="continue"/>
                  <w:vAlign w:val="center"/>
                </w:tcPr>
                <w:p w14:paraId="1F8C148C">
                  <w:pPr>
                    <w:pStyle w:val="110"/>
                    <w:spacing w:line="240" w:lineRule="auto"/>
                    <w:ind w:left="0" w:leftChars="0" w:firstLine="0" w:firstLineChars="0"/>
                    <w:jc w:val="center"/>
                    <w:rPr>
                      <w:rFonts w:hint="eastAsia"/>
                      <w:bCs/>
                      <w:color w:val="auto"/>
                    </w:rPr>
                  </w:pPr>
                </w:p>
              </w:tc>
              <w:tc>
                <w:tcPr>
                  <w:tcW w:w="541" w:type="dxa"/>
                  <w:vMerge w:val="continue"/>
                  <w:vAlign w:val="center"/>
                </w:tcPr>
                <w:p w14:paraId="7FBEDE36">
                  <w:pPr>
                    <w:jc w:val="center"/>
                    <w:rPr>
                      <w:color w:val="auto"/>
                      <w:szCs w:val="21"/>
                    </w:rPr>
                  </w:pPr>
                </w:p>
              </w:tc>
            </w:tr>
            <w:tr w14:paraId="0E8628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67" w:hRule="atLeast"/>
                <w:jc w:val="center"/>
              </w:trPr>
              <w:tc>
                <w:tcPr>
                  <w:tcW w:w="537" w:type="dxa"/>
                  <w:vMerge w:val="continue"/>
                  <w:vAlign w:val="center"/>
                </w:tcPr>
                <w:p w14:paraId="1DF75B15">
                  <w:pPr>
                    <w:jc w:val="center"/>
                    <w:rPr>
                      <w:color w:val="auto"/>
                      <w:szCs w:val="21"/>
                    </w:rPr>
                  </w:pPr>
                </w:p>
              </w:tc>
              <w:tc>
                <w:tcPr>
                  <w:tcW w:w="688" w:type="dxa"/>
                  <w:vMerge w:val="continue"/>
                  <w:vAlign w:val="center"/>
                </w:tcPr>
                <w:p w14:paraId="6882AD4B">
                  <w:pPr>
                    <w:widowControl/>
                    <w:jc w:val="center"/>
                    <w:textAlignment w:val="center"/>
                    <w:rPr>
                      <w:rStyle w:val="111"/>
                      <w:rFonts w:hint="default" w:ascii="Times New Roman" w:hAnsi="Times New Roman" w:cs="Times New Roman"/>
                      <w:bCs/>
                      <w:color w:val="auto"/>
                      <w:lang w:bidi="ar"/>
                    </w:rPr>
                  </w:pPr>
                </w:p>
              </w:tc>
              <w:tc>
                <w:tcPr>
                  <w:tcW w:w="752" w:type="dxa"/>
                  <w:shd w:val="clear" w:color="auto" w:fill="auto"/>
                  <w:vAlign w:val="center"/>
                </w:tcPr>
                <w:p w14:paraId="59E9514A">
                  <w:pPr>
                    <w:adjustRightInd w:val="0"/>
                    <w:snapToGrid w:val="0"/>
                    <w:jc w:val="center"/>
                    <w:rPr>
                      <w:rFonts w:hint="eastAsia" w:ascii="Times New Roman" w:hAnsi="Times New Roman" w:eastAsia="宋体" w:cs="Times New Roman"/>
                      <w:color w:val="auto"/>
                      <w:kern w:val="2"/>
                      <w:sz w:val="21"/>
                      <w:szCs w:val="21"/>
                      <w:lang w:val="en-US" w:eastAsia="zh-CN" w:bidi="ar-SA"/>
                    </w:rPr>
                  </w:pPr>
                  <w:r>
                    <w:rPr>
                      <w:color w:val="auto"/>
                      <w:szCs w:val="21"/>
                    </w:rPr>
                    <w:t>厂区内厂房外</w:t>
                  </w:r>
                </w:p>
              </w:tc>
              <w:tc>
                <w:tcPr>
                  <w:tcW w:w="1440" w:type="dxa"/>
                  <w:shd w:val="clear" w:color="auto" w:fill="auto"/>
                  <w:vAlign w:val="center"/>
                </w:tcPr>
                <w:p w14:paraId="2719EBFC">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NMHC</w:t>
                  </w:r>
                </w:p>
              </w:tc>
              <w:tc>
                <w:tcPr>
                  <w:tcW w:w="1884" w:type="dxa"/>
                  <w:shd w:val="clear" w:color="auto" w:fill="auto"/>
                  <w:vAlign w:val="center"/>
                </w:tcPr>
                <w:p w14:paraId="7738E68E">
                  <w:pPr>
                    <w:pStyle w:val="112"/>
                    <w:rPr>
                      <w:rFonts w:hint="eastAsia" w:ascii="Times New Roman" w:hAnsi="Times New Roman" w:eastAsia="宋体" w:cs="Times New Roman"/>
                      <w:color w:val="auto"/>
                      <w:kern w:val="2"/>
                      <w:sz w:val="21"/>
                      <w:szCs w:val="21"/>
                      <w:lang w:val="en-US" w:eastAsia="zh-CN" w:bidi="ar-SA"/>
                    </w:rPr>
                  </w:pPr>
                  <w:r>
                    <w:rPr>
                      <w:color w:val="auto"/>
                      <w:spacing w:val="-10"/>
                      <w:sz w:val="21"/>
                      <w:szCs w:val="21"/>
                    </w:rPr>
                    <w:t>提高</w:t>
                  </w:r>
                  <w:r>
                    <w:rPr>
                      <w:rFonts w:hint="eastAsia"/>
                      <w:color w:val="auto"/>
                      <w:spacing w:val="-10"/>
                      <w:sz w:val="21"/>
                      <w:szCs w:val="21"/>
                    </w:rPr>
                    <w:t>废气</w:t>
                  </w:r>
                  <w:r>
                    <w:rPr>
                      <w:color w:val="auto"/>
                      <w:spacing w:val="-10"/>
                      <w:sz w:val="21"/>
                      <w:szCs w:val="21"/>
                    </w:rPr>
                    <w:t>收集效率</w:t>
                  </w:r>
                  <w:r>
                    <w:rPr>
                      <w:rFonts w:hint="eastAsia"/>
                      <w:color w:val="auto"/>
                      <w:spacing w:val="-10"/>
                      <w:sz w:val="21"/>
                      <w:szCs w:val="21"/>
                    </w:rPr>
                    <w:t>，增加绿化</w:t>
                  </w:r>
                </w:p>
              </w:tc>
              <w:tc>
                <w:tcPr>
                  <w:tcW w:w="1848" w:type="dxa"/>
                  <w:vAlign w:val="center"/>
                </w:tcPr>
                <w:p w14:paraId="30A3E3C1">
                  <w:pPr>
                    <w:pStyle w:val="10"/>
                    <w:spacing w:before="0" w:after="0" w:line="240" w:lineRule="auto"/>
                    <w:ind w:right="0"/>
                    <w:jc w:val="center"/>
                    <w:rPr>
                      <w:color w:val="auto"/>
                      <w:sz w:val="21"/>
                      <w:szCs w:val="21"/>
                    </w:rPr>
                  </w:pPr>
                  <w:r>
                    <w:rPr>
                      <w:rFonts w:hint="eastAsia"/>
                      <w:color w:val="auto"/>
                      <w:sz w:val="21"/>
                      <w:szCs w:val="21"/>
                    </w:rPr>
                    <w:t>《玻璃工业大气污染物排放标准》</w:t>
                  </w:r>
                  <w:r>
                    <w:rPr>
                      <w:rFonts w:hint="eastAsia"/>
                      <w:color w:val="auto"/>
                      <w:sz w:val="21"/>
                      <w:szCs w:val="21"/>
                      <w:lang w:eastAsia="zh-CN"/>
                    </w:rPr>
                    <w:t>（</w:t>
                  </w:r>
                  <w:r>
                    <w:rPr>
                      <w:rFonts w:hint="eastAsia"/>
                      <w:color w:val="auto"/>
                      <w:sz w:val="21"/>
                      <w:szCs w:val="21"/>
                    </w:rPr>
                    <w:t>GB26453-2022</w:t>
                  </w:r>
                  <w:r>
                    <w:rPr>
                      <w:rFonts w:hint="eastAsia"/>
                      <w:color w:val="auto"/>
                      <w:sz w:val="21"/>
                      <w:szCs w:val="21"/>
                      <w:lang w:eastAsia="zh-CN"/>
                    </w:rPr>
                    <w:t>）</w:t>
                  </w:r>
                </w:p>
              </w:tc>
              <w:tc>
                <w:tcPr>
                  <w:tcW w:w="744" w:type="dxa"/>
                  <w:vMerge w:val="continue"/>
                  <w:vAlign w:val="center"/>
                </w:tcPr>
                <w:p w14:paraId="36B8200F">
                  <w:pPr>
                    <w:pStyle w:val="110"/>
                    <w:spacing w:line="240" w:lineRule="auto"/>
                    <w:ind w:left="0" w:leftChars="0" w:firstLine="0" w:firstLineChars="0"/>
                    <w:jc w:val="center"/>
                    <w:rPr>
                      <w:rFonts w:hint="eastAsia"/>
                      <w:bCs/>
                      <w:color w:val="auto"/>
                    </w:rPr>
                  </w:pPr>
                </w:p>
              </w:tc>
              <w:tc>
                <w:tcPr>
                  <w:tcW w:w="541" w:type="dxa"/>
                  <w:vMerge w:val="continue"/>
                  <w:vAlign w:val="center"/>
                </w:tcPr>
                <w:p w14:paraId="38C0486A">
                  <w:pPr>
                    <w:jc w:val="center"/>
                    <w:rPr>
                      <w:color w:val="auto"/>
                      <w:szCs w:val="21"/>
                    </w:rPr>
                  </w:pPr>
                </w:p>
              </w:tc>
            </w:tr>
            <w:tr w14:paraId="17086E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37" w:type="dxa"/>
                  <w:vAlign w:val="center"/>
                </w:tcPr>
                <w:p w14:paraId="017D712B">
                  <w:pPr>
                    <w:jc w:val="center"/>
                    <w:rPr>
                      <w:color w:val="auto"/>
                      <w:szCs w:val="21"/>
                    </w:rPr>
                  </w:pPr>
                  <w:r>
                    <w:rPr>
                      <w:rFonts w:hint="eastAsia"/>
                      <w:bCs/>
                      <w:color w:val="auto"/>
                      <w:szCs w:val="21"/>
                    </w:rPr>
                    <w:t>噪声</w:t>
                  </w:r>
                </w:p>
              </w:tc>
              <w:tc>
                <w:tcPr>
                  <w:tcW w:w="1440" w:type="dxa"/>
                  <w:gridSpan w:val="2"/>
                  <w:vAlign w:val="center"/>
                </w:tcPr>
                <w:p w14:paraId="446B2F40">
                  <w:pPr>
                    <w:snapToGrid w:val="0"/>
                    <w:jc w:val="center"/>
                    <w:rPr>
                      <w:color w:val="auto"/>
                      <w:szCs w:val="21"/>
                    </w:rPr>
                  </w:pPr>
                  <w:r>
                    <w:rPr>
                      <w:rFonts w:hint="eastAsia"/>
                      <w:bCs/>
                      <w:color w:val="auto"/>
                      <w:szCs w:val="21"/>
                    </w:rPr>
                    <w:t>生产设备</w:t>
                  </w:r>
                </w:p>
              </w:tc>
              <w:tc>
                <w:tcPr>
                  <w:tcW w:w="1440" w:type="dxa"/>
                  <w:vAlign w:val="center"/>
                </w:tcPr>
                <w:p w14:paraId="5F007FAB">
                  <w:pPr>
                    <w:jc w:val="center"/>
                    <w:rPr>
                      <w:color w:val="auto"/>
                      <w:szCs w:val="21"/>
                    </w:rPr>
                  </w:pPr>
                  <w:r>
                    <w:rPr>
                      <w:rFonts w:hint="eastAsia"/>
                      <w:bCs/>
                      <w:color w:val="auto"/>
                      <w:szCs w:val="21"/>
                    </w:rPr>
                    <w:t>设备噪声</w:t>
                  </w:r>
                </w:p>
              </w:tc>
              <w:tc>
                <w:tcPr>
                  <w:tcW w:w="1884" w:type="dxa"/>
                  <w:vAlign w:val="center"/>
                </w:tcPr>
                <w:p w14:paraId="312EAB1F">
                  <w:pPr>
                    <w:jc w:val="center"/>
                    <w:rPr>
                      <w:color w:val="auto"/>
                      <w:szCs w:val="21"/>
                    </w:rPr>
                  </w:pPr>
                  <w:r>
                    <w:rPr>
                      <w:rFonts w:hint="eastAsia"/>
                      <w:bCs/>
                      <w:color w:val="auto"/>
                      <w:szCs w:val="21"/>
                    </w:rPr>
                    <w:t>厂房隔声</w:t>
                  </w:r>
                </w:p>
              </w:tc>
              <w:tc>
                <w:tcPr>
                  <w:tcW w:w="1848" w:type="dxa"/>
                  <w:vAlign w:val="center"/>
                </w:tcPr>
                <w:p w14:paraId="6667A298">
                  <w:pPr>
                    <w:jc w:val="center"/>
                    <w:rPr>
                      <w:color w:val="auto"/>
                      <w:szCs w:val="21"/>
                    </w:rPr>
                  </w:pPr>
                  <w:r>
                    <w:rPr>
                      <w:rFonts w:hint="eastAsia"/>
                      <w:bCs/>
                      <w:color w:val="auto"/>
                      <w:szCs w:val="21"/>
                    </w:rPr>
                    <w:t>厂界噪声达标</w:t>
                  </w:r>
                </w:p>
              </w:tc>
              <w:tc>
                <w:tcPr>
                  <w:tcW w:w="744" w:type="dxa"/>
                  <w:vAlign w:val="center"/>
                </w:tcPr>
                <w:p w14:paraId="30D5955C">
                  <w:pPr>
                    <w:jc w:val="center"/>
                    <w:rPr>
                      <w:color w:val="auto"/>
                      <w:szCs w:val="21"/>
                    </w:rPr>
                  </w:pPr>
                  <w:r>
                    <w:rPr>
                      <w:rFonts w:hint="eastAsia"/>
                      <w:color w:val="auto"/>
                      <w:szCs w:val="21"/>
                    </w:rPr>
                    <w:t>2</w:t>
                  </w:r>
                </w:p>
              </w:tc>
              <w:tc>
                <w:tcPr>
                  <w:tcW w:w="541" w:type="dxa"/>
                  <w:vMerge w:val="continue"/>
                  <w:vAlign w:val="center"/>
                </w:tcPr>
                <w:p w14:paraId="0CCFB2BB">
                  <w:pPr>
                    <w:jc w:val="center"/>
                    <w:rPr>
                      <w:color w:val="auto"/>
                      <w:szCs w:val="21"/>
                    </w:rPr>
                  </w:pPr>
                </w:p>
              </w:tc>
            </w:tr>
            <w:tr w14:paraId="11510A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37" w:type="dxa"/>
                  <w:vMerge w:val="restart"/>
                  <w:vAlign w:val="center"/>
                </w:tcPr>
                <w:p w14:paraId="397B5211">
                  <w:pPr>
                    <w:jc w:val="center"/>
                    <w:rPr>
                      <w:color w:val="auto"/>
                      <w:szCs w:val="21"/>
                    </w:rPr>
                  </w:pPr>
                  <w:r>
                    <w:rPr>
                      <w:color w:val="auto"/>
                      <w:szCs w:val="21"/>
                    </w:rPr>
                    <w:t>固废</w:t>
                  </w:r>
                </w:p>
              </w:tc>
              <w:tc>
                <w:tcPr>
                  <w:tcW w:w="1440" w:type="dxa"/>
                  <w:gridSpan w:val="2"/>
                  <w:vMerge w:val="restart"/>
                  <w:vAlign w:val="center"/>
                </w:tcPr>
                <w:p w14:paraId="4B081976">
                  <w:pPr>
                    <w:snapToGrid w:val="0"/>
                    <w:jc w:val="center"/>
                    <w:rPr>
                      <w:rFonts w:hint="default" w:eastAsia="宋体"/>
                      <w:color w:val="auto"/>
                      <w:kern w:val="0"/>
                      <w:szCs w:val="21"/>
                      <w:lang w:val="en-US" w:eastAsia="zh-CN"/>
                    </w:rPr>
                  </w:pPr>
                  <w:r>
                    <w:rPr>
                      <w:rFonts w:hint="eastAsia"/>
                      <w:color w:val="auto"/>
                      <w:kern w:val="0"/>
                      <w:szCs w:val="21"/>
                      <w:lang w:val="en-US" w:eastAsia="zh-CN"/>
                    </w:rPr>
                    <w:t>生产生活</w:t>
                  </w:r>
                </w:p>
              </w:tc>
              <w:tc>
                <w:tcPr>
                  <w:tcW w:w="1440" w:type="dxa"/>
                  <w:vAlign w:val="center"/>
                </w:tcPr>
                <w:p w14:paraId="10C5A20E">
                  <w:pPr>
                    <w:pStyle w:val="10"/>
                    <w:spacing w:before="0" w:after="0" w:line="240" w:lineRule="auto"/>
                    <w:ind w:right="0"/>
                    <w:jc w:val="center"/>
                    <w:rPr>
                      <w:rFonts w:hint="eastAsia" w:eastAsia="宋体"/>
                      <w:color w:val="auto"/>
                      <w:szCs w:val="21"/>
                      <w:lang w:val="en-US" w:eastAsia="zh-CN"/>
                    </w:rPr>
                  </w:pPr>
                  <w:r>
                    <w:rPr>
                      <w:rFonts w:hint="eastAsia" w:ascii="Times New Roman" w:hAnsi="Times New Roman" w:eastAsia="宋体" w:cs="Times New Roman"/>
                      <w:bCs/>
                      <w:color w:val="auto"/>
                      <w:kern w:val="2"/>
                      <w:sz w:val="21"/>
                      <w:szCs w:val="21"/>
                      <w:lang w:val="en-US" w:eastAsia="zh-CN" w:bidi="ar-SA"/>
                    </w:rPr>
                    <w:t>生活垃圾</w:t>
                  </w:r>
                </w:p>
              </w:tc>
              <w:tc>
                <w:tcPr>
                  <w:tcW w:w="1884" w:type="dxa"/>
                  <w:vAlign w:val="center"/>
                </w:tcPr>
                <w:p w14:paraId="08E6B2EE">
                  <w:pPr>
                    <w:jc w:val="center"/>
                    <w:rPr>
                      <w:rFonts w:hint="default" w:eastAsia="宋体"/>
                      <w:color w:val="auto"/>
                      <w:kern w:val="0"/>
                      <w:szCs w:val="21"/>
                      <w:lang w:val="en-US" w:eastAsia="zh-CN"/>
                    </w:rPr>
                  </w:pPr>
                  <w:r>
                    <w:rPr>
                      <w:rFonts w:hint="eastAsia"/>
                      <w:bCs/>
                      <w:color w:val="auto"/>
                      <w:szCs w:val="21"/>
                      <w:lang w:val="en-US" w:eastAsia="zh-CN"/>
                    </w:rPr>
                    <w:t>垃圾桶若干</w:t>
                  </w:r>
                </w:p>
              </w:tc>
              <w:tc>
                <w:tcPr>
                  <w:tcW w:w="1848" w:type="dxa"/>
                  <w:vAlign w:val="center"/>
                </w:tcPr>
                <w:p w14:paraId="156AFEA6">
                  <w:pPr>
                    <w:jc w:val="center"/>
                    <w:rPr>
                      <w:rFonts w:hint="default" w:eastAsia="宋体"/>
                      <w:color w:val="auto"/>
                      <w:kern w:val="0"/>
                      <w:szCs w:val="21"/>
                      <w:lang w:val="en-US" w:eastAsia="zh-CN"/>
                    </w:rPr>
                  </w:pPr>
                  <w:r>
                    <w:rPr>
                      <w:rFonts w:hint="eastAsia"/>
                      <w:color w:val="auto"/>
                      <w:kern w:val="0"/>
                      <w:szCs w:val="21"/>
                      <w:lang w:val="en-US" w:eastAsia="zh-CN"/>
                    </w:rPr>
                    <w:t>环卫部门清运</w:t>
                  </w:r>
                </w:p>
              </w:tc>
              <w:tc>
                <w:tcPr>
                  <w:tcW w:w="744" w:type="dxa"/>
                  <w:vMerge w:val="restart"/>
                  <w:vAlign w:val="center"/>
                </w:tcPr>
                <w:p w14:paraId="44B7E3E5">
                  <w:pPr>
                    <w:pStyle w:val="113"/>
                    <w:tabs>
                      <w:tab w:val="left" w:pos="604"/>
                    </w:tabs>
                    <w:jc w:val="center"/>
                    <w:rPr>
                      <w:rFonts w:hint="eastAsia" w:eastAsia="宋体"/>
                      <w:color w:val="auto"/>
                      <w:szCs w:val="21"/>
                      <w:lang w:eastAsia="zh-CN"/>
                    </w:rPr>
                  </w:pPr>
                  <w:r>
                    <w:rPr>
                      <w:rFonts w:hint="eastAsia"/>
                      <w:color w:val="auto"/>
                      <w:szCs w:val="21"/>
                      <w:lang w:val="en-US" w:eastAsia="zh-CN"/>
                    </w:rPr>
                    <w:t>3</w:t>
                  </w:r>
                </w:p>
              </w:tc>
              <w:tc>
                <w:tcPr>
                  <w:tcW w:w="541" w:type="dxa"/>
                  <w:vMerge w:val="continue"/>
                  <w:vAlign w:val="center"/>
                </w:tcPr>
                <w:p w14:paraId="5DAEADDE">
                  <w:pPr>
                    <w:jc w:val="center"/>
                    <w:rPr>
                      <w:color w:val="auto"/>
                      <w:szCs w:val="21"/>
                    </w:rPr>
                  </w:pPr>
                </w:p>
              </w:tc>
            </w:tr>
            <w:tr w14:paraId="3A5005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37" w:type="dxa"/>
                  <w:vMerge w:val="continue"/>
                  <w:vAlign w:val="center"/>
                </w:tcPr>
                <w:p w14:paraId="3B28DD0C">
                  <w:pPr>
                    <w:jc w:val="center"/>
                    <w:rPr>
                      <w:color w:val="auto"/>
                      <w:szCs w:val="21"/>
                    </w:rPr>
                  </w:pPr>
                </w:p>
              </w:tc>
              <w:tc>
                <w:tcPr>
                  <w:tcW w:w="1440" w:type="dxa"/>
                  <w:gridSpan w:val="2"/>
                  <w:vMerge w:val="continue"/>
                  <w:shd w:val="clear" w:color="auto" w:fill="auto"/>
                  <w:vAlign w:val="center"/>
                </w:tcPr>
                <w:p w14:paraId="5FF7E5DE">
                  <w:pPr>
                    <w:snapToGrid w:val="0"/>
                    <w:jc w:val="center"/>
                    <w:rPr>
                      <w:rFonts w:hint="eastAsia" w:ascii="Times New Roman" w:hAnsi="Times New Roman" w:eastAsia="宋体" w:cs="Times New Roman"/>
                      <w:color w:val="auto"/>
                      <w:kern w:val="0"/>
                      <w:sz w:val="21"/>
                      <w:szCs w:val="21"/>
                      <w:lang w:val="en-US" w:eastAsia="zh-CN" w:bidi="ar-SA"/>
                    </w:rPr>
                  </w:pPr>
                </w:p>
              </w:tc>
              <w:tc>
                <w:tcPr>
                  <w:tcW w:w="1440" w:type="dxa"/>
                  <w:shd w:val="clear" w:color="auto" w:fill="auto"/>
                  <w:vAlign w:val="center"/>
                </w:tcPr>
                <w:p w14:paraId="03EACF60">
                  <w:pPr>
                    <w:pStyle w:val="10"/>
                    <w:spacing w:before="0" w:after="0" w:line="240" w:lineRule="auto"/>
                    <w:ind w:right="0" w:rightChars="0"/>
                    <w:jc w:val="center"/>
                    <w:rPr>
                      <w:rFonts w:hint="eastAsia" w:ascii="Times New Roman" w:hAnsi="Times New Roman" w:eastAsia="宋体" w:cs="Times New Roman"/>
                      <w:color w:val="auto"/>
                      <w:kern w:val="0"/>
                      <w:sz w:val="21"/>
                      <w:szCs w:val="21"/>
                      <w:lang w:val="en-US" w:eastAsia="zh-CN" w:bidi="ar-SA"/>
                    </w:rPr>
                  </w:pPr>
                  <w:r>
                    <w:rPr>
                      <w:rFonts w:hint="eastAsia"/>
                      <w:bCs/>
                      <w:color w:val="auto"/>
                      <w:sz w:val="21"/>
                      <w:szCs w:val="21"/>
                    </w:rPr>
                    <w:t>一般固废</w:t>
                  </w:r>
                </w:p>
              </w:tc>
              <w:tc>
                <w:tcPr>
                  <w:tcW w:w="1884" w:type="dxa"/>
                  <w:shd w:val="clear" w:color="auto" w:fill="auto"/>
                  <w:vAlign w:val="center"/>
                </w:tcPr>
                <w:p w14:paraId="13CFF32A">
                  <w:pPr>
                    <w:jc w:val="center"/>
                    <w:rPr>
                      <w:rFonts w:hint="eastAsia" w:ascii="Times New Roman" w:hAnsi="Times New Roman" w:eastAsia="宋体" w:cs="Times New Roman"/>
                      <w:color w:val="auto"/>
                      <w:kern w:val="0"/>
                      <w:sz w:val="21"/>
                      <w:szCs w:val="21"/>
                      <w:lang w:val="en-US" w:eastAsia="zh-CN" w:bidi="ar-SA"/>
                    </w:rPr>
                  </w:pPr>
                  <w:r>
                    <w:rPr>
                      <w:rFonts w:hint="eastAsia"/>
                      <w:bCs/>
                      <w:color w:val="auto"/>
                      <w:sz w:val="21"/>
                      <w:szCs w:val="21"/>
                    </w:rPr>
                    <w:t>收集外售相关单位</w:t>
                  </w:r>
                </w:p>
              </w:tc>
              <w:tc>
                <w:tcPr>
                  <w:tcW w:w="1848" w:type="dxa"/>
                  <w:shd w:val="clear" w:color="auto" w:fill="auto"/>
                  <w:vAlign w:val="center"/>
                </w:tcPr>
                <w:p w14:paraId="26B40F48">
                  <w:pPr>
                    <w:jc w:val="center"/>
                    <w:rPr>
                      <w:rFonts w:ascii="Times New Roman" w:hAnsi="Times New Roman" w:eastAsia="宋体" w:cs="Times New Roman"/>
                      <w:color w:val="auto"/>
                      <w:kern w:val="0"/>
                      <w:sz w:val="21"/>
                      <w:szCs w:val="21"/>
                      <w:lang w:val="en-US" w:eastAsia="zh-CN" w:bidi="ar-SA"/>
                    </w:rPr>
                  </w:pPr>
                  <w:r>
                    <w:rPr>
                      <w:color w:val="auto"/>
                      <w:szCs w:val="21"/>
                    </w:rPr>
                    <w:t>执行</w:t>
                  </w:r>
                  <w:r>
                    <w:rPr>
                      <w:color w:val="auto"/>
                      <w:szCs w:val="21"/>
                      <w:lang w:val="zh-CN"/>
                    </w:rPr>
                    <w:t>《一般工业固体废物贮存和填埋污染控制标准》（GB18599-20</w:t>
                  </w:r>
                  <w:r>
                    <w:rPr>
                      <w:color w:val="auto"/>
                      <w:szCs w:val="21"/>
                    </w:rPr>
                    <w:t>20</w:t>
                  </w:r>
                  <w:r>
                    <w:rPr>
                      <w:color w:val="auto"/>
                      <w:szCs w:val="21"/>
                      <w:lang w:val="zh-CN"/>
                    </w:rPr>
                    <w:t>）</w:t>
                  </w:r>
                </w:p>
              </w:tc>
              <w:tc>
                <w:tcPr>
                  <w:tcW w:w="744" w:type="dxa"/>
                  <w:vMerge w:val="continue"/>
                  <w:vAlign w:val="center"/>
                </w:tcPr>
                <w:p w14:paraId="678628C1">
                  <w:pPr>
                    <w:pStyle w:val="113"/>
                    <w:tabs>
                      <w:tab w:val="left" w:pos="604"/>
                    </w:tabs>
                    <w:jc w:val="center"/>
                    <w:rPr>
                      <w:rFonts w:hint="eastAsia"/>
                      <w:color w:val="auto"/>
                      <w:szCs w:val="21"/>
                    </w:rPr>
                  </w:pPr>
                </w:p>
              </w:tc>
              <w:tc>
                <w:tcPr>
                  <w:tcW w:w="541" w:type="dxa"/>
                  <w:vMerge w:val="continue"/>
                  <w:vAlign w:val="center"/>
                </w:tcPr>
                <w:p w14:paraId="55A487A6">
                  <w:pPr>
                    <w:jc w:val="center"/>
                    <w:rPr>
                      <w:color w:val="auto"/>
                      <w:szCs w:val="21"/>
                    </w:rPr>
                  </w:pPr>
                </w:p>
              </w:tc>
            </w:tr>
            <w:tr w14:paraId="19FD8B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37" w:type="dxa"/>
                  <w:vMerge w:val="continue"/>
                  <w:vAlign w:val="center"/>
                </w:tcPr>
                <w:p w14:paraId="622D7049">
                  <w:pPr>
                    <w:jc w:val="center"/>
                    <w:rPr>
                      <w:color w:val="auto"/>
                      <w:szCs w:val="21"/>
                    </w:rPr>
                  </w:pPr>
                </w:p>
              </w:tc>
              <w:tc>
                <w:tcPr>
                  <w:tcW w:w="1440" w:type="dxa"/>
                  <w:gridSpan w:val="2"/>
                  <w:vMerge w:val="continue"/>
                  <w:vAlign w:val="center"/>
                </w:tcPr>
                <w:p w14:paraId="0EDE25CC">
                  <w:pPr>
                    <w:snapToGrid w:val="0"/>
                    <w:jc w:val="center"/>
                    <w:rPr>
                      <w:bCs/>
                      <w:color w:val="auto"/>
                      <w:szCs w:val="21"/>
                    </w:rPr>
                  </w:pPr>
                </w:p>
              </w:tc>
              <w:tc>
                <w:tcPr>
                  <w:tcW w:w="1440" w:type="dxa"/>
                  <w:vAlign w:val="center"/>
                </w:tcPr>
                <w:p w14:paraId="7B5CBBAD">
                  <w:pPr>
                    <w:bidi w:val="0"/>
                    <w:jc w:val="center"/>
                    <w:rPr>
                      <w:color w:val="auto"/>
                    </w:rPr>
                  </w:pPr>
                  <w:r>
                    <w:rPr>
                      <w:rFonts w:hint="eastAsia"/>
                    </w:rPr>
                    <w:t>危险废物</w:t>
                  </w:r>
                </w:p>
              </w:tc>
              <w:tc>
                <w:tcPr>
                  <w:tcW w:w="1884" w:type="dxa"/>
                  <w:vAlign w:val="center"/>
                </w:tcPr>
                <w:p w14:paraId="2F98E15F">
                  <w:pPr>
                    <w:jc w:val="center"/>
                    <w:rPr>
                      <w:bCs/>
                      <w:color w:val="auto"/>
                      <w:szCs w:val="21"/>
                    </w:rPr>
                  </w:pPr>
                  <w:r>
                    <w:rPr>
                      <w:rFonts w:hint="eastAsia"/>
                      <w:bCs/>
                      <w:color w:val="auto"/>
                      <w:szCs w:val="21"/>
                    </w:rPr>
                    <w:t>委托有资质单位处置</w:t>
                  </w:r>
                </w:p>
              </w:tc>
              <w:tc>
                <w:tcPr>
                  <w:tcW w:w="1848" w:type="dxa"/>
                  <w:vAlign w:val="center"/>
                </w:tcPr>
                <w:p w14:paraId="170AC75D">
                  <w:pPr>
                    <w:jc w:val="center"/>
                    <w:rPr>
                      <w:color w:val="auto"/>
                      <w:kern w:val="0"/>
                      <w:szCs w:val="21"/>
                    </w:rPr>
                  </w:pPr>
                  <w:r>
                    <w:rPr>
                      <w:color w:val="auto"/>
                      <w:szCs w:val="21"/>
                    </w:rPr>
                    <w:t>执行《危险废物贮存污染控制标准》（GB18597-</w:t>
                  </w:r>
                  <w:r>
                    <w:rPr>
                      <w:rFonts w:hint="eastAsia"/>
                      <w:color w:val="auto"/>
                      <w:szCs w:val="21"/>
                    </w:rPr>
                    <w:t>2023</w:t>
                  </w:r>
                  <w:r>
                    <w:rPr>
                      <w:color w:val="auto"/>
                      <w:szCs w:val="21"/>
                    </w:rPr>
                    <w:t>）</w:t>
                  </w:r>
                </w:p>
              </w:tc>
              <w:tc>
                <w:tcPr>
                  <w:tcW w:w="744" w:type="dxa"/>
                  <w:vMerge w:val="continue"/>
                  <w:vAlign w:val="center"/>
                </w:tcPr>
                <w:p w14:paraId="138F0A10">
                  <w:pPr>
                    <w:pStyle w:val="113"/>
                    <w:tabs>
                      <w:tab w:val="left" w:pos="604"/>
                    </w:tabs>
                    <w:jc w:val="center"/>
                    <w:rPr>
                      <w:color w:val="auto"/>
                      <w:szCs w:val="21"/>
                    </w:rPr>
                  </w:pPr>
                </w:p>
              </w:tc>
              <w:tc>
                <w:tcPr>
                  <w:tcW w:w="541" w:type="dxa"/>
                  <w:vMerge w:val="continue"/>
                  <w:vAlign w:val="center"/>
                </w:tcPr>
                <w:p w14:paraId="7181C207">
                  <w:pPr>
                    <w:jc w:val="center"/>
                    <w:rPr>
                      <w:color w:val="auto"/>
                      <w:szCs w:val="21"/>
                    </w:rPr>
                  </w:pPr>
                </w:p>
              </w:tc>
            </w:tr>
            <w:tr w14:paraId="14E32B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977" w:type="dxa"/>
                  <w:gridSpan w:val="3"/>
                  <w:vAlign w:val="center"/>
                </w:tcPr>
                <w:p w14:paraId="2EED7623">
                  <w:pPr>
                    <w:jc w:val="center"/>
                    <w:rPr>
                      <w:color w:val="auto"/>
                      <w:szCs w:val="21"/>
                    </w:rPr>
                  </w:pPr>
                  <w:r>
                    <w:rPr>
                      <w:rFonts w:hint="eastAsia"/>
                      <w:color w:val="auto"/>
                      <w:szCs w:val="21"/>
                    </w:rPr>
                    <w:t>土壤、地下水</w:t>
                  </w:r>
                </w:p>
              </w:tc>
              <w:tc>
                <w:tcPr>
                  <w:tcW w:w="3324" w:type="dxa"/>
                  <w:gridSpan w:val="2"/>
                  <w:vAlign w:val="center"/>
                </w:tcPr>
                <w:p w14:paraId="66D9E64B">
                  <w:pPr>
                    <w:jc w:val="center"/>
                    <w:rPr>
                      <w:color w:val="auto"/>
                      <w:szCs w:val="21"/>
                    </w:rPr>
                  </w:pPr>
                  <w:r>
                    <w:rPr>
                      <w:color w:val="auto"/>
                      <w:szCs w:val="21"/>
                    </w:rPr>
                    <w:t>分区防渗</w:t>
                  </w:r>
                </w:p>
              </w:tc>
              <w:tc>
                <w:tcPr>
                  <w:tcW w:w="1848" w:type="dxa"/>
                  <w:vAlign w:val="center"/>
                </w:tcPr>
                <w:p w14:paraId="5064B352">
                  <w:pPr>
                    <w:jc w:val="center"/>
                    <w:rPr>
                      <w:color w:val="auto"/>
                      <w:szCs w:val="21"/>
                    </w:rPr>
                  </w:pPr>
                  <w:r>
                    <w:rPr>
                      <w:color w:val="auto"/>
                      <w:szCs w:val="21"/>
                    </w:rPr>
                    <w:t>防风、防雨、防晒</w:t>
                  </w:r>
                  <w:r>
                    <w:rPr>
                      <w:rFonts w:hint="eastAsia"/>
                      <w:color w:val="auto"/>
                      <w:szCs w:val="21"/>
                    </w:rPr>
                    <w:t>，满足规范要求，不影响土壤和地下水环境</w:t>
                  </w:r>
                </w:p>
              </w:tc>
              <w:tc>
                <w:tcPr>
                  <w:tcW w:w="744" w:type="dxa"/>
                  <w:vAlign w:val="center"/>
                </w:tcPr>
                <w:p w14:paraId="42403618">
                  <w:pPr>
                    <w:jc w:val="center"/>
                    <w:rPr>
                      <w:color w:val="auto"/>
                      <w:szCs w:val="21"/>
                    </w:rPr>
                  </w:pPr>
                  <w:r>
                    <w:rPr>
                      <w:rFonts w:hint="eastAsia"/>
                      <w:color w:val="auto"/>
                      <w:szCs w:val="21"/>
                    </w:rPr>
                    <w:t>依托现有</w:t>
                  </w:r>
                </w:p>
              </w:tc>
              <w:tc>
                <w:tcPr>
                  <w:tcW w:w="541" w:type="dxa"/>
                  <w:vMerge w:val="continue"/>
                  <w:vAlign w:val="center"/>
                </w:tcPr>
                <w:p w14:paraId="34680060">
                  <w:pPr>
                    <w:jc w:val="center"/>
                    <w:rPr>
                      <w:color w:val="auto"/>
                      <w:szCs w:val="21"/>
                    </w:rPr>
                  </w:pPr>
                </w:p>
              </w:tc>
            </w:tr>
            <w:tr w14:paraId="1CE182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08" w:hRule="atLeast"/>
                <w:jc w:val="center"/>
              </w:trPr>
              <w:tc>
                <w:tcPr>
                  <w:tcW w:w="1977" w:type="dxa"/>
                  <w:gridSpan w:val="3"/>
                  <w:vMerge w:val="restart"/>
                  <w:vAlign w:val="center"/>
                </w:tcPr>
                <w:p w14:paraId="6A0AC7C4">
                  <w:pPr>
                    <w:jc w:val="center"/>
                    <w:rPr>
                      <w:color w:val="auto"/>
                      <w:szCs w:val="21"/>
                    </w:rPr>
                  </w:pPr>
                  <w:r>
                    <w:rPr>
                      <w:rFonts w:hint="eastAsia"/>
                      <w:color w:val="auto"/>
                      <w:szCs w:val="21"/>
                    </w:rPr>
                    <w:t>事故</w:t>
                  </w:r>
                  <w:r>
                    <w:rPr>
                      <w:color w:val="auto"/>
                      <w:szCs w:val="21"/>
                    </w:rPr>
                    <w:t>应急</w:t>
                  </w:r>
                  <w:r>
                    <w:rPr>
                      <w:rFonts w:hint="eastAsia"/>
                      <w:color w:val="auto"/>
                      <w:szCs w:val="21"/>
                    </w:rPr>
                    <w:t>和风险防范</w:t>
                  </w:r>
                  <w:r>
                    <w:rPr>
                      <w:color w:val="auto"/>
                      <w:szCs w:val="21"/>
                    </w:rPr>
                    <w:t>措施</w:t>
                  </w:r>
                </w:p>
              </w:tc>
              <w:tc>
                <w:tcPr>
                  <w:tcW w:w="3324" w:type="dxa"/>
                  <w:gridSpan w:val="2"/>
                  <w:vAlign w:val="center"/>
                </w:tcPr>
                <w:p w14:paraId="3A9E9A99">
                  <w:pPr>
                    <w:jc w:val="center"/>
                    <w:rPr>
                      <w:color w:val="auto"/>
                    </w:rPr>
                  </w:pPr>
                  <w:r>
                    <w:rPr>
                      <w:rFonts w:hint="eastAsia"/>
                      <w:color w:val="auto"/>
                    </w:rPr>
                    <w:t>应急预案及应急物资</w:t>
                  </w:r>
                </w:p>
              </w:tc>
              <w:tc>
                <w:tcPr>
                  <w:tcW w:w="1848" w:type="dxa"/>
                  <w:vAlign w:val="center"/>
                </w:tcPr>
                <w:p w14:paraId="719DA4BD">
                  <w:pPr>
                    <w:jc w:val="center"/>
                    <w:rPr>
                      <w:color w:val="auto"/>
                      <w:szCs w:val="21"/>
                    </w:rPr>
                  </w:pPr>
                  <w:r>
                    <w:rPr>
                      <w:rFonts w:hint="eastAsia"/>
                      <w:color w:val="auto"/>
                      <w:szCs w:val="21"/>
                    </w:rPr>
                    <w:t>事故时及时启动，能控制和处理事故</w:t>
                  </w:r>
                </w:p>
              </w:tc>
              <w:tc>
                <w:tcPr>
                  <w:tcW w:w="744" w:type="dxa"/>
                  <w:vMerge w:val="restart"/>
                  <w:vAlign w:val="center"/>
                </w:tcPr>
                <w:p w14:paraId="47C5D99A">
                  <w:pPr>
                    <w:jc w:val="center"/>
                    <w:rPr>
                      <w:color w:val="auto"/>
                    </w:rPr>
                  </w:pPr>
                  <w:r>
                    <w:rPr>
                      <w:rFonts w:hint="eastAsia"/>
                      <w:color w:val="auto"/>
                      <w:szCs w:val="21"/>
                    </w:rPr>
                    <w:t>依托现有</w:t>
                  </w:r>
                </w:p>
              </w:tc>
              <w:tc>
                <w:tcPr>
                  <w:tcW w:w="541" w:type="dxa"/>
                  <w:vMerge w:val="continue"/>
                  <w:vAlign w:val="center"/>
                </w:tcPr>
                <w:p w14:paraId="0C39B500">
                  <w:pPr>
                    <w:jc w:val="center"/>
                    <w:rPr>
                      <w:color w:val="auto"/>
                      <w:szCs w:val="21"/>
                    </w:rPr>
                  </w:pPr>
                </w:p>
              </w:tc>
            </w:tr>
            <w:tr w14:paraId="5004E5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57" w:hRule="atLeast"/>
                <w:jc w:val="center"/>
              </w:trPr>
              <w:tc>
                <w:tcPr>
                  <w:tcW w:w="1977" w:type="dxa"/>
                  <w:gridSpan w:val="3"/>
                  <w:vMerge w:val="continue"/>
                  <w:vAlign w:val="center"/>
                </w:tcPr>
                <w:p w14:paraId="1257C5D0">
                  <w:pPr>
                    <w:jc w:val="center"/>
                    <w:rPr>
                      <w:color w:val="auto"/>
                    </w:rPr>
                  </w:pPr>
                </w:p>
              </w:tc>
              <w:tc>
                <w:tcPr>
                  <w:tcW w:w="3324" w:type="dxa"/>
                  <w:gridSpan w:val="2"/>
                  <w:vAlign w:val="center"/>
                </w:tcPr>
                <w:p w14:paraId="4C4C6C37">
                  <w:pPr>
                    <w:jc w:val="center"/>
                    <w:rPr>
                      <w:color w:val="auto"/>
                      <w:szCs w:val="21"/>
                    </w:rPr>
                  </w:pPr>
                  <w:r>
                    <w:rPr>
                      <w:rFonts w:hint="eastAsia"/>
                      <w:color w:val="auto"/>
                      <w:szCs w:val="21"/>
                    </w:rPr>
                    <w:t>雨污排口阀门</w:t>
                  </w:r>
                </w:p>
              </w:tc>
              <w:tc>
                <w:tcPr>
                  <w:tcW w:w="1848" w:type="dxa"/>
                  <w:vAlign w:val="center"/>
                </w:tcPr>
                <w:p w14:paraId="2AE067E7">
                  <w:pPr>
                    <w:jc w:val="center"/>
                    <w:rPr>
                      <w:color w:val="auto"/>
                      <w:szCs w:val="21"/>
                    </w:rPr>
                  </w:pPr>
                  <w:r>
                    <w:rPr>
                      <w:rFonts w:hint="eastAsia"/>
                      <w:color w:val="auto"/>
                      <w:szCs w:val="21"/>
                    </w:rPr>
                    <w:t>规范化设置</w:t>
                  </w:r>
                </w:p>
              </w:tc>
              <w:tc>
                <w:tcPr>
                  <w:tcW w:w="744" w:type="dxa"/>
                  <w:vMerge w:val="continue"/>
                  <w:vAlign w:val="center"/>
                </w:tcPr>
                <w:p w14:paraId="7DFECE4C">
                  <w:pPr>
                    <w:jc w:val="center"/>
                    <w:rPr>
                      <w:color w:val="auto"/>
                    </w:rPr>
                  </w:pPr>
                </w:p>
              </w:tc>
              <w:tc>
                <w:tcPr>
                  <w:tcW w:w="541" w:type="dxa"/>
                  <w:vMerge w:val="continue"/>
                  <w:vAlign w:val="center"/>
                </w:tcPr>
                <w:p w14:paraId="333D4175">
                  <w:pPr>
                    <w:jc w:val="center"/>
                    <w:rPr>
                      <w:color w:val="auto"/>
                    </w:rPr>
                  </w:pPr>
                </w:p>
              </w:tc>
            </w:tr>
            <w:tr w14:paraId="0E20C1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977" w:type="dxa"/>
                  <w:gridSpan w:val="3"/>
                  <w:vAlign w:val="center"/>
                </w:tcPr>
                <w:p w14:paraId="66D691E7">
                  <w:pPr>
                    <w:jc w:val="center"/>
                    <w:rPr>
                      <w:color w:val="auto"/>
                      <w:szCs w:val="21"/>
                    </w:rPr>
                  </w:pPr>
                  <w:r>
                    <w:rPr>
                      <w:color w:val="auto"/>
                      <w:szCs w:val="21"/>
                    </w:rPr>
                    <w:t>清污分流、排污口规范化设置（流量计、在线监测仪等）</w:t>
                  </w:r>
                </w:p>
              </w:tc>
              <w:tc>
                <w:tcPr>
                  <w:tcW w:w="3324" w:type="dxa"/>
                  <w:gridSpan w:val="2"/>
                  <w:vAlign w:val="center"/>
                </w:tcPr>
                <w:p w14:paraId="50A83B3C">
                  <w:pPr>
                    <w:pStyle w:val="114"/>
                    <w:spacing w:beforeLines="0" w:afterLines="0"/>
                    <w:jc w:val="left"/>
                    <w:rPr>
                      <w:color w:val="auto"/>
                    </w:rPr>
                  </w:pPr>
                  <w:r>
                    <w:rPr>
                      <w:color w:val="auto"/>
                    </w:rPr>
                    <w:t>按照《江苏省排污口设置及规范化整治管理办法》（苏环控〔97〕122号）进行设置</w:t>
                  </w:r>
                </w:p>
              </w:tc>
              <w:tc>
                <w:tcPr>
                  <w:tcW w:w="1848" w:type="dxa"/>
                  <w:vAlign w:val="center"/>
                </w:tcPr>
                <w:p w14:paraId="60F55159">
                  <w:pPr>
                    <w:jc w:val="center"/>
                    <w:rPr>
                      <w:color w:val="auto"/>
                      <w:szCs w:val="21"/>
                    </w:rPr>
                  </w:pPr>
                  <w:r>
                    <w:rPr>
                      <w:color w:val="auto"/>
                      <w:szCs w:val="21"/>
                    </w:rPr>
                    <w:t>符合环保要求</w:t>
                  </w:r>
                </w:p>
              </w:tc>
              <w:tc>
                <w:tcPr>
                  <w:tcW w:w="744" w:type="dxa"/>
                  <w:vAlign w:val="center"/>
                </w:tcPr>
                <w:p w14:paraId="3E3EBA65">
                  <w:pPr>
                    <w:jc w:val="center"/>
                    <w:rPr>
                      <w:color w:val="auto"/>
                      <w:szCs w:val="21"/>
                    </w:rPr>
                  </w:pPr>
                  <w:r>
                    <w:rPr>
                      <w:rFonts w:hint="eastAsia"/>
                      <w:color w:val="auto"/>
                      <w:szCs w:val="21"/>
                    </w:rPr>
                    <w:t>依托现有</w:t>
                  </w:r>
                </w:p>
              </w:tc>
              <w:tc>
                <w:tcPr>
                  <w:tcW w:w="541" w:type="dxa"/>
                  <w:vMerge w:val="continue"/>
                  <w:vAlign w:val="center"/>
                </w:tcPr>
                <w:p w14:paraId="07818039">
                  <w:pPr>
                    <w:jc w:val="center"/>
                    <w:rPr>
                      <w:color w:val="auto"/>
                      <w:szCs w:val="21"/>
                    </w:rPr>
                  </w:pPr>
                </w:p>
              </w:tc>
            </w:tr>
            <w:tr w14:paraId="591CDD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7149" w:type="dxa"/>
                  <w:gridSpan w:val="6"/>
                  <w:vAlign w:val="center"/>
                </w:tcPr>
                <w:p w14:paraId="19B6DC8B">
                  <w:pPr>
                    <w:jc w:val="center"/>
                    <w:rPr>
                      <w:color w:val="auto"/>
                      <w:szCs w:val="21"/>
                    </w:rPr>
                  </w:pPr>
                  <w:r>
                    <w:rPr>
                      <w:color w:val="auto"/>
                      <w:szCs w:val="21"/>
                    </w:rPr>
                    <w:t>环保投资合计</w:t>
                  </w:r>
                </w:p>
              </w:tc>
              <w:tc>
                <w:tcPr>
                  <w:tcW w:w="744" w:type="dxa"/>
                  <w:vAlign w:val="center"/>
                </w:tcPr>
                <w:p w14:paraId="17376D88">
                  <w:pPr>
                    <w:jc w:val="center"/>
                    <w:rPr>
                      <w:rFonts w:hint="default"/>
                      <w:color w:val="auto"/>
                      <w:szCs w:val="21"/>
                      <w:lang w:val="en-US"/>
                    </w:rPr>
                  </w:pPr>
                  <w:r>
                    <w:rPr>
                      <w:rFonts w:hint="eastAsia"/>
                      <w:color w:val="auto"/>
                      <w:szCs w:val="21"/>
                      <w:lang w:val="en-US" w:eastAsia="zh-CN"/>
                    </w:rPr>
                    <w:t>21</w:t>
                  </w:r>
                </w:p>
              </w:tc>
              <w:tc>
                <w:tcPr>
                  <w:tcW w:w="541" w:type="dxa"/>
                  <w:vMerge w:val="continue"/>
                  <w:vAlign w:val="center"/>
                </w:tcPr>
                <w:p w14:paraId="4471B440">
                  <w:pPr>
                    <w:jc w:val="center"/>
                    <w:rPr>
                      <w:color w:val="auto"/>
                      <w:szCs w:val="21"/>
                    </w:rPr>
                  </w:pPr>
                </w:p>
              </w:tc>
            </w:tr>
          </w:tbl>
          <w:p w14:paraId="2E0AA869">
            <w:pPr>
              <w:pStyle w:val="58"/>
              <w:adjustRightInd/>
              <w:snapToGrid/>
              <w:spacing w:line="360" w:lineRule="auto"/>
              <w:rPr>
                <w:color w:val="auto"/>
              </w:rPr>
            </w:pPr>
          </w:p>
        </w:tc>
      </w:tr>
    </w:tbl>
    <w:p w14:paraId="06E22EE4">
      <w:pPr>
        <w:adjustRightInd w:val="0"/>
        <w:snapToGrid w:val="0"/>
        <w:spacing w:line="360" w:lineRule="auto"/>
        <w:ind w:firstLine="562"/>
        <w:rPr>
          <w:rFonts w:cs="宋体"/>
          <w:b/>
          <w:kern w:val="0"/>
          <w:sz w:val="28"/>
          <w:szCs w:val="28"/>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type="lines" w:linePitch="294" w:charSpace="0"/>
        </w:sectPr>
      </w:pPr>
    </w:p>
    <w:p w14:paraId="51DC1E47">
      <w:pPr>
        <w:pStyle w:val="27"/>
        <w:jc w:val="center"/>
        <w:outlineLvl w:val="0"/>
        <w:rPr>
          <w:rFonts w:ascii="Times New Roman" w:hAnsi="Times New Roman" w:eastAsia="黑体"/>
          <w:snapToGrid w:val="0"/>
          <w:sz w:val="30"/>
          <w:szCs w:val="30"/>
        </w:rPr>
      </w:pPr>
      <w:bookmarkStart w:id="18" w:name="_Toc9173"/>
      <w:r>
        <w:rPr>
          <w:rFonts w:hint="eastAsia" w:ascii="Times New Roman" w:hAnsi="Times New Roman" w:eastAsia="黑体"/>
          <w:snapToGrid w:val="0"/>
          <w:sz w:val="30"/>
          <w:szCs w:val="30"/>
        </w:rPr>
        <w:t>五、</w:t>
      </w:r>
      <w:bookmarkStart w:id="19" w:name="_Hlk54167917"/>
      <w:r>
        <w:rPr>
          <w:rFonts w:hint="eastAsia" w:ascii="Times New Roman" w:hAnsi="Times New Roman" w:eastAsia="黑体"/>
          <w:snapToGrid w:val="0"/>
          <w:sz w:val="30"/>
          <w:szCs w:val="30"/>
        </w:rPr>
        <w:t>环境保护措施监督检查清单</w:t>
      </w:r>
      <w:bookmarkEnd w:id="18"/>
      <w:bookmarkEnd w:id="19"/>
    </w:p>
    <w:tbl>
      <w:tblPr>
        <w:tblStyle w:val="30"/>
        <w:tblW w:w="935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90"/>
        <w:gridCol w:w="960"/>
        <w:gridCol w:w="990"/>
        <w:gridCol w:w="1965"/>
        <w:gridCol w:w="1845"/>
        <w:gridCol w:w="2104"/>
      </w:tblGrid>
      <w:tr w14:paraId="1F88BD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90" w:type="dxa"/>
            <w:tcBorders>
              <w:tl2br w:val="single" w:color="auto" w:sz="4" w:space="0"/>
            </w:tcBorders>
          </w:tcPr>
          <w:p w14:paraId="04827073">
            <w:pPr>
              <w:adjustRightInd w:val="0"/>
              <w:snapToGrid w:val="0"/>
              <w:ind w:firstLine="840"/>
              <w:rPr>
                <w:rFonts w:hint="eastAsia" w:ascii="宋体" w:hAnsi="宋体" w:cs="宋体"/>
                <w:color w:val="auto"/>
                <w:szCs w:val="21"/>
              </w:rPr>
            </w:pPr>
            <w:r>
              <w:rPr>
                <w:rFonts w:hint="eastAsia" w:ascii="宋体" w:hAnsi="宋体" w:cs="宋体"/>
                <w:color w:val="auto"/>
                <w:szCs w:val="21"/>
              </w:rPr>
              <w:t>内容</w:t>
            </w:r>
          </w:p>
          <w:p w14:paraId="1B209969">
            <w:pPr>
              <w:adjustRightInd w:val="0"/>
              <w:snapToGrid w:val="0"/>
              <w:rPr>
                <w:rFonts w:hint="eastAsia" w:ascii="宋体" w:hAnsi="宋体" w:cs="宋体"/>
                <w:color w:val="auto"/>
                <w:szCs w:val="21"/>
              </w:rPr>
            </w:pPr>
            <w:r>
              <w:rPr>
                <w:rFonts w:hint="eastAsia" w:ascii="宋体" w:hAnsi="宋体" w:cs="宋体"/>
                <w:color w:val="auto"/>
                <w:szCs w:val="21"/>
              </w:rPr>
              <w:t>要素</w:t>
            </w:r>
          </w:p>
        </w:tc>
        <w:tc>
          <w:tcPr>
            <w:tcW w:w="1950" w:type="dxa"/>
            <w:gridSpan w:val="2"/>
            <w:vAlign w:val="center"/>
          </w:tcPr>
          <w:p w14:paraId="4CAA1C5F">
            <w:pPr>
              <w:adjustRightInd w:val="0"/>
              <w:snapToGrid w:val="0"/>
              <w:jc w:val="center"/>
              <w:rPr>
                <w:rFonts w:hint="eastAsia" w:ascii="宋体" w:hAnsi="宋体" w:cs="宋体"/>
                <w:color w:val="auto"/>
                <w:szCs w:val="21"/>
              </w:rPr>
            </w:pPr>
            <w:r>
              <w:rPr>
                <w:rFonts w:hint="eastAsia" w:ascii="宋体" w:hAnsi="宋体" w:cs="宋体"/>
                <w:color w:val="auto"/>
                <w:szCs w:val="21"/>
              </w:rPr>
              <w:t>排放口(编号、名称)/污染源</w:t>
            </w:r>
          </w:p>
        </w:tc>
        <w:tc>
          <w:tcPr>
            <w:tcW w:w="1965" w:type="dxa"/>
            <w:vAlign w:val="center"/>
          </w:tcPr>
          <w:p w14:paraId="350F5070">
            <w:pPr>
              <w:adjustRightInd w:val="0"/>
              <w:snapToGrid w:val="0"/>
              <w:jc w:val="center"/>
              <w:rPr>
                <w:rFonts w:hint="eastAsia" w:ascii="宋体" w:hAnsi="宋体" w:cs="宋体"/>
                <w:color w:val="auto"/>
                <w:szCs w:val="21"/>
              </w:rPr>
            </w:pPr>
            <w:r>
              <w:rPr>
                <w:rFonts w:hint="eastAsia" w:ascii="宋体" w:hAnsi="宋体" w:cs="宋体"/>
                <w:color w:val="auto"/>
                <w:szCs w:val="21"/>
              </w:rPr>
              <w:t>污染物项目</w:t>
            </w:r>
          </w:p>
        </w:tc>
        <w:tc>
          <w:tcPr>
            <w:tcW w:w="1845" w:type="dxa"/>
            <w:vAlign w:val="center"/>
          </w:tcPr>
          <w:p w14:paraId="278DB00E">
            <w:pPr>
              <w:adjustRightInd w:val="0"/>
              <w:snapToGrid w:val="0"/>
              <w:jc w:val="center"/>
              <w:rPr>
                <w:rFonts w:hint="eastAsia" w:ascii="宋体" w:hAnsi="宋体" w:cs="宋体"/>
                <w:color w:val="auto"/>
                <w:szCs w:val="21"/>
              </w:rPr>
            </w:pPr>
            <w:r>
              <w:rPr>
                <w:rFonts w:hint="eastAsia" w:ascii="宋体" w:hAnsi="宋体" w:cs="宋体"/>
                <w:color w:val="auto"/>
                <w:szCs w:val="21"/>
              </w:rPr>
              <w:t>环境保护措施</w:t>
            </w:r>
          </w:p>
        </w:tc>
        <w:tc>
          <w:tcPr>
            <w:tcW w:w="2104" w:type="dxa"/>
            <w:vAlign w:val="center"/>
          </w:tcPr>
          <w:p w14:paraId="01A7DAFD">
            <w:pPr>
              <w:adjustRightInd w:val="0"/>
              <w:snapToGrid w:val="0"/>
              <w:jc w:val="center"/>
              <w:rPr>
                <w:rFonts w:hint="eastAsia" w:ascii="宋体" w:hAnsi="宋体" w:cs="宋体"/>
                <w:color w:val="auto"/>
                <w:szCs w:val="21"/>
              </w:rPr>
            </w:pPr>
            <w:r>
              <w:rPr>
                <w:rFonts w:hint="eastAsia" w:ascii="宋体" w:hAnsi="宋体" w:cs="宋体"/>
                <w:color w:val="auto"/>
                <w:szCs w:val="21"/>
              </w:rPr>
              <w:t>执行标准</w:t>
            </w:r>
          </w:p>
        </w:tc>
      </w:tr>
      <w:tr w14:paraId="6A14AD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90" w:type="dxa"/>
            <w:vMerge w:val="restart"/>
            <w:vAlign w:val="center"/>
          </w:tcPr>
          <w:p w14:paraId="5C979B6E">
            <w:pPr>
              <w:adjustRightInd w:val="0"/>
              <w:snapToGrid w:val="0"/>
              <w:jc w:val="center"/>
              <w:rPr>
                <w:rFonts w:hint="eastAsia" w:ascii="宋体" w:hAnsi="宋体" w:cs="宋体"/>
                <w:color w:val="auto"/>
                <w:szCs w:val="21"/>
              </w:rPr>
            </w:pPr>
            <w:r>
              <w:rPr>
                <w:rFonts w:hint="eastAsia" w:ascii="宋体" w:hAnsi="宋体" w:cs="宋体"/>
                <w:color w:val="auto"/>
                <w:szCs w:val="21"/>
              </w:rPr>
              <w:t>大气环境</w:t>
            </w:r>
          </w:p>
        </w:tc>
        <w:tc>
          <w:tcPr>
            <w:tcW w:w="960" w:type="dxa"/>
            <w:vMerge w:val="restart"/>
            <w:vAlign w:val="center"/>
          </w:tcPr>
          <w:p w14:paraId="23C3636C">
            <w:pPr>
              <w:adjustRightInd w:val="0"/>
              <w:snapToGrid w:val="0"/>
              <w:jc w:val="center"/>
              <w:rPr>
                <w:rFonts w:hint="default"/>
                <w:color w:val="auto"/>
                <w:szCs w:val="21"/>
                <w:lang w:val="en-US" w:eastAsia="zh-CN"/>
              </w:rPr>
            </w:pPr>
            <w:r>
              <w:rPr>
                <w:rFonts w:hint="eastAsia"/>
                <w:color w:val="auto"/>
                <w:szCs w:val="21"/>
                <w:lang w:val="en-US" w:eastAsia="zh-CN"/>
              </w:rPr>
              <w:t>有组织</w:t>
            </w:r>
          </w:p>
        </w:tc>
        <w:tc>
          <w:tcPr>
            <w:tcW w:w="990" w:type="dxa"/>
            <w:vAlign w:val="center"/>
          </w:tcPr>
          <w:p w14:paraId="491719B8">
            <w:pPr>
              <w:adjustRightInd w:val="0"/>
              <w:snapToGrid w:val="0"/>
              <w:jc w:val="center"/>
              <w:rPr>
                <w:rFonts w:hint="default"/>
                <w:color w:val="auto"/>
                <w:szCs w:val="21"/>
                <w:lang w:val="en-US" w:eastAsia="zh-CN"/>
              </w:rPr>
            </w:pPr>
            <w:r>
              <w:rPr>
                <w:rFonts w:hint="eastAsia"/>
                <w:color w:val="auto"/>
                <w:szCs w:val="21"/>
                <w:lang w:val="en-US" w:eastAsia="zh-CN"/>
              </w:rPr>
              <w:t>DA002</w:t>
            </w:r>
          </w:p>
        </w:tc>
        <w:tc>
          <w:tcPr>
            <w:tcW w:w="1965" w:type="dxa"/>
            <w:vAlign w:val="center"/>
          </w:tcPr>
          <w:p w14:paraId="406123C4">
            <w:pPr>
              <w:adjustRightInd w:val="0"/>
              <w:snapToGrid w:val="0"/>
              <w:jc w:val="center"/>
              <w:rPr>
                <w:rFonts w:hint="default"/>
                <w:color w:val="auto"/>
                <w:szCs w:val="21"/>
                <w:lang w:val="en-US" w:eastAsia="zh-CN"/>
              </w:rPr>
            </w:pPr>
            <w:r>
              <w:rPr>
                <w:rFonts w:hint="eastAsia"/>
                <w:color w:val="auto"/>
                <w:szCs w:val="21"/>
                <w:lang w:val="en-US" w:eastAsia="zh-CN"/>
              </w:rPr>
              <w:t>NMHC</w:t>
            </w:r>
          </w:p>
        </w:tc>
        <w:tc>
          <w:tcPr>
            <w:tcW w:w="1845" w:type="dxa"/>
            <w:shd w:val="clear" w:color="auto" w:fill="auto"/>
            <w:vAlign w:val="center"/>
          </w:tcPr>
          <w:p w14:paraId="66DEBA7D">
            <w:pPr>
              <w:pStyle w:val="112"/>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rPr>
              <w:t>水喷淋+二级干式过滤+活性炭吸附脱附+催化燃烧</w:t>
            </w:r>
          </w:p>
        </w:tc>
        <w:tc>
          <w:tcPr>
            <w:tcW w:w="2104" w:type="dxa"/>
            <w:vMerge w:val="restart"/>
            <w:shd w:val="clear" w:color="auto" w:fill="auto"/>
            <w:vAlign w:val="center"/>
          </w:tcPr>
          <w:p w14:paraId="73164940">
            <w:pPr>
              <w:pStyle w:val="10"/>
              <w:spacing w:before="0" w:after="0" w:line="240" w:lineRule="auto"/>
              <w:ind w:right="0" w:rightChars="0"/>
              <w:jc w:val="center"/>
              <w:rPr>
                <w:rFonts w:ascii="Times New Roman" w:hAnsi="Times New Roman" w:eastAsia="宋体" w:cs="Times New Roman"/>
                <w:color w:val="auto"/>
                <w:kern w:val="0"/>
                <w:sz w:val="18"/>
                <w:szCs w:val="20"/>
                <w:lang w:val="en-US" w:eastAsia="zh-CN" w:bidi="ar-SA"/>
              </w:rPr>
            </w:pPr>
            <w:r>
              <w:rPr>
                <w:rFonts w:hint="default" w:ascii="Times New Roman" w:hAnsi="Times New Roman" w:eastAsia="宋体" w:cs="Times New Roman"/>
                <w:color w:val="auto"/>
                <w:sz w:val="21"/>
                <w:szCs w:val="21"/>
                <w:highlight w:val="none"/>
                <w:lang w:val="en-US" w:eastAsia="zh-CN"/>
              </w:rPr>
              <w:t>《印刷工业大气污染物排放标准》（DB32/4438-2022</w:t>
            </w:r>
            <w:r>
              <w:rPr>
                <w:rFonts w:hint="eastAsia" w:ascii="Times New Roman" w:hAnsi="Times New Roman" w:eastAsia="宋体" w:cs="Times New Roman"/>
                <w:color w:val="auto"/>
                <w:sz w:val="21"/>
                <w:szCs w:val="21"/>
                <w:highlight w:val="none"/>
                <w:lang w:val="en-US" w:eastAsia="zh-CN"/>
              </w:rPr>
              <w:t>）</w:t>
            </w:r>
          </w:p>
        </w:tc>
      </w:tr>
      <w:tr w14:paraId="457931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90" w:type="dxa"/>
            <w:vMerge w:val="continue"/>
            <w:vAlign w:val="center"/>
          </w:tcPr>
          <w:p w14:paraId="65D6A26B">
            <w:pPr>
              <w:adjustRightInd w:val="0"/>
              <w:snapToGrid w:val="0"/>
              <w:jc w:val="center"/>
              <w:rPr>
                <w:rFonts w:hint="eastAsia" w:ascii="宋体" w:hAnsi="宋体" w:cs="宋体"/>
                <w:color w:val="auto"/>
                <w:szCs w:val="21"/>
              </w:rPr>
            </w:pPr>
          </w:p>
        </w:tc>
        <w:tc>
          <w:tcPr>
            <w:tcW w:w="960" w:type="dxa"/>
            <w:vMerge w:val="continue"/>
            <w:vAlign w:val="center"/>
          </w:tcPr>
          <w:p w14:paraId="197A53AE">
            <w:pPr>
              <w:adjustRightInd w:val="0"/>
              <w:snapToGrid w:val="0"/>
              <w:jc w:val="center"/>
              <w:rPr>
                <w:rFonts w:hint="eastAsia"/>
                <w:color w:val="auto"/>
                <w:szCs w:val="21"/>
                <w:lang w:val="en-US" w:eastAsia="zh-CN"/>
              </w:rPr>
            </w:pPr>
          </w:p>
        </w:tc>
        <w:tc>
          <w:tcPr>
            <w:tcW w:w="990" w:type="dxa"/>
            <w:vAlign w:val="center"/>
          </w:tcPr>
          <w:p w14:paraId="25F27F6D">
            <w:pPr>
              <w:adjustRightInd w:val="0"/>
              <w:snapToGrid w:val="0"/>
              <w:jc w:val="center"/>
              <w:rPr>
                <w:rFonts w:hint="default"/>
                <w:color w:val="auto"/>
                <w:szCs w:val="21"/>
                <w:lang w:val="en-US" w:eastAsia="zh-CN"/>
              </w:rPr>
            </w:pPr>
            <w:r>
              <w:rPr>
                <w:rFonts w:hint="eastAsia"/>
                <w:color w:val="auto"/>
                <w:szCs w:val="21"/>
                <w:lang w:val="en-US" w:eastAsia="zh-CN"/>
              </w:rPr>
              <w:t>DA005</w:t>
            </w:r>
          </w:p>
        </w:tc>
        <w:tc>
          <w:tcPr>
            <w:tcW w:w="1965" w:type="dxa"/>
            <w:vAlign w:val="center"/>
          </w:tcPr>
          <w:p w14:paraId="3A75C597">
            <w:pPr>
              <w:adjustRightInd w:val="0"/>
              <w:snapToGrid w:val="0"/>
              <w:jc w:val="center"/>
              <w:rPr>
                <w:rFonts w:hint="default"/>
                <w:color w:val="auto"/>
                <w:szCs w:val="21"/>
                <w:lang w:val="en-US" w:eastAsia="zh-CN"/>
              </w:rPr>
            </w:pPr>
            <w:r>
              <w:rPr>
                <w:rFonts w:hint="eastAsia"/>
                <w:color w:val="auto"/>
                <w:szCs w:val="21"/>
                <w:lang w:val="en-US" w:eastAsia="zh-CN"/>
              </w:rPr>
              <w:t>NMHC</w:t>
            </w:r>
          </w:p>
        </w:tc>
        <w:tc>
          <w:tcPr>
            <w:tcW w:w="1845" w:type="dxa"/>
            <w:shd w:val="clear" w:color="auto" w:fill="auto"/>
            <w:vAlign w:val="center"/>
          </w:tcPr>
          <w:p w14:paraId="4A88A99E">
            <w:pPr>
              <w:pStyle w:val="112"/>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lang w:val="en-US" w:eastAsia="zh-CN"/>
              </w:rPr>
              <w:t>二级</w:t>
            </w:r>
            <w:r>
              <w:rPr>
                <w:rFonts w:hint="default" w:ascii="Times New Roman" w:hAnsi="Times New Roman" w:cs="Times New Roman"/>
              </w:rPr>
              <w:t>活性炭吸附</w:t>
            </w:r>
          </w:p>
        </w:tc>
        <w:tc>
          <w:tcPr>
            <w:tcW w:w="2104" w:type="dxa"/>
            <w:vMerge w:val="continue"/>
            <w:vAlign w:val="center"/>
          </w:tcPr>
          <w:p w14:paraId="68ABBD43">
            <w:pPr>
              <w:pStyle w:val="10"/>
              <w:spacing w:before="0" w:after="0" w:line="240" w:lineRule="auto"/>
              <w:ind w:right="0"/>
              <w:jc w:val="center"/>
              <w:rPr>
                <w:rFonts w:ascii="Times New Roman" w:hAnsi="Times New Roman" w:eastAsia="宋体" w:cs="Times New Roman"/>
                <w:color w:val="auto"/>
                <w:kern w:val="2"/>
                <w:sz w:val="21"/>
                <w:szCs w:val="21"/>
                <w:lang w:val="en-US" w:eastAsia="zh-CN" w:bidi="ar-SA"/>
              </w:rPr>
            </w:pPr>
          </w:p>
        </w:tc>
      </w:tr>
      <w:tr w14:paraId="6F3465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90" w:type="dxa"/>
            <w:vMerge w:val="continue"/>
            <w:vAlign w:val="center"/>
          </w:tcPr>
          <w:p w14:paraId="40E1A162">
            <w:pPr>
              <w:adjustRightInd w:val="0"/>
              <w:snapToGrid w:val="0"/>
              <w:jc w:val="center"/>
              <w:rPr>
                <w:rFonts w:hint="eastAsia" w:ascii="宋体" w:hAnsi="宋体" w:cs="宋体"/>
                <w:color w:val="auto"/>
                <w:szCs w:val="21"/>
              </w:rPr>
            </w:pPr>
          </w:p>
        </w:tc>
        <w:tc>
          <w:tcPr>
            <w:tcW w:w="960" w:type="dxa"/>
            <w:vMerge w:val="restart"/>
            <w:shd w:val="clear" w:color="auto" w:fill="auto"/>
            <w:vAlign w:val="center"/>
          </w:tcPr>
          <w:p w14:paraId="611A3DC0">
            <w:pPr>
              <w:adjustRightInd w:val="0"/>
              <w:snapToGrid w:val="0"/>
              <w:jc w:val="center"/>
              <w:rPr>
                <w:rFonts w:hint="eastAsia"/>
                <w:color w:val="auto"/>
                <w:szCs w:val="21"/>
                <w:lang w:val="en-US" w:eastAsia="zh-CN"/>
              </w:rPr>
            </w:pPr>
            <w:r>
              <w:rPr>
                <w:rFonts w:hint="eastAsia"/>
                <w:color w:val="auto"/>
                <w:szCs w:val="21"/>
                <w:lang w:val="en-US" w:eastAsia="zh-CN"/>
              </w:rPr>
              <w:t>无组织</w:t>
            </w:r>
          </w:p>
        </w:tc>
        <w:tc>
          <w:tcPr>
            <w:tcW w:w="990" w:type="dxa"/>
            <w:shd w:val="clear" w:color="auto" w:fill="auto"/>
            <w:vAlign w:val="center"/>
          </w:tcPr>
          <w:p w14:paraId="7D49562A">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厂界</w:t>
            </w:r>
          </w:p>
        </w:tc>
        <w:tc>
          <w:tcPr>
            <w:tcW w:w="1965" w:type="dxa"/>
            <w:shd w:val="clear" w:color="auto" w:fill="auto"/>
            <w:vAlign w:val="center"/>
          </w:tcPr>
          <w:p w14:paraId="4C428D0E">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NMHC</w:t>
            </w:r>
          </w:p>
        </w:tc>
        <w:tc>
          <w:tcPr>
            <w:tcW w:w="1845" w:type="dxa"/>
            <w:shd w:val="clear" w:color="auto" w:fill="auto"/>
            <w:vAlign w:val="center"/>
          </w:tcPr>
          <w:p w14:paraId="30B7E8B2">
            <w:pPr>
              <w:pStyle w:val="112"/>
              <w:rPr>
                <w:rFonts w:hint="eastAsia" w:ascii="Times New Roman" w:hAnsi="Times New Roman" w:eastAsia="宋体" w:cs="Times New Roman"/>
                <w:color w:val="auto"/>
                <w:kern w:val="2"/>
                <w:sz w:val="21"/>
                <w:szCs w:val="21"/>
                <w:lang w:val="en-US" w:eastAsia="zh-CN" w:bidi="ar-SA"/>
              </w:rPr>
            </w:pPr>
            <w:r>
              <w:rPr>
                <w:color w:val="auto"/>
                <w:spacing w:val="-10"/>
                <w:szCs w:val="21"/>
              </w:rPr>
              <w:t>提高</w:t>
            </w:r>
            <w:r>
              <w:rPr>
                <w:rFonts w:hint="eastAsia"/>
                <w:color w:val="auto"/>
                <w:spacing w:val="-10"/>
                <w:szCs w:val="21"/>
              </w:rPr>
              <w:t>废气</w:t>
            </w:r>
            <w:r>
              <w:rPr>
                <w:color w:val="auto"/>
                <w:spacing w:val="-10"/>
                <w:szCs w:val="21"/>
              </w:rPr>
              <w:t>收集效率</w:t>
            </w:r>
            <w:r>
              <w:rPr>
                <w:rFonts w:hint="eastAsia"/>
                <w:color w:val="auto"/>
                <w:spacing w:val="-10"/>
                <w:szCs w:val="21"/>
              </w:rPr>
              <w:t>，增加绿化</w:t>
            </w:r>
          </w:p>
        </w:tc>
        <w:tc>
          <w:tcPr>
            <w:tcW w:w="2104" w:type="dxa"/>
            <w:vAlign w:val="center"/>
          </w:tcPr>
          <w:p w14:paraId="078B97EA">
            <w:pPr>
              <w:pStyle w:val="10"/>
              <w:spacing w:before="0" w:after="0" w:line="240" w:lineRule="auto"/>
              <w:ind w:right="0"/>
              <w:jc w:val="center"/>
              <w:rPr>
                <w:rFonts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《大气污染物综合排放标准》（DB32/4041-2021）</w:t>
            </w:r>
          </w:p>
        </w:tc>
      </w:tr>
      <w:tr w14:paraId="553C68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90" w:type="dxa"/>
            <w:vMerge w:val="continue"/>
            <w:vAlign w:val="center"/>
          </w:tcPr>
          <w:p w14:paraId="36B47195">
            <w:pPr>
              <w:adjustRightInd w:val="0"/>
              <w:snapToGrid w:val="0"/>
              <w:jc w:val="center"/>
              <w:rPr>
                <w:rFonts w:hint="eastAsia" w:ascii="宋体" w:hAnsi="宋体" w:cs="宋体"/>
                <w:color w:val="auto"/>
                <w:szCs w:val="21"/>
              </w:rPr>
            </w:pPr>
          </w:p>
        </w:tc>
        <w:tc>
          <w:tcPr>
            <w:tcW w:w="960" w:type="dxa"/>
            <w:vMerge w:val="continue"/>
            <w:vAlign w:val="center"/>
          </w:tcPr>
          <w:p w14:paraId="63E38CF8">
            <w:pPr>
              <w:adjustRightInd w:val="0"/>
              <w:snapToGrid w:val="0"/>
              <w:jc w:val="center"/>
              <w:rPr>
                <w:rFonts w:hint="eastAsia"/>
                <w:color w:val="auto"/>
                <w:szCs w:val="21"/>
                <w:lang w:val="en-US" w:eastAsia="zh-CN"/>
              </w:rPr>
            </w:pPr>
          </w:p>
        </w:tc>
        <w:tc>
          <w:tcPr>
            <w:tcW w:w="990" w:type="dxa"/>
            <w:shd w:val="clear" w:color="auto" w:fill="auto"/>
            <w:vAlign w:val="center"/>
          </w:tcPr>
          <w:p w14:paraId="69C7F85C">
            <w:pPr>
              <w:adjustRightInd w:val="0"/>
              <w:snapToGrid w:val="0"/>
              <w:jc w:val="center"/>
              <w:rPr>
                <w:rFonts w:hint="default" w:ascii="Times New Roman" w:hAnsi="Times New Roman" w:eastAsia="宋体" w:cs="Times New Roman"/>
                <w:color w:val="auto"/>
                <w:kern w:val="2"/>
                <w:sz w:val="21"/>
                <w:szCs w:val="21"/>
                <w:lang w:val="en-US" w:eastAsia="zh-CN" w:bidi="ar-SA"/>
              </w:rPr>
            </w:pPr>
            <w:r>
              <w:rPr>
                <w:color w:val="auto"/>
                <w:szCs w:val="21"/>
              </w:rPr>
              <w:t>厂区内厂房外</w:t>
            </w:r>
          </w:p>
        </w:tc>
        <w:tc>
          <w:tcPr>
            <w:tcW w:w="1965" w:type="dxa"/>
            <w:shd w:val="clear" w:color="auto" w:fill="auto"/>
            <w:vAlign w:val="center"/>
          </w:tcPr>
          <w:p w14:paraId="74B60662">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NMHC</w:t>
            </w:r>
          </w:p>
        </w:tc>
        <w:tc>
          <w:tcPr>
            <w:tcW w:w="1845" w:type="dxa"/>
            <w:shd w:val="clear" w:color="auto" w:fill="auto"/>
            <w:vAlign w:val="center"/>
          </w:tcPr>
          <w:p w14:paraId="14972849">
            <w:pPr>
              <w:pStyle w:val="112"/>
              <w:rPr>
                <w:rFonts w:hint="eastAsia" w:ascii="Times New Roman" w:hAnsi="Times New Roman" w:eastAsia="宋体" w:cs="Times New Roman"/>
                <w:color w:val="auto"/>
                <w:kern w:val="2"/>
                <w:sz w:val="21"/>
                <w:szCs w:val="21"/>
                <w:lang w:val="en-US" w:eastAsia="zh-CN" w:bidi="ar-SA"/>
              </w:rPr>
            </w:pPr>
            <w:r>
              <w:rPr>
                <w:color w:val="auto"/>
                <w:spacing w:val="-10"/>
                <w:szCs w:val="21"/>
              </w:rPr>
              <w:t>提高</w:t>
            </w:r>
            <w:r>
              <w:rPr>
                <w:rFonts w:hint="eastAsia"/>
                <w:color w:val="auto"/>
                <w:spacing w:val="-10"/>
                <w:szCs w:val="21"/>
              </w:rPr>
              <w:t>废气</w:t>
            </w:r>
            <w:r>
              <w:rPr>
                <w:color w:val="auto"/>
                <w:spacing w:val="-10"/>
                <w:szCs w:val="21"/>
              </w:rPr>
              <w:t>收集效率</w:t>
            </w:r>
            <w:r>
              <w:rPr>
                <w:rFonts w:hint="eastAsia"/>
                <w:color w:val="auto"/>
                <w:spacing w:val="-10"/>
                <w:szCs w:val="21"/>
              </w:rPr>
              <w:t>，增加绿化</w:t>
            </w:r>
          </w:p>
        </w:tc>
        <w:tc>
          <w:tcPr>
            <w:tcW w:w="2104" w:type="dxa"/>
            <w:vAlign w:val="center"/>
          </w:tcPr>
          <w:p w14:paraId="418EE3EA">
            <w:pPr>
              <w:pStyle w:val="10"/>
              <w:spacing w:before="0" w:after="0" w:line="240" w:lineRule="auto"/>
              <w:ind w:right="0"/>
              <w:jc w:val="center"/>
              <w:rPr>
                <w:rFonts w:ascii="Times New Roman" w:hAnsi="Times New Roman" w:eastAsia="宋体" w:cs="Times New Roman"/>
                <w:color w:val="auto"/>
                <w:kern w:val="2"/>
                <w:sz w:val="21"/>
                <w:szCs w:val="21"/>
                <w:lang w:val="en-US" w:eastAsia="zh-CN" w:bidi="ar-SA"/>
              </w:rPr>
            </w:pPr>
            <w:r>
              <w:rPr>
                <w:rFonts w:hint="eastAsia"/>
                <w:color w:val="auto"/>
                <w:sz w:val="21"/>
                <w:szCs w:val="21"/>
              </w:rPr>
              <w:t>《玻璃工业大气污染物排放标准》</w:t>
            </w:r>
            <w:r>
              <w:rPr>
                <w:rFonts w:hint="eastAsia"/>
                <w:color w:val="auto"/>
                <w:sz w:val="21"/>
                <w:szCs w:val="21"/>
                <w:lang w:eastAsia="zh-CN"/>
              </w:rPr>
              <w:t>（</w:t>
            </w:r>
            <w:r>
              <w:rPr>
                <w:rFonts w:hint="eastAsia"/>
                <w:color w:val="auto"/>
                <w:sz w:val="21"/>
                <w:szCs w:val="21"/>
              </w:rPr>
              <w:t>GB26453-2022</w:t>
            </w:r>
            <w:r>
              <w:rPr>
                <w:rFonts w:hint="eastAsia"/>
                <w:color w:val="auto"/>
                <w:sz w:val="21"/>
                <w:szCs w:val="21"/>
                <w:lang w:eastAsia="zh-CN"/>
              </w:rPr>
              <w:t>）</w:t>
            </w:r>
          </w:p>
        </w:tc>
      </w:tr>
      <w:tr w14:paraId="4161A0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90" w:type="dxa"/>
            <w:vMerge w:val="restart"/>
            <w:vAlign w:val="center"/>
          </w:tcPr>
          <w:p w14:paraId="0706FF5D">
            <w:pPr>
              <w:adjustRightInd w:val="0"/>
              <w:snapToGrid w:val="0"/>
              <w:jc w:val="center"/>
              <w:rPr>
                <w:rFonts w:hint="eastAsia" w:ascii="宋体" w:hAnsi="宋体" w:cs="宋体"/>
                <w:color w:val="auto"/>
                <w:szCs w:val="21"/>
              </w:rPr>
            </w:pPr>
            <w:r>
              <w:rPr>
                <w:rFonts w:hint="eastAsia" w:ascii="宋体" w:hAnsi="宋体" w:cs="宋体"/>
                <w:color w:val="auto"/>
                <w:szCs w:val="21"/>
              </w:rPr>
              <w:t>地表水环境</w:t>
            </w:r>
          </w:p>
        </w:tc>
        <w:tc>
          <w:tcPr>
            <w:tcW w:w="1950" w:type="dxa"/>
            <w:gridSpan w:val="2"/>
            <w:shd w:val="clear" w:color="auto" w:fill="auto"/>
            <w:vAlign w:val="center"/>
          </w:tcPr>
          <w:p w14:paraId="327F4643">
            <w:pPr>
              <w:keepNext w:val="0"/>
              <w:keepLines w:val="0"/>
              <w:pageBreakBefore w:val="0"/>
              <w:kinsoku/>
              <w:wordWrap/>
              <w:overflowPunct/>
              <w:topLinePunct w:val="0"/>
              <w:autoSpaceDE/>
              <w:autoSpaceDN/>
              <w:bidi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生活污水</w:t>
            </w:r>
          </w:p>
        </w:tc>
        <w:tc>
          <w:tcPr>
            <w:tcW w:w="1965" w:type="dxa"/>
            <w:shd w:val="clear" w:color="auto" w:fill="auto"/>
            <w:vAlign w:val="center"/>
          </w:tcPr>
          <w:p w14:paraId="57B74A03">
            <w:pPr>
              <w:keepNext w:val="0"/>
              <w:keepLines w:val="0"/>
              <w:pageBreakBefore w:val="0"/>
              <w:widowControl/>
              <w:kinsoku/>
              <w:wordWrap/>
              <w:overflowPunct/>
              <w:topLinePunct w:val="0"/>
              <w:autoSpaceDE/>
              <w:autoSpaceDN/>
              <w:bidi w:val="0"/>
              <w:adjustRightIn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pH</w:t>
            </w:r>
            <w:r>
              <w:rPr>
                <w:rFonts w:hint="eastAsia"/>
                <w:color w:val="auto"/>
                <w:szCs w:val="21"/>
                <w:lang w:eastAsia="zh-CN"/>
              </w:rPr>
              <w:t>、</w:t>
            </w:r>
            <w:r>
              <w:rPr>
                <w:color w:val="auto"/>
                <w:szCs w:val="21"/>
              </w:rPr>
              <w:t>COD、</w:t>
            </w:r>
            <w:r>
              <w:rPr>
                <w:rFonts w:hint="eastAsia"/>
                <w:color w:val="auto"/>
                <w:szCs w:val="21"/>
                <w:lang w:val="en-US" w:eastAsia="zh-CN"/>
              </w:rPr>
              <w:t>BOD</w:t>
            </w:r>
            <w:r>
              <w:rPr>
                <w:rFonts w:hint="eastAsia"/>
                <w:color w:val="auto"/>
                <w:szCs w:val="21"/>
                <w:vertAlign w:val="subscript"/>
                <w:lang w:val="en-US" w:eastAsia="zh-CN"/>
              </w:rPr>
              <w:t>5</w:t>
            </w:r>
            <w:r>
              <w:rPr>
                <w:rFonts w:hint="eastAsia"/>
                <w:color w:val="auto"/>
                <w:szCs w:val="21"/>
                <w:lang w:val="en-US" w:eastAsia="zh-CN"/>
              </w:rPr>
              <w:t>、</w:t>
            </w:r>
            <w:r>
              <w:rPr>
                <w:color w:val="auto"/>
                <w:szCs w:val="21"/>
              </w:rPr>
              <w:t>SS、NH</w:t>
            </w:r>
            <w:r>
              <w:rPr>
                <w:color w:val="auto"/>
                <w:szCs w:val="21"/>
                <w:vertAlign w:val="subscript"/>
              </w:rPr>
              <w:t>3</w:t>
            </w:r>
            <w:r>
              <w:rPr>
                <w:color w:val="auto"/>
                <w:szCs w:val="21"/>
              </w:rPr>
              <w:t>-N、TN、TP</w:t>
            </w:r>
          </w:p>
        </w:tc>
        <w:tc>
          <w:tcPr>
            <w:tcW w:w="1845" w:type="dxa"/>
            <w:vAlign w:val="center"/>
          </w:tcPr>
          <w:p w14:paraId="2D9F2E7B">
            <w:pPr>
              <w:jc w:val="center"/>
              <w:rPr>
                <w:rFonts w:hint="eastAsia" w:eastAsia="宋体"/>
                <w:color w:val="auto"/>
                <w:szCs w:val="21"/>
                <w:lang w:eastAsia="zh-CN"/>
              </w:rPr>
            </w:pPr>
            <w:r>
              <w:rPr>
                <w:rFonts w:hint="eastAsia"/>
                <w:color w:val="auto"/>
                <w:szCs w:val="21"/>
                <w:lang w:val="en-US" w:eastAsia="zh-CN"/>
              </w:rPr>
              <w:t>化粪池</w:t>
            </w:r>
          </w:p>
        </w:tc>
        <w:tc>
          <w:tcPr>
            <w:tcW w:w="2104" w:type="dxa"/>
            <w:vMerge w:val="restart"/>
            <w:vAlign w:val="center"/>
          </w:tcPr>
          <w:p w14:paraId="4EC6F2E8">
            <w:pPr>
              <w:jc w:val="center"/>
              <w:rPr>
                <w:rFonts w:hint="default" w:eastAsia="宋体"/>
                <w:bCs/>
                <w:color w:val="auto"/>
                <w:szCs w:val="21"/>
                <w:lang w:val="en-US" w:eastAsia="zh-CN"/>
              </w:rPr>
            </w:pPr>
            <w:r>
              <w:rPr>
                <w:rFonts w:hint="eastAsia"/>
                <w:bCs/>
                <w:color w:val="auto"/>
                <w:szCs w:val="21"/>
                <w:lang w:val="en-US" w:eastAsia="zh-CN"/>
              </w:rPr>
              <w:t>城东污水处理厂二期接管标准</w:t>
            </w:r>
          </w:p>
        </w:tc>
      </w:tr>
      <w:tr w14:paraId="5FCCD4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90" w:type="dxa"/>
            <w:vMerge w:val="continue"/>
            <w:vAlign w:val="center"/>
          </w:tcPr>
          <w:p w14:paraId="40A99253">
            <w:pPr>
              <w:adjustRightInd w:val="0"/>
              <w:snapToGrid w:val="0"/>
              <w:jc w:val="center"/>
              <w:rPr>
                <w:rFonts w:hint="eastAsia" w:ascii="宋体" w:hAnsi="宋体" w:cs="宋体"/>
                <w:color w:val="auto"/>
                <w:szCs w:val="21"/>
              </w:rPr>
            </w:pPr>
          </w:p>
        </w:tc>
        <w:tc>
          <w:tcPr>
            <w:tcW w:w="1950" w:type="dxa"/>
            <w:gridSpan w:val="2"/>
            <w:shd w:val="clear" w:color="auto" w:fill="auto"/>
            <w:vAlign w:val="center"/>
          </w:tcPr>
          <w:p w14:paraId="2E37089C">
            <w:pPr>
              <w:keepNext w:val="0"/>
              <w:keepLines w:val="0"/>
              <w:pageBreakBefore w:val="0"/>
              <w:kinsoku/>
              <w:wordWrap/>
              <w:overflowPunct/>
              <w:topLinePunct w:val="0"/>
              <w:autoSpaceDE/>
              <w:autoSpaceDN/>
              <w:bidi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生产废水</w:t>
            </w:r>
          </w:p>
        </w:tc>
        <w:tc>
          <w:tcPr>
            <w:tcW w:w="1965" w:type="dxa"/>
            <w:shd w:val="clear" w:color="auto" w:fill="auto"/>
            <w:vAlign w:val="center"/>
          </w:tcPr>
          <w:p w14:paraId="2B464B68">
            <w:pPr>
              <w:keepNext w:val="0"/>
              <w:keepLines w:val="0"/>
              <w:pageBreakBefore w:val="0"/>
              <w:widowControl/>
              <w:kinsoku/>
              <w:wordWrap/>
              <w:overflowPunct/>
              <w:topLinePunct w:val="0"/>
              <w:autoSpaceDE/>
              <w:autoSpaceDN/>
              <w:bidi w:val="0"/>
              <w:adjustRightIn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pH</w:t>
            </w:r>
            <w:r>
              <w:rPr>
                <w:rFonts w:hint="eastAsia"/>
                <w:color w:val="auto"/>
                <w:szCs w:val="21"/>
                <w:lang w:eastAsia="zh-CN"/>
              </w:rPr>
              <w:t>、</w:t>
            </w:r>
            <w:r>
              <w:rPr>
                <w:color w:val="auto"/>
                <w:szCs w:val="21"/>
              </w:rPr>
              <w:t>COD、</w:t>
            </w:r>
            <w:r>
              <w:rPr>
                <w:rFonts w:hint="eastAsia"/>
                <w:color w:val="auto"/>
                <w:szCs w:val="21"/>
                <w:lang w:val="en-US" w:eastAsia="zh-CN"/>
              </w:rPr>
              <w:t>BOD</w:t>
            </w:r>
            <w:r>
              <w:rPr>
                <w:rFonts w:hint="eastAsia"/>
                <w:color w:val="auto"/>
                <w:szCs w:val="21"/>
                <w:vertAlign w:val="subscript"/>
                <w:lang w:val="en-US" w:eastAsia="zh-CN"/>
              </w:rPr>
              <w:t>5</w:t>
            </w:r>
            <w:r>
              <w:rPr>
                <w:rFonts w:hint="eastAsia"/>
                <w:color w:val="auto"/>
                <w:szCs w:val="21"/>
                <w:lang w:val="en-US" w:eastAsia="zh-CN"/>
              </w:rPr>
              <w:t>、</w:t>
            </w:r>
            <w:r>
              <w:rPr>
                <w:color w:val="auto"/>
                <w:szCs w:val="21"/>
              </w:rPr>
              <w:t>SS、NH</w:t>
            </w:r>
            <w:r>
              <w:rPr>
                <w:color w:val="auto"/>
                <w:szCs w:val="21"/>
                <w:vertAlign w:val="subscript"/>
              </w:rPr>
              <w:t>3</w:t>
            </w:r>
            <w:r>
              <w:rPr>
                <w:color w:val="auto"/>
                <w:szCs w:val="21"/>
              </w:rPr>
              <w:t>-N、TN、TP</w:t>
            </w:r>
            <w:r>
              <w:rPr>
                <w:rFonts w:hint="eastAsia"/>
                <w:color w:val="auto"/>
                <w:szCs w:val="21"/>
                <w:lang w:eastAsia="zh-CN"/>
              </w:rPr>
              <w:t>、</w:t>
            </w:r>
            <w:r>
              <w:rPr>
                <w:rFonts w:hint="eastAsia" w:ascii="Times New Roman" w:hAnsi="Times New Roman" w:eastAsia="宋体" w:cs="Times New Roman"/>
                <w:color w:val="auto"/>
                <w:szCs w:val="21"/>
                <w:lang w:val="en-US" w:eastAsia="zh-CN"/>
              </w:rPr>
              <w:t>氟化物</w:t>
            </w:r>
          </w:p>
        </w:tc>
        <w:tc>
          <w:tcPr>
            <w:tcW w:w="1845" w:type="dxa"/>
            <w:vAlign w:val="center"/>
          </w:tcPr>
          <w:p w14:paraId="2A882C88">
            <w:pPr>
              <w:jc w:val="center"/>
              <w:rPr>
                <w:rFonts w:hint="default" w:eastAsia="宋体"/>
                <w:color w:val="auto"/>
                <w:szCs w:val="21"/>
                <w:lang w:val="en-US" w:eastAsia="zh-CN"/>
              </w:rPr>
            </w:pPr>
            <w:r>
              <w:rPr>
                <w:rFonts w:hint="eastAsia"/>
                <w:color w:val="auto"/>
                <w:szCs w:val="21"/>
                <w:lang w:val="en-US" w:eastAsia="zh-CN"/>
              </w:rPr>
              <w:t>污水处理装置</w:t>
            </w:r>
          </w:p>
        </w:tc>
        <w:tc>
          <w:tcPr>
            <w:tcW w:w="2104" w:type="dxa"/>
            <w:vMerge w:val="continue"/>
            <w:vAlign w:val="center"/>
          </w:tcPr>
          <w:p w14:paraId="2F6079B2">
            <w:pPr>
              <w:jc w:val="center"/>
              <w:rPr>
                <w:rFonts w:hint="eastAsia"/>
                <w:bCs/>
                <w:color w:val="auto"/>
                <w:szCs w:val="21"/>
              </w:rPr>
            </w:pPr>
          </w:p>
        </w:tc>
      </w:tr>
      <w:tr w14:paraId="7F50B5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90" w:type="dxa"/>
            <w:vAlign w:val="center"/>
          </w:tcPr>
          <w:p w14:paraId="59533508">
            <w:pPr>
              <w:adjustRightInd w:val="0"/>
              <w:snapToGrid w:val="0"/>
              <w:jc w:val="center"/>
              <w:rPr>
                <w:rFonts w:hint="eastAsia" w:ascii="宋体" w:hAnsi="宋体" w:cs="宋体"/>
                <w:color w:val="auto"/>
                <w:szCs w:val="21"/>
              </w:rPr>
            </w:pPr>
            <w:r>
              <w:rPr>
                <w:rFonts w:hint="eastAsia" w:ascii="宋体" w:hAnsi="宋体" w:cs="宋体"/>
                <w:color w:val="auto"/>
                <w:szCs w:val="21"/>
              </w:rPr>
              <w:t>声环境</w:t>
            </w:r>
          </w:p>
        </w:tc>
        <w:tc>
          <w:tcPr>
            <w:tcW w:w="1950" w:type="dxa"/>
            <w:gridSpan w:val="2"/>
            <w:vAlign w:val="center"/>
          </w:tcPr>
          <w:p w14:paraId="682654C9">
            <w:pPr>
              <w:adjustRightInd w:val="0"/>
              <w:snapToGrid w:val="0"/>
              <w:jc w:val="center"/>
              <w:rPr>
                <w:rFonts w:hint="eastAsia" w:ascii="宋体" w:hAnsi="宋体" w:cs="宋体"/>
                <w:color w:val="auto"/>
                <w:szCs w:val="21"/>
              </w:rPr>
            </w:pPr>
            <w:r>
              <w:rPr>
                <w:color w:val="auto"/>
                <w:szCs w:val="21"/>
              </w:rPr>
              <w:t>设备</w:t>
            </w:r>
          </w:p>
        </w:tc>
        <w:tc>
          <w:tcPr>
            <w:tcW w:w="1965" w:type="dxa"/>
            <w:vAlign w:val="center"/>
          </w:tcPr>
          <w:p w14:paraId="218F9DE7">
            <w:pPr>
              <w:adjustRightInd w:val="0"/>
              <w:snapToGrid w:val="0"/>
              <w:jc w:val="center"/>
              <w:rPr>
                <w:rFonts w:hint="eastAsia" w:ascii="宋体" w:hAnsi="宋体" w:cs="宋体"/>
                <w:color w:val="auto"/>
                <w:szCs w:val="21"/>
              </w:rPr>
            </w:pPr>
            <w:r>
              <w:rPr>
                <w:color w:val="auto"/>
                <w:szCs w:val="21"/>
              </w:rPr>
              <w:t>设备噪声</w:t>
            </w:r>
          </w:p>
        </w:tc>
        <w:tc>
          <w:tcPr>
            <w:tcW w:w="1845" w:type="dxa"/>
            <w:vAlign w:val="center"/>
          </w:tcPr>
          <w:p w14:paraId="1DA97C90">
            <w:pPr>
              <w:adjustRightInd w:val="0"/>
              <w:snapToGrid w:val="0"/>
              <w:jc w:val="center"/>
              <w:rPr>
                <w:rFonts w:hint="eastAsia" w:ascii="宋体" w:hAnsi="宋体" w:cs="宋体"/>
                <w:color w:val="auto"/>
                <w:szCs w:val="21"/>
              </w:rPr>
            </w:pPr>
            <w:r>
              <w:rPr>
                <w:rFonts w:hint="eastAsia"/>
                <w:color w:val="auto"/>
              </w:rPr>
              <w:t>设备合理化布置，安装隔声窗户，厂房隔声，距离衰减等</w:t>
            </w:r>
          </w:p>
        </w:tc>
        <w:tc>
          <w:tcPr>
            <w:tcW w:w="2104" w:type="dxa"/>
            <w:vAlign w:val="center"/>
          </w:tcPr>
          <w:p w14:paraId="0A1C6B65">
            <w:pPr>
              <w:adjustRightInd w:val="0"/>
              <w:snapToGrid w:val="0"/>
              <w:jc w:val="center"/>
              <w:rPr>
                <w:rFonts w:hint="eastAsia" w:ascii="宋体" w:hAnsi="宋体" w:cs="宋体"/>
                <w:color w:val="auto"/>
                <w:szCs w:val="21"/>
              </w:rPr>
            </w:pPr>
            <w:r>
              <w:rPr>
                <w:color w:val="auto"/>
                <w:szCs w:val="21"/>
              </w:rPr>
              <w:t>《工业企业厂界环境噪声排放标准》（GB</w:t>
            </w:r>
            <w:r>
              <w:rPr>
                <w:rFonts w:hint="eastAsia"/>
                <w:color w:val="auto"/>
                <w:szCs w:val="21"/>
              </w:rPr>
              <w:t>12348</w:t>
            </w:r>
            <w:r>
              <w:rPr>
                <w:color w:val="auto"/>
                <w:szCs w:val="21"/>
              </w:rPr>
              <w:t>-2008）中</w:t>
            </w:r>
            <w:r>
              <w:rPr>
                <w:rFonts w:hint="eastAsia"/>
                <w:color w:val="auto"/>
                <w:szCs w:val="21"/>
              </w:rPr>
              <w:t>3</w:t>
            </w:r>
            <w:r>
              <w:rPr>
                <w:color w:val="auto"/>
                <w:szCs w:val="21"/>
              </w:rPr>
              <w:t>类标准</w:t>
            </w:r>
          </w:p>
        </w:tc>
      </w:tr>
      <w:tr w14:paraId="3D53FD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90" w:type="dxa"/>
            <w:vAlign w:val="center"/>
          </w:tcPr>
          <w:p w14:paraId="5648C409">
            <w:pPr>
              <w:adjustRightInd w:val="0"/>
              <w:snapToGrid w:val="0"/>
              <w:jc w:val="center"/>
              <w:rPr>
                <w:rFonts w:hint="eastAsia" w:ascii="宋体" w:hAnsi="宋体" w:cs="宋体"/>
                <w:color w:val="auto"/>
                <w:szCs w:val="21"/>
              </w:rPr>
            </w:pPr>
            <w:r>
              <w:rPr>
                <w:rFonts w:hint="eastAsia" w:ascii="宋体" w:hAnsi="宋体" w:cs="宋体"/>
                <w:color w:val="auto"/>
                <w:szCs w:val="21"/>
              </w:rPr>
              <w:t>电磁辐射</w:t>
            </w:r>
          </w:p>
        </w:tc>
        <w:tc>
          <w:tcPr>
            <w:tcW w:w="7864" w:type="dxa"/>
            <w:gridSpan w:val="5"/>
            <w:vAlign w:val="center"/>
          </w:tcPr>
          <w:p w14:paraId="40955E6B">
            <w:pPr>
              <w:adjustRightInd w:val="0"/>
              <w:snapToGrid w:val="0"/>
              <w:jc w:val="center"/>
              <w:rPr>
                <w:rFonts w:hint="eastAsia" w:ascii="宋体" w:hAnsi="宋体" w:cs="宋体"/>
                <w:color w:val="auto"/>
                <w:szCs w:val="21"/>
              </w:rPr>
            </w:pPr>
            <w:r>
              <w:rPr>
                <w:rFonts w:hint="eastAsia" w:ascii="宋体" w:hAnsi="宋体" w:cs="宋体"/>
                <w:color w:val="auto"/>
                <w:szCs w:val="21"/>
              </w:rPr>
              <w:t>无</w:t>
            </w:r>
          </w:p>
        </w:tc>
      </w:tr>
      <w:tr w14:paraId="076829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490" w:type="dxa"/>
            <w:vAlign w:val="center"/>
          </w:tcPr>
          <w:p w14:paraId="5A3E328A">
            <w:pPr>
              <w:adjustRightInd w:val="0"/>
              <w:snapToGrid w:val="0"/>
              <w:jc w:val="center"/>
              <w:rPr>
                <w:rFonts w:hint="eastAsia" w:ascii="宋体" w:hAnsi="宋体" w:cs="宋体"/>
                <w:color w:val="auto"/>
                <w:szCs w:val="21"/>
              </w:rPr>
            </w:pPr>
            <w:r>
              <w:rPr>
                <w:rFonts w:hint="eastAsia" w:ascii="宋体" w:hAnsi="宋体" w:cs="宋体"/>
                <w:color w:val="auto"/>
                <w:szCs w:val="21"/>
              </w:rPr>
              <w:t>固体废物</w:t>
            </w:r>
          </w:p>
        </w:tc>
        <w:tc>
          <w:tcPr>
            <w:tcW w:w="7864" w:type="dxa"/>
            <w:gridSpan w:val="5"/>
            <w:vAlign w:val="center"/>
          </w:tcPr>
          <w:p w14:paraId="1F25C7A1">
            <w:pPr>
              <w:pStyle w:val="10"/>
              <w:spacing w:before="0" w:after="0" w:line="240" w:lineRule="auto"/>
              <w:ind w:right="0"/>
              <w:jc w:val="both"/>
              <w:rPr>
                <w:rFonts w:hint="eastAsia" w:ascii="宋体" w:hAnsi="宋体" w:cs="宋体"/>
                <w:color w:val="auto"/>
                <w:sz w:val="21"/>
                <w:szCs w:val="21"/>
              </w:rPr>
            </w:pPr>
            <w:r>
              <w:rPr>
                <w:rFonts w:hint="eastAsia" w:ascii="Times New Roman" w:hAnsi="Times New Roman" w:eastAsia="宋体" w:cs="Times New Roman"/>
                <w:color w:val="auto"/>
                <w:sz w:val="21"/>
                <w:szCs w:val="21"/>
                <w:lang w:val="en-US" w:eastAsia="zh-CN"/>
              </w:rPr>
              <w:t>废包装材料</w:t>
            </w:r>
            <w:r>
              <w:rPr>
                <w:rFonts w:hint="eastAsia" w:ascii="Times New Roman" w:hAnsi="Times New Roman" w:eastAsia="宋体" w:cs="Times New Roman"/>
                <w:color w:val="auto"/>
                <w:sz w:val="21"/>
                <w:szCs w:val="21"/>
              </w:rPr>
              <w:t>统一收集后外售</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不合格品</w:t>
            </w:r>
            <w:r>
              <w:rPr>
                <w:rFonts w:hint="eastAsia" w:cs="Times New Roman"/>
                <w:color w:val="auto"/>
                <w:sz w:val="21"/>
                <w:szCs w:val="21"/>
                <w:lang w:val="en-US" w:eastAsia="zh-CN"/>
              </w:rPr>
              <w:t>、含氟污泥</w:t>
            </w:r>
            <w:r>
              <w:rPr>
                <w:rFonts w:hint="eastAsia" w:ascii="Times New Roman" w:hAnsi="Times New Roman" w:eastAsia="宋体" w:cs="Times New Roman"/>
                <w:color w:val="auto"/>
                <w:sz w:val="21"/>
                <w:szCs w:val="21"/>
                <w:lang w:val="en-US" w:eastAsia="zh-CN"/>
              </w:rPr>
              <w:t>收集后交由相关单位处理</w:t>
            </w:r>
            <w:r>
              <w:rPr>
                <w:rFonts w:hint="eastAsia"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废油墨桶</w:t>
            </w:r>
            <w:r>
              <w:rPr>
                <w:rFonts w:hint="eastAsia"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废抹布手套</w:t>
            </w:r>
            <w:r>
              <w:rPr>
                <w:rFonts w:hint="eastAsia" w:cs="Times New Roman"/>
                <w:color w:val="auto"/>
                <w:sz w:val="21"/>
                <w:szCs w:val="21"/>
                <w:lang w:val="en-US" w:eastAsia="zh-CN"/>
              </w:rPr>
              <w:t>、废石英砂和废活性炭</w:t>
            </w:r>
            <w:r>
              <w:rPr>
                <w:rFonts w:hint="eastAsia" w:ascii="Times New Roman" w:hAnsi="Times New Roman" w:eastAsia="宋体" w:cs="Times New Roman"/>
                <w:color w:val="auto"/>
                <w:sz w:val="21"/>
                <w:szCs w:val="21"/>
              </w:rPr>
              <w:t>委托有资质单位处理；生活垃圾收集后由环卫部门统一清运。</w:t>
            </w:r>
            <w:r>
              <w:rPr>
                <w:color w:val="auto"/>
                <w:sz w:val="21"/>
                <w:szCs w:val="21"/>
              </w:rPr>
              <w:t>企业需做好垃圾分类工作，各类废物分开收集，并按上述措施分类处理。各类废物经妥善处理后，对周边环境无影响。</w:t>
            </w:r>
          </w:p>
        </w:tc>
      </w:tr>
      <w:tr w14:paraId="47E8EB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490" w:type="dxa"/>
            <w:vAlign w:val="center"/>
          </w:tcPr>
          <w:p w14:paraId="4216A8C8">
            <w:pPr>
              <w:adjustRightInd w:val="0"/>
              <w:snapToGrid w:val="0"/>
              <w:jc w:val="center"/>
              <w:rPr>
                <w:rFonts w:hint="eastAsia" w:ascii="宋体" w:hAnsi="宋体" w:cs="宋体"/>
                <w:color w:val="auto"/>
                <w:szCs w:val="21"/>
              </w:rPr>
            </w:pPr>
            <w:r>
              <w:rPr>
                <w:rFonts w:hint="eastAsia" w:ascii="宋体" w:hAnsi="宋体" w:cs="宋体"/>
                <w:color w:val="auto"/>
                <w:szCs w:val="21"/>
              </w:rPr>
              <w:t>土壤及地下水污染防治措施</w:t>
            </w:r>
          </w:p>
        </w:tc>
        <w:tc>
          <w:tcPr>
            <w:tcW w:w="7864" w:type="dxa"/>
            <w:gridSpan w:val="5"/>
            <w:vAlign w:val="center"/>
          </w:tcPr>
          <w:p w14:paraId="7A55C80F">
            <w:pPr>
              <w:adjustRightInd w:val="0"/>
              <w:snapToGrid w:val="0"/>
              <w:rPr>
                <w:rFonts w:hint="eastAsia" w:ascii="宋体" w:hAnsi="宋体" w:cs="宋体"/>
                <w:color w:val="auto"/>
                <w:szCs w:val="21"/>
              </w:rPr>
            </w:pPr>
            <w:r>
              <w:rPr>
                <w:rFonts w:hint="eastAsia"/>
                <w:color w:val="auto"/>
              </w:rPr>
              <w:t>划分为一般防渗区和重点防渗区，其中危废暂存间、污水处理等区域为重点防渗区，其余为一般防渗区。重点防渗区渗透系数不大于10</w:t>
            </w:r>
            <w:r>
              <w:rPr>
                <w:rFonts w:hint="eastAsia"/>
                <w:color w:val="auto"/>
                <w:vertAlign w:val="superscript"/>
              </w:rPr>
              <w:t>-7</w:t>
            </w:r>
            <w:r>
              <w:rPr>
                <w:rFonts w:hint="eastAsia"/>
                <w:color w:val="auto"/>
              </w:rPr>
              <w:t>cm/s；或参照GB18598执行防渗处理。一般防渗区渗透系数不大于10</w:t>
            </w:r>
            <w:r>
              <w:rPr>
                <w:rFonts w:hint="eastAsia"/>
                <w:color w:val="auto"/>
                <w:vertAlign w:val="superscript"/>
              </w:rPr>
              <w:t>-7</w:t>
            </w:r>
            <w:r>
              <w:rPr>
                <w:rFonts w:hint="eastAsia"/>
                <w:color w:val="auto"/>
              </w:rPr>
              <w:t>cm/s，或参照GB 16889执行防渗处理。</w:t>
            </w:r>
          </w:p>
        </w:tc>
      </w:tr>
      <w:tr w14:paraId="2425D4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0" w:type="dxa"/>
            <w:vAlign w:val="center"/>
          </w:tcPr>
          <w:p w14:paraId="4DA41C7C">
            <w:pPr>
              <w:adjustRightInd w:val="0"/>
              <w:snapToGrid w:val="0"/>
              <w:jc w:val="center"/>
              <w:rPr>
                <w:rFonts w:hint="eastAsia" w:ascii="宋体" w:hAnsi="宋体" w:cs="宋体"/>
                <w:color w:val="auto"/>
                <w:szCs w:val="21"/>
              </w:rPr>
            </w:pPr>
            <w:r>
              <w:rPr>
                <w:rFonts w:hint="eastAsia" w:ascii="宋体" w:hAnsi="宋体" w:cs="宋体"/>
                <w:color w:val="auto"/>
                <w:szCs w:val="21"/>
              </w:rPr>
              <w:t>生态保护措施</w:t>
            </w:r>
          </w:p>
        </w:tc>
        <w:tc>
          <w:tcPr>
            <w:tcW w:w="7864" w:type="dxa"/>
            <w:gridSpan w:val="5"/>
            <w:vAlign w:val="center"/>
          </w:tcPr>
          <w:p w14:paraId="2BE5A634">
            <w:pPr>
              <w:adjustRightInd w:val="0"/>
              <w:snapToGrid w:val="0"/>
              <w:jc w:val="center"/>
              <w:rPr>
                <w:rFonts w:hint="eastAsia" w:ascii="宋体" w:hAnsi="宋体" w:cs="宋体"/>
                <w:color w:val="auto"/>
                <w:szCs w:val="21"/>
              </w:rPr>
            </w:pPr>
            <w:r>
              <w:rPr>
                <w:rFonts w:hint="eastAsia" w:ascii="宋体" w:hAnsi="宋体" w:cs="宋体"/>
                <w:color w:val="auto"/>
                <w:szCs w:val="21"/>
              </w:rPr>
              <w:t>无</w:t>
            </w:r>
          </w:p>
        </w:tc>
      </w:tr>
      <w:tr w14:paraId="78D740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2" w:hRule="atLeast"/>
          <w:jc w:val="center"/>
        </w:trPr>
        <w:tc>
          <w:tcPr>
            <w:tcW w:w="1490" w:type="dxa"/>
            <w:vAlign w:val="center"/>
          </w:tcPr>
          <w:p w14:paraId="5A5A3598">
            <w:pPr>
              <w:adjustRightInd w:val="0"/>
              <w:snapToGrid w:val="0"/>
              <w:jc w:val="center"/>
              <w:rPr>
                <w:rFonts w:hint="eastAsia" w:ascii="宋体" w:hAnsi="宋体" w:cs="宋体"/>
                <w:color w:val="auto"/>
                <w:spacing w:val="-8"/>
                <w:szCs w:val="21"/>
              </w:rPr>
            </w:pPr>
            <w:r>
              <w:rPr>
                <w:rFonts w:hint="eastAsia" w:ascii="宋体" w:hAnsi="宋体" w:cs="宋体"/>
                <w:color w:val="auto"/>
                <w:spacing w:val="-8"/>
                <w:szCs w:val="21"/>
              </w:rPr>
              <w:t>环境风险防范措施</w:t>
            </w:r>
          </w:p>
        </w:tc>
        <w:tc>
          <w:tcPr>
            <w:tcW w:w="7864" w:type="dxa"/>
            <w:gridSpan w:val="5"/>
            <w:vAlign w:val="center"/>
          </w:tcPr>
          <w:p w14:paraId="51C6E8A7">
            <w:pPr>
              <w:numPr>
                <w:ilvl w:val="0"/>
                <w:numId w:val="0"/>
              </w:numPr>
              <w:adjustRightInd w:val="0"/>
              <w:snapToGrid w:val="0"/>
              <w:rPr>
                <w:rFonts w:hint="eastAsia" w:ascii="宋体" w:hAnsi="宋体" w:cs="宋体"/>
                <w:color w:val="auto"/>
                <w:szCs w:val="21"/>
              </w:rPr>
            </w:pPr>
            <w:r>
              <w:rPr>
                <w:rFonts w:hint="default" w:ascii="Times New Roman" w:hAnsi="Times New Roman" w:eastAsia="黑体" w:cs="Times New Roman"/>
                <w:color w:val="auto"/>
                <w:kern w:val="2"/>
                <w:sz w:val="21"/>
                <w:szCs w:val="21"/>
                <w:lang w:val="en-US" w:eastAsia="zh-CN" w:bidi="ar-SA"/>
              </w:rPr>
              <w:t>1、</w:t>
            </w:r>
            <w:r>
              <w:rPr>
                <w:rFonts w:hint="eastAsia" w:ascii="宋体" w:hAnsi="宋体" w:cs="宋体"/>
                <w:color w:val="auto"/>
                <w:szCs w:val="21"/>
              </w:rPr>
              <w:t>加强事故预警监控，定期巡检、调节、保养、维修。及时发现有可能引起事故的异常运行苗头，消除事故隐患。</w:t>
            </w:r>
          </w:p>
          <w:p w14:paraId="56D81FBD">
            <w:pPr>
              <w:numPr>
                <w:ilvl w:val="0"/>
                <w:numId w:val="0"/>
              </w:numPr>
              <w:adjustRightInd w:val="0"/>
              <w:snapToGrid w:val="0"/>
              <w:rPr>
                <w:rFonts w:hint="eastAsia" w:ascii="宋体" w:hAnsi="宋体" w:cs="宋体"/>
                <w:color w:val="auto"/>
                <w:szCs w:val="21"/>
              </w:rPr>
            </w:pPr>
            <w:r>
              <w:rPr>
                <w:rFonts w:hint="default" w:ascii="Times New Roman" w:hAnsi="Times New Roman" w:eastAsia="黑体" w:cs="Times New Roman"/>
                <w:color w:val="auto"/>
                <w:kern w:val="2"/>
                <w:sz w:val="21"/>
                <w:szCs w:val="21"/>
                <w:lang w:val="en-US" w:eastAsia="zh-CN" w:bidi="ar-SA"/>
              </w:rPr>
              <w:t>2、</w:t>
            </w:r>
            <w:r>
              <w:rPr>
                <w:rFonts w:hint="eastAsia" w:ascii="宋体" w:hAnsi="宋体" w:cs="宋体"/>
                <w:color w:val="auto"/>
                <w:szCs w:val="21"/>
              </w:rPr>
              <w:t>加强管理和设备维护工作，保持设备的完好率和处理的高效率。备用设备或替换下来的设备要及时检修，并定期检查，使其在需要时能及时使用。</w:t>
            </w:r>
          </w:p>
          <w:p w14:paraId="3C468408">
            <w:pPr>
              <w:numPr>
                <w:ilvl w:val="0"/>
                <w:numId w:val="0"/>
              </w:numPr>
              <w:adjustRightInd w:val="0"/>
              <w:snapToGrid w:val="0"/>
              <w:rPr>
                <w:rFonts w:hint="eastAsia" w:ascii="宋体" w:hAnsi="宋体" w:cs="宋体"/>
                <w:color w:val="auto"/>
                <w:szCs w:val="21"/>
              </w:rPr>
            </w:pPr>
            <w:r>
              <w:rPr>
                <w:rFonts w:hint="default" w:ascii="Times New Roman" w:hAnsi="Times New Roman" w:eastAsia="黑体" w:cs="Times New Roman"/>
                <w:color w:val="auto"/>
                <w:kern w:val="2"/>
                <w:sz w:val="21"/>
                <w:szCs w:val="21"/>
                <w:lang w:val="en-US" w:eastAsia="zh-CN" w:bidi="ar-SA"/>
              </w:rPr>
              <w:t>3、</w:t>
            </w:r>
            <w:r>
              <w:rPr>
                <w:rFonts w:hint="eastAsia" w:ascii="宋体" w:hAnsi="宋体" w:cs="宋体"/>
                <w:color w:val="auto"/>
                <w:szCs w:val="21"/>
              </w:rPr>
              <w:t>废气处理装置故障事故：加强设施的日常维护与保养，定期更换耗材：落实日常巡检、巡视制度现事故及时上报：一旦发生事故应紧急停止，待排除故障后方可恢复运行。</w:t>
            </w:r>
          </w:p>
          <w:p w14:paraId="7843EFBC">
            <w:pPr>
              <w:numPr>
                <w:ilvl w:val="0"/>
                <w:numId w:val="0"/>
              </w:numPr>
              <w:adjustRightInd w:val="0"/>
              <w:snapToGrid w:val="0"/>
              <w:rPr>
                <w:rFonts w:hint="eastAsia" w:ascii="宋体" w:hAnsi="宋体" w:cs="宋体"/>
                <w:color w:val="auto"/>
                <w:szCs w:val="21"/>
              </w:rPr>
            </w:pPr>
            <w:r>
              <w:rPr>
                <w:rFonts w:hint="default" w:ascii="Times New Roman" w:hAnsi="Times New Roman" w:eastAsia="黑体" w:cs="Times New Roman"/>
                <w:color w:val="auto"/>
                <w:kern w:val="2"/>
                <w:sz w:val="21"/>
                <w:szCs w:val="21"/>
                <w:lang w:val="en-US" w:eastAsia="zh-CN" w:bidi="ar-SA"/>
              </w:rPr>
              <w:t>4、</w:t>
            </w:r>
            <w:r>
              <w:rPr>
                <w:rFonts w:hint="eastAsia" w:ascii="宋体" w:hAnsi="宋体" w:cs="宋体"/>
                <w:color w:val="auto"/>
                <w:szCs w:val="21"/>
              </w:rPr>
              <w:t>风险防范措施严格执行《建筑防火</w:t>
            </w:r>
            <w:r>
              <w:rPr>
                <w:rFonts w:hint="eastAsia" w:ascii="宋体" w:hAnsi="宋体" w:cs="宋体"/>
                <w:color w:val="auto"/>
                <w:szCs w:val="21"/>
                <w:lang w:val="en-US" w:eastAsia="zh-CN"/>
              </w:rPr>
              <w:t>通用</w:t>
            </w:r>
            <w:r>
              <w:rPr>
                <w:rFonts w:hint="eastAsia" w:ascii="宋体" w:hAnsi="宋体" w:cs="宋体"/>
                <w:color w:val="auto"/>
                <w:szCs w:val="21"/>
              </w:rPr>
              <w:t>规范》（</w:t>
            </w:r>
            <w:r>
              <w:rPr>
                <w:color w:val="auto"/>
                <w:szCs w:val="21"/>
              </w:rPr>
              <w:t>GB</w:t>
            </w:r>
            <w:r>
              <w:rPr>
                <w:rFonts w:hint="eastAsia"/>
                <w:color w:val="auto"/>
                <w:szCs w:val="21"/>
                <w:lang w:val="en-US" w:eastAsia="zh-CN"/>
              </w:rPr>
              <w:t>55037</w:t>
            </w:r>
            <w:r>
              <w:rPr>
                <w:color w:val="auto"/>
                <w:szCs w:val="21"/>
              </w:rPr>
              <w:t>-20</w:t>
            </w:r>
            <w:r>
              <w:rPr>
                <w:rFonts w:hint="eastAsia"/>
                <w:color w:val="auto"/>
                <w:szCs w:val="21"/>
                <w:lang w:val="en-US" w:eastAsia="zh-CN"/>
              </w:rPr>
              <w:t>22</w:t>
            </w:r>
            <w:r>
              <w:rPr>
                <w:rFonts w:hint="eastAsia" w:ascii="宋体" w:hAnsi="宋体" w:cs="宋体"/>
                <w:color w:val="auto"/>
                <w:szCs w:val="21"/>
              </w:rPr>
              <w:t>）相关要求。</w:t>
            </w:r>
          </w:p>
          <w:p w14:paraId="6150EE6A">
            <w:pPr>
              <w:adjustRightInd w:val="0"/>
              <w:snapToGrid w:val="0"/>
              <w:rPr>
                <w:rFonts w:hint="eastAsia"/>
                <w:color w:val="auto"/>
              </w:rPr>
            </w:pPr>
            <w:r>
              <w:rPr>
                <w:rFonts w:hint="eastAsia"/>
                <w:color w:val="auto"/>
                <w:lang w:val="en-US" w:eastAsia="zh-CN"/>
              </w:rPr>
              <w:t>5、</w:t>
            </w:r>
            <w:r>
              <w:rPr>
                <w:color w:val="auto"/>
              </w:rPr>
              <w:t>建设项目</w:t>
            </w:r>
            <w:r>
              <w:rPr>
                <w:rFonts w:hint="eastAsia"/>
                <w:color w:val="auto"/>
              </w:rPr>
              <w:t>按照要求进行</w:t>
            </w:r>
            <w:r>
              <w:rPr>
                <w:color w:val="auto"/>
              </w:rPr>
              <w:t>环境风险防范措施和事故应急预案</w:t>
            </w:r>
            <w:r>
              <w:rPr>
                <w:rFonts w:hint="eastAsia"/>
                <w:color w:val="auto"/>
              </w:rPr>
              <w:t>，建立完善的环境应急管理体系，提高环境风险防控水平。</w:t>
            </w:r>
          </w:p>
          <w:p w14:paraId="28D7368F">
            <w:pPr>
              <w:adjustRightInd w:val="0"/>
              <w:snapToGrid w:val="0"/>
              <w:rPr>
                <w:rFonts w:hint="eastAsia" w:eastAsia="宋体"/>
                <w:color w:val="auto"/>
                <w:lang w:val="en-US" w:eastAsia="zh-CN"/>
              </w:rPr>
            </w:pPr>
            <w:r>
              <w:rPr>
                <w:rFonts w:hint="eastAsia"/>
                <w:color w:val="auto"/>
                <w:lang w:val="en-US" w:eastAsia="zh-CN"/>
              </w:rPr>
              <w:t>6、</w:t>
            </w:r>
            <w:r>
              <w:rPr>
                <w:rFonts w:hint="eastAsia"/>
                <w:color w:val="auto"/>
                <w:sz w:val="21"/>
                <w:szCs w:val="21"/>
                <w:lang w:val="en-US" w:eastAsia="zh-CN"/>
              </w:rPr>
              <w:t>编制环保设施的安全评估，识别和分析环保设施在规划、建设和运营过程中可能存在的安全风险，提出预防措施，防止事故发生。</w:t>
            </w:r>
          </w:p>
        </w:tc>
      </w:tr>
      <w:tr w14:paraId="7653A6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2" w:hRule="atLeast"/>
          <w:jc w:val="center"/>
        </w:trPr>
        <w:tc>
          <w:tcPr>
            <w:tcW w:w="1490" w:type="dxa"/>
            <w:vAlign w:val="center"/>
          </w:tcPr>
          <w:p w14:paraId="74DB392C">
            <w:pPr>
              <w:adjustRightInd w:val="0"/>
              <w:snapToGrid w:val="0"/>
              <w:jc w:val="center"/>
              <w:rPr>
                <w:rFonts w:hint="eastAsia" w:ascii="宋体" w:hAnsi="宋体" w:cs="宋体"/>
                <w:color w:val="auto"/>
                <w:spacing w:val="-8"/>
                <w:szCs w:val="21"/>
              </w:rPr>
            </w:pPr>
            <w:r>
              <w:rPr>
                <w:rFonts w:hint="eastAsia" w:ascii="宋体" w:hAnsi="宋体" w:cs="宋体"/>
                <w:color w:val="auto"/>
                <w:spacing w:val="-8"/>
                <w:szCs w:val="21"/>
              </w:rPr>
              <w:t>其他环境管理要求</w:t>
            </w:r>
          </w:p>
        </w:tc>
        <w:tc>
          <w:tcPr>
            <w:tcW w:w="7864" w:type="dxa"/>
            <w:gridSpan w:val="5"/>
            <w:vAlign w:val="center"/>
          </w:tcPr>
          <w:p w14:paraId="192D34EA">
            <w:pPr>
              <w:pStyle w:val="8"/>
              <w:ind w:firstLine="420" w:firstLineChars="200"/>
              <w:jc w:val="both"/>
              <w:rPr>
                <w:rFonts w:hint="eastAsia" w:ascii="宋体" w:hAnsi="宋体" w:cs="宋体"/>
                <w:color w:val="auto"/>
                <w:szCs w:val="21"/>
              </w:rPr>
            </w:pPr>
            <w:r>
              <w:rPr>
                <w:color w:val="auto"/>
                <w:sz w:val="21"/>
                <w:szCs w:val="21"/>
              </w:rPr>
              <w:t>本次项目申报后，建设单位应依据国家及地方相关环保要求进行固定污染源排污许可管理，并按照《排污单位自行监测技术指南 总则》（HJ819-2017）</w:t>
            </w:r>
            <w:r>
              <w:rPr>
                <w:rFonts w:hint="eastAsia"/>
                <w:color w:val="auto"/>
                <w:sz w:val="21"/>
                <w:szCs w:val="21"/>
              </w:rPr>
              <w:t>、</w:t>
            </w:r>
            <w:r>
              <w:rPr>
                <w:color w:val="auto"/>
                <w:sz w:val="21"/>
                <w:szCs w:val="21"/>
              </w:rPr>
              <w:t xml:space="preserve">《排污许可证申请与核发技术规范 </w:t>
            </w:r>
            <w:r>
              <w:rPr>
                <w:rFonts w:hint="eastAsia"/>
                <w:color w:val="auto"/>
                <w:sz w:val="21"/>
                <w:szCs w:val="21"/>
                <w:lang w:val="en-US" w:eastAsia="zh-CN"/>
              </w:rPr>
              <w:t>总则</w:t>
            </w:r>
            <w:r>
              <w:rPr>
                <w:color w:val="auto"/>
                <w:sz w:val="21"/>
                <w:szCs w:val="21"/>
              </w:rPr>
              <w:t>》（HJ</w:t>
            </w:r>
            <w:r>
              <w:rPr>
                <w:rFonts w:hint="eastAsia"/>
                <w:color w:val="auto"/>
                <w:sz w:val="21"/>
                <w:szCs w:val="21"/>
                <w:lang w:val="en-US" w:eastAsia="zh-CN"/>
              </w:rPr>
              <w:t>942-2018</w:t>
            </w:r>
            <w:r>
              <w:rPr>
                <w:color w:val="auto"/>
                <w:sz w:val="21"/>
                <w:szCs w:val="21"/>
              </w:rPr>
              <w:t>）</w:t>
            </w:r>
            <w:r>
              <w:rPr>
                <w:rFonts w:hint="eastAsia"/>
                <w:color w:val="auto"/>
                <w:sz w:val="21"/>
                <w:szCs w:val="21"/>
                <w:lang w:val="en-US" w:eastAsia="zh-CN"/>
              </w:rPr>
              <w:t>等</w:t>
            </w:r>
            <w:r>
              <w:rPr>
                <w:color w:val="auto"/>
                <w:sz w:val="21"/>
                <w:szCs w:val="21"/>
              </w:rPr>
              <w:t>有关要求，依据取严执行的原则，制定全厂污染源监测计划，按照相关要求开展例行监测（大气、地表水、噪声）；项目要保证环保投资落实到位，实现</w:t>
            </w:r>
            <w:r>
              <w:rPr>
                <w:rFonts w:hint="eastAsia" w:ascii="宋体" w:hAnsi="宋体" w:cs="宋体"/>
                <w:color w:val="auto"/>
                <w:sz w:val="21"/>
                <w:szCs w:val="21"/>
              </w:rPr>
              <w:t>“</w:t>
            </w:r>
            <w:r>
              <w:rPr>
                <w:color w:val="auto"/>
                <w:sz w:val="21"/>
                <w:szCs w:val="21"/>
              </w:rPr>
              <w:t>三同时</w:t>
            </w:r>
            <w:r>
              <w:rPr>
                <w:rFonts w:hint="eastAsia" w:ascii="宋体" w:hAnsi="宋体" w:cs="宋体"/>
                <w:color w:val="auto"/>
                <w:sz w:val="21"/>
                <w:szCs w:val="21"/>
              </w:rPr>
              <w:t>”</w:t>
            </w:r>
            <w:r>
              <w:rPr>
                <w:color w:val="auto"/>
                <w:sz w:val="21"/>
                <w:szCs w:val="21"/>
              </w:rPr>
              <w:t>；设立专职环保管理部门和人员，根据国家法律法规的有关规定和运行维护及安全技术规程等，制定详细的环境管理规章制度并纳入企业日常管理；切实落实排污许可证制度、报告制度、污染治理设施管理和监控制度、信息公开制度、环保责任制、环境监测制度、应急制度、危险废物全过程管理制度等。</w:t>
            </w:r>
          </w:p>
        </w:tc>
      </w:tr>
    </w:tbl>
    <w:p w14:paraId="021772DC">
      <w:pPr>
        <w:pStyle w:val="27"/>
        <w:jc w:val="center"/>
        <w:outlineLvl w:val="0"/>
        <w:rPr>
          <w:rFonts w:ascii="Times New Roman" w:hAnsi="Times New Roman" w:eastAsia="黑体"/>
          <w:snapToGrid w:val="0"/>
          <w:sz w:val="30"/>
          <w:szCs w:val="30"/>
        </w:rPr>
      </w:pPr>
      <w:r>
        <w:rPr>
          <w:rFonts w:ascii="Times New Roman" w:hAnsi="Times New Roman"/>
          <w:snapToGrid w:val="0"/>
        </w:rPr>
        <w:br w:type="page"/>
      </w:r>
      <w:bookmarkStart w:id="20" w:name="_Toc4414"/>
      <w:r>
        <w:rPr>
          <w:rFonts w:hint="eastAsia" w:ascii="Times New Roman" w:hAnsi="Times New Roman" w:eastAsia="黑体"/>
          <w:snapToGrid w:val="0"/>
          <w:sz w:val="30"/>
          <w:szCs w:val="30"/>
        </w:rPr>
        <w:t>六、结论</w:t>
      </w:r>
      <w:bookmarkEnd w:id="20"/>
    </w:p>
    <w:tbl>
      <w:tblPr>
        <w:tblStyle w:val="3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595CBE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14:paraId="589E25E1">
            <w:pPr>
              <w:spacing w:line="360" w:lineRule="auto"/>
              <w:ind w:firstLine="420" w:firstLineChars="200"/>
              <w:rPr>
                <w:rFonts w:cs="宋体"/>
                <w:szCs w:val="21"/>
              </w:rPr>
            </w:pPr>
            <w:r>
              <w:rPr>
                <w:rFonts w:hint="eastAsia" w:cs="宋体"/>
                <w:szCs w:val="21"/>
              </w:rPr>
              <w:t>项目建设内容、土地利用及选址符合相关的要求，项目总体布局合理，只要项目营运过程中严格遵守国家和地方的有关环保法律、法规，并落实报告表中提出的各项污染防治措施和生态保护措施后可满足环境保护的要求，各项污染物均能实现达标排放，对环境的影响较小。</w:t>
            </w:r>
          </w:p>
          <w:p w14:paraId="46201F47">
            <w:pPr>
              <w:spacing w:line="360" w:lineRule="auto"/>
              <w:ind w:firstLine="420" w:firstLineChars="200"/>
              <w:rPr>
                <w:rFonts w:cs="宋体"/>
                <w:sz w:val="24"/>
              </w:rPr>
            </w:pPr>
            <w:r>
              <w:rPr>
                <w:rFonts w:hint="eastAsia" w:cs="宋体"/>
                <w:szCs w:val="21"/>
              </w:rPr>
              <w:t>从环境保护的角度出发，评价认为，本项目的实施建设是可行的。上述评价结论是在建设单位确定建设内容和规模（包括方案、生产工艺、设备、厂址以及排污情况）的基础上得出的。若改变建设内容和规模，建设单位应按环保部门的有关要求另行申报。</w:t>
            </w:r>
          </w:p>
        </w:tc>
      </w:tr>
    </w:tbl>
    <w:p w14:paraId="7BB7F6F9">
      <w:pPr>
        <w:ind w:firstLine="420"/>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7469E295">
      <w:pPr>
        <w:pStyle w:val="27"/>
        <w:adjustRightInd w:val="0"/>
        <w:snapToGrid w:val="0"/>
        <w:spacing w:before="0" w:beforeAutospacing="0" w:after="0" w:afterAutospacing="0"/>
        <w:outlineLvl w:val="0"/>
        <w:rPr>
          <w:rFonts w:ascii="Times New Roman" w:hAnsi="Times New Roman" w:eastAsia="黑体"/>
          <w:snapToGrid w:val="0"/>
          <w:sz w:val="32"/>
          <w:szCs w:val="32"/>
        </w:rPr>
      </w:pPr>
      <w:bookmarkStart w:id="21" w:name="_Toc13121"/>
      <w:r>
        <w:rPr>
          <w:rFonts w:hint="eastAsia" w:ascii="Times New Roman" w:hAnsi="Times New Roman" w:eastAsia="黑体"/>
          <w:snapToGrid w:val="0"/>
          <w:sz w:val="32"/>
          <w:szCs w:val="32"/>
        </w:rPr>
        <w:t>附表</w:t>
      </w:r>
      <w:bookmarkEnd w:id="21"/>
    </w:p>
    <w:p w14:paraId="1D265A1A">
      <w:pPr>
        <w:pStyle w:val="27"/>
        <w:adjustRightInd w:val="0"/>
        <w:snapToGrid w:val="0"/>
        <w:spacing w:before="0" w:beforeAutospacing="0" w:after="0" w:afterAutospacing="0"/>
        <w:jc w:val="center"/>
        <w:outlineLvl w:val="0"/>
        <w:rPr>
          <w:rFonts w:ascii="Times New Roman" w:hAnsi="Times New Roman" w:eastAsia="方正小标宋_GBK"/>
          <w:snapToGrid w:val="0"/>
          <w:sz w:val="38"/>
          <w:szCs w:val="38"/>
        </w:rPr>
      </w:pPr>
      <w:bookmarkStart w:id="22" w:name="_Toc16367"/>
      <w:r>
        <w:rPr>
          <w:rFonts w:hint="eastAsia" w:ascii="Times New Roman" w:hAnsi="Times New Roman" w:eastAsia="方正小标宋_GBK"/>
          <w:snapToGrid w:val="0"/>
          <w:sz w:val="38"/>
          <w:szCs w:val="38"/>
        </w:rPr>
        <w:t>建设项目污染物排放量汇总表</w:t>
      </w:r>
      <w:bookmarkEnd w:id="22"/>
    </w:p>
    <w:tbl>
      <w:tblPr>
        <w:tblStyle w:val="30"/>
        <w:tblW w:w="1380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968"/>
        <w:gridCol w:w="1588"/>
        <w:gridCol w:w="1770"/>
        <w:gridCol w:w="1230"/>
        <w:gridCol w:w="1800"/>
        <w:gridCol w:w="1605"/>
        <w:gridCol w:w="1620"/>
        <w:gridCol w:w="1965"/>
        <w:gridCol w:w="1263"/>
      </w:tblGrid>
      <w:tr w14:paraId="73F4B9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794" w:hRule="atLeast"/>
          <w:jc w:val="center"/>
        </w:trPr>
        <w:tc>
          <w:tcPr>
            <w:tcW w:w="968" w:type="dxa"/>
            <w:tcBorders>
              <w:tl2br w:val="single" w:color="auto" w:sz="4" w:space="0"/>
            </w:tcBorders>
            <w:tcMar>
              <w:left w:w="28" w:type="dxa"/>
              <w:right w:w="28" w:type="dxa"/>
            </w:tcMar>
            <w:vAlign w:val="center"/>
          </w:tcPr>
          <w:p w14:paraId="635B678B">
            <w:pPr>
              <w:pStyle w:val="42"/>
              <w:spacing w:beforeLines="0" w:afterLines="0" w:line="240" w:lineRule="auto"/>
              <w:jc w:val="right"/>
              <w:rPr>
                <w:rFonts w:ascii="Times New Roman" w:eastAsia="黑体" w:cs="宋体"/>
                <w:b w:val="0"/>
                <w:bCs/>
                <w:snapToGrid w:val="0"/>
                <w:spacing w:val="-6"/>
                <w:kern w:val="21"/>
                <w:szCs w:val="21"/>
              </w:rPr>
            </w:pPr>
            <w:r>
              <w:rPr>
                <w:rFonts w:hint="eastAsia" w:ascii="Times New Roman" w:eastAsia="黑体" w:cs="宋体"/>
                <w:b w:val="0"/>
                <w:bCs/>
                <w:snapToGrid w:val="0"/>
                <w:spacing w:val="-6"/>
                <w:kern w:val="21"/>
                <w:szCs w:val="21"/>
              </w:rPr>
              <w:t>项目</w:t>
            </w:r>
          </w:p>
          <w:p w14:paraId="44A02001">
            <w:pPr>
              <w:pStyle w:val="42"/>
              <w:spacing w:beforeLines="0" w:afterLines="0" w:line="240" w:lineRule="auto"/>
              <w:jc w:val="left"/>
              <w:rPr>
                <w:rFonts w:ascii="Times New Roman" w:eastAsia="黑体" w:cs="宋体"/>
                <w:b w:val="0"/>
                <w:bCs/>
                <w:snapToGrid w:val="0"/>
                <w:spacing w:val="-6"/>
                <w:kern w:val="21"/>
                <w:szCs w:val="21"/>
              </w:rPr>
            </w:pPr>
            <w:r>
              <w:rPr>
                <w:rFonts w:hint="eastAsia" w:ascii="Times New Roman" w:eastAsia="黑体" w:cs="宋体"/>
                <w:b w:val="0"/>
                <w:bCs/>
                <w:snapToGrid w:val="0"/>
                <w:spacing w:val="-6"/>
                <w:kern w:val="21"/>
                <w:szCs w:val="21"/>
              </w:rPr>
              <w:t>分类</w:t>
            </w:r>
          </w:p>
        </w:tc>
        <w:tc>
          <w:tcPr>
            <w:tcW w:w="1588" w:type="dxa"/>
            <w:tcMar>
              <w:left w:w="28" w:type="dxa"/>
              <w:right w:w="28" w:type="dxa"/>
            </w:tcMar>
            <w:vAlign w:val="center"/>
          </w:tcPr>
          <w:p w14:paraId="4DF89E67">
            <w:pPr>
              <w:pStyle w:val="42"/>
              <w:spacing w:beforeLines="0" w:afterLines="0" w:line="240" w:lineRule="auto"/>
              <w:rPr>
                <w:rFonts w:ascii="Times New Roman" w:eastAsia="黑体" w:cs="宋体"/>
                <w:b w:val="0"/>
                <w:bCs/>
                <w:snapToGrid w:val="0"/>
                <w:spacing w:val="-6"/>
                <w:kern w:val="21"/>
                <w:szCs w:val="21"/>
              </w:rPr>
            </w:pPr>
            <w:r>
              <w:rPr>
                <w:rFonts w:hint="eastAsia" w:ascii="Times New Roman" w:eastAsia="黑体" w:cs="宋体"/>
                <w:b w:val="0"/>
                <w:bCs/>
                <w:snapToGrid w:val="0"/>
                <w:spacing w:val="-6"/>
                <w:kern w:val="21"/>
                <w:szCs w:val="21"/>
              </w:rPr>
              <w:t>污染物名称</w:t>
            </w:r>
          </w:p>
        </w:tc>
        <w:tc>
          <w:tcPr>
            <w:tcW w:w="1770" w:type="dxa"/>
            <w:tcMar>
              <w:left w:w="28" w:type="dxa"/>
              <w:right w:w="28" w:type="dxa"/>
            </w:tcMar>
            <w:vAlign w:val="center"/>
          </w:tcPr>
          <w:p w14:paraId="55E1BFAA">
            <w:pPr>
              <w:pStyle w:val="42"/>
              <w:spacing w:beforeLines="0" w:afterLines="0" w:line="240" w:lineRule="auto"/>
              <w:rPr>
                <w:rFonts w:ascii="Times New Roman" w:eastAsia="黑体"/>
                <w:b w:val="0"/>
                <w:bCs/>
                <w:snapToGrid w:val="0"/>
                <w:spacing w:val="-6"/>
                <w:kern w:val="21"/>
                <w:szCs w:val="21"/>
              </w:rPr>
            </w:pPr>
            <w:r>
              <w:rPr>
                <w:rFonts w:ascii="Times New Roman" w:eastAsia="黑体"/>
                <w:b w:val="0"/>
                <w:bCs/>
                <w:snapToGrid w:val="0"/>
                <w:spacing w:val="-6"/>
                <w:kern w:val="21"/>
                <w:szCs w:val="21"/>
              </w:rPr>
              <w:t>现有工程排放量（固</w:t>
            </w:r>
            <w:r>
              <w:rPr>
                <w:rFonts w:hint="eastAsia" w:ascii="Times New Roman" w:eastAsia="黑体"/>
                <w:b w:val="0"/>
                <w:bCs/>
                <w:snapToGrid w:val="0"/>
                <w:spacing w:val="-6"/>
                <w:kern w:val="21"/>
                <w:szCs w:val="21"/>
              </w:rPr>
              <w:t>体</w:t>
            </w:r>
            <w:r>
              <w:rPr>
                <w:rFonts w:ascii="Times New Roman" w:eastAsia="黑体"/>
                <w:b w:val="0"/>
                <w:bCs/>
                <w:snapToGrid w:val="0"/>
                <w:spacing w:val="-6"/>
                <w:kern w:val="21"/>
                <w:szCs w:val="21"/>
              </w:rPr>
              <w:t>废</w:t>
            </w:r>
            <w:r>
              <w:rPr>
                <w:rFonts w:hint="eastAsia" w:ascii="Times New Roman" w:eastAsia="黑体"/>
                <w:b w:val="0"/>
                <w:bCs/>
                <w:snapToGrid w:val="0"/>
                <w:spacing w:val="-6"/>
                <w:kern w:val="21"/>
                <w:szCs w:val="21"/>
              </w:rPr>
              <w:t>物</w:t>
            </w:r>
            <w:r>
              <w:rPr>
                <w:rFonts w:ascii="Times New Roman" w:eastAsia="黑体"/>
                <w:b w:val="0"/>
                <w:bCs/>
                <w:snapToGrid w:val="0"/>
                <w:spacing w:val="-6"/>
                <w:kern w:val="21"/>
                <w:szCs w:val="21"/>
              </w:rPr>
              <w:t>产生量）</w:t>
            </w:r>
            <w:r>
              <w:rPr>
                <w:rFonts w:ascii="Times New Roman" w:eastAsia="黑体"/>
                <w:b w:val="0"/>
                <w:bCs/>
                <w:snapToGrid w:val="0"/>
                <w:spacing w:val="-6"/>
                <w:kern w:val="21"/>
                <w:szCs w:val="21"/>
              </w:rPr>
              <w:fldChar w:fldCharType="begin"/>
            </w:r>
            <w:r>
              <w:rPr>
                <w:rFonts w:ascii="Times New Roman" w:eastAsia="黑体"/>
                <w:b w:val="0"/>
                <w:bCs/>
                <w:snapToGrid w:val="0"/>
                <w:spacing w:val="-6"/>
                <w:kern w:val="21"/>
                <w:szCs w:val="21"/>
              </w:rPr>
              <w:instrText xml:space="preserve"> = 1 \* GB3 \* MERGEFORMAT </w:instrText>
            </w:r>
            <w:r>
              <w:rPr>
                <w:rFonts w:ascii="Times New Roman" w:eastAsia="黑体"/>
                <w:b w:val="0"/>
                <w:bCs/>
                <w:snapToGrid w:val="0"/>
                <w:spacing w:val="-6"/>
                <w:kern w:val="21"/>
                <w:szCs w:val="21"/>
              </w:rPr>
              <w:fldChar w:fldCharType="separate"/>
            </w:r>
            <w:r>
              <w:rPr>
                <w:rFonts w:hint="eastAsia" w:ascii="Times New Roman" w:eastAsia="黑体" w:cs="宋体"/>
                <w:b w:val="0"/>
                <w:bCs/>
                <w:kern w:val="2"/>
                <w:szCs w:val="21"/>
              </w:rPr>
              <w:t>①</w:t>
            </w:r>
            <w:r>
              <w:rPr>
                <w:rFonts w:ascii="Times New Roman" w:eastAsia="黑体"/>
                <w:b w:val="0"/>
                <w:bCs/>
                <w:snapToGrid w:val="0"/>
                <w:spacing w:val="-6"/>
                <w:kern w:val="21"/>
                <w:szCs w:val="21"/>
              </w:rPr>
              <w:fldChar w:fldCharType="end"/>
            </w:r>
          </w:p>
        </w:tc>
        <w:tc>
          <w:tcPr>
            <w:tcW w:w="1230" w:type="dxa"/>
            <w:tcMar>
              <w:left w:w="28" w:type="dxa"/>
              <w:right w:w="28" w:type="dxa"/>
            </w:tcMar>
            <w:vAlign w:val="center"/>
          </w:tcPr>
          <w:p w14:paraId="5082CC53">
            <w:pPr>
              <w:pStyle w:val="42"/>
              <w:spacing w:beforeLines="0" w:afterLines="0" w:line="240" w:lineRule="auto"/>
              <w:rPr>
                <w:rFonts w:ascii="Times New Roman" w:eastAsia="黑体"/>
                <w:b w:val="0"/>
                <w:bCs/>
                <w:snapToGrid w:val="0"/>
                <w:spacing w:val="-6"/>
                <w:kern w:val="21"/>
                <w:szCs w:val="21"/>
              </w:rPr>
            </w:pPr>
            <w:r>
              <w:rPr>
                <w:rFonts w:ascii="Times New Roman" w:eastAsia="黑体"/>
                <w:b w:val="0"/>
                <w:bCs/>
                <w:snapToGrid w:val="0"/>
                <w:spacing w:val="-6"/>
                <w:kern w:val="21"/>
                <w:szCs w:val="21"/>
              </w:rPr>
              <w:t>现有工程许可排放量</w:t>
            </w:r>
            <w:r>
              <w:rPr>
                <w:rFonts w:ascii="Times New Roman" w:eastAsia="黑体"/>
                <w:b w:val="0"/>
                <w:bCs/>
                <w:snapToGrid w:val="0"/>
                <w:spacing w:val="-6"/>
                <w:kern w:val="21"/>
                <w:szCs w:val="21"/>
              </w:rPr>
              <w:fldChar w:fldCharType="begin"/>
            </w:r>
            <w:r>
              <w:rPr>
                <w:rFonts w:ascii="Times New Roman" w:eastAsia="黑体"/>
                <w:b w:val="0"/>
                <w:bCs/>
                <w:snapToGrid w:val="0"/>
                <w:spacing w:val="-6"/>
                <w:kern w:val="21"/>
                <w:szCs w:val="21"/>
              </w:rPr>
              <w:instrText xml:space="preserve"> = 2 \* GB3 \* MERGEFORMAT </w:instrText>
            </w:r>
            <w:r>
              <w:rPr>
                <w:rFonts w:ascii="Times New Roman" w:eastAsia="黑体"/>
                <w:b w:val="0"/>
                <w:bCs/>
                <w:snapToGrid w:val="0"/>
                <w:spacing w:val="-6"/>
                <w:kern w:val="21"/>
                <w:szCs w:val="21"/>
              </w:rPr>
              <w:fldChar w:fldCharType="separate"/>
            </w:r>
            <w:r>
              <w:rPr>
                <w:rFonts w:hint="eastAsia" w:ascii="Times New Roman" w:eastAsia="黑体" w:cs="宋体"/>
                <w:b w:val="0"/>
                <w:bCs/>
                <w:snapToGrid w:val="0"/>
                <w:spacing w:val="-6"/>
                <w:kern w:val="21"/>
                <w:szCs w:val="21"/>
              </w:rPr>
              <w:t>②</w:t>
            </w:r>
            <w:r>
              <w:rPr>
                <w:rFonts w:ascii="Times New Roman" w:eastAsia="黑体"/>
                <w:b w:val="0"/>
                <w:bCs/>
                <w:snapToGrid w:val="0"/>
                <w:spacing w:val="-6"/>
                <w:kern w:val="21"/>
                <w:szCs w:val="21"/>
              </w:rPr>
              <w:fldChar w:fldCharType="end"/>
            </w:r>
          </w:p>
        </w:tc>
        <w:tc>
          <w:tcPr>
            <w:tcW w:w="1800" w:type="dxa"/>
            <w:tcMar>
              <w:left w:w="28" w:type="dxa"/>
              <w:right w:w="28" w:type="dxa"/>
            </w:tcMar>
            <w:vAlign w:val="center"/>
          </w:tcPr>
          <w:p w14:paraId="44E577C0">
            <w:pPr>
              <w:pStyle w:val="42"/>
              <w:spacing w:beforeLines="0" w:afterLines="0" w:line="240" w:lineRule="auto"/>
              <w:rPr>
                <w:rFonts w:ascii="Times New Roman" w:eastAsia="黑体"/>
                <w:b w:val="0"/>
                <w:bCs/>
                <w:snapToGrid w:val="0"/>
                <w:spacing w:val="-6"/>
                <w:kern w:val="21"/>
                <w:szCs w:val="21"/>
              </w:rPr>
            </w:pPr>
            <w:r>
              <w:rPr>
                <w:rFonts w:ascii="Times New Roman" w:eastAsia="黑体"/>
                <w:b w:val="0"/>
                <w:bCs/>
                <w:snapToGrid w:val="0"/>
                <w:spacing w:val="-6"/>
                <w:kern w:val="21"/>
                <w:szCs w:val="21"/>
              </w:rPr>
              <w:t>在建工程排放量（固</w:t>
            </w:r>
            <w:r>
              <w:rPr>
                <w:rFonts w:hint="eastAsia" w:ascii="Times New Roman" w:eastAsia="黑体"/>
                <w:b w:val="0"/>
                <w:bCs/>
                <w:snapToGrid w:val="0"/>
                <w:spacing w:val="-6"/>
                <w:kern w:val="21"/>
                <w:szCs w:val="21"/>
              </w:rPr>
              <w:t>体</w:t>
            </w:r>
            <w:r>
              <w:rPr>
                <w:rFonts w:ascii="Times New Roman" w:eastAsia="黑体"/>
                <w:b w:val="0"/>
                <w:bCs/>
                <w:snapToGrid w:val="0"/>
                <w:spacing w:val="-6"/>
                <w:kern w:val="21"/>
                <w:szCs w:val="21"/>
              </w:rPr>
              <w:t>废</w:t>
            </w:r>
            <w:r>
              <w:rPr>
                <w:rFonts w:hint="eastAsia" w:ascii="Times New Roman" w:eastAsia="黑体"/>
                <w:b w:val="0"/>
                <w:bCs/>
                <w:snapToGrid w:val="0"/>
                <w:spacing w:val="-6"/>
                <w:kern w:val="21"/>
                <w:szCs w:val="21"/>
              </w:rPr>
              <w:t>物</w:t>
            </w:r>
            <w:r>
              <w:rPr>
                <w:rFonts w:ascii="Times New Roman" w:eastAsia="黑体"/>
                <w:b w:val="0"/>
                <w:bCs/>
                <w:snapToGrid w:val="0"/>
                <w:spacing w:val="-6"/>
                <w:kern w:val="21"/>
                <w:szCs w:val="21"/>
              </w:rPr>
              <w:t>产生量）</w:t>
            </w:r>
            <w:r>
              <w:rPr>
                <w:rFonts w:ascii="Times New Roman" w:eastAsia="黑体"/>
                <w:b w:val="0"/>
                <w:bCs/>
                <w:snapToGrid w:val="0"/>
                <w:spacing w:val="-6"/>
                <w:kern w:val="21"/>
                <w:szCs w:val="21"/>
              </w:rPr>
              <w:fldChar w:fldCharType="begin"/>
            </w:r>
            <w:r>
              <w:rPr>
                <w:rFonts w:ascii="Times New Roman" w:eastAsia="黑体"/>
                <w:b w:val="0"/>
                <w:bCs/>
                <w:snapToGrid w:val="0"/>
                <w:spacing w:val="-6"/>
                <w:kern w:val="21"/>
                <w:szCs w:val="21"/>
              </w:rPr>
              <w:instrText xml:space="preserve"> = 3 \* GB3 \* MERGEFORMAT </w:instrText>
            </w:r>
            <w:r>
              <w:rPr>
                <w:rFonts w:ascii="Times New Roman" w:eastAsia="黑体"/>
                <w:b w:val="0"/>
                <w:bCs/>
                <w:snapToGrid w:val="0"/>
                <w:spacing w:val="-6"/>
                <w:kern w:val="21"/>
                <w:szCs w:val="21"/>
              </w:rPr>
              <w:fldChar w:fldCharType="separate"/>
            </w:r>
            <w:r>
              <w:rPr>
                <w:rFonts w:hint="eastAsia" w:ascii="Times New Roman" w:eastAsia="黑体" w:cs="宋体"/>
                <w:b w:val="0"/>
                <w:bCs/>
                <w:kern w:val="2"/>
                <w:szCs w:val="21"/>
              </w:rPr>
              <w:t>③</w:t>
            </w:r>
            <w:r>
              <w:rPr>
                <w:rFonts w:ascii="Times New Roman" w:eastAsia="黑体"/>
                <w:b w:val="0"/>
                <w:bCs/>
                <w:snapToGrid w:val="0"/>
                <w:spacing w:val="-6"/>
                <w:kern w:val="21"/>
                <w:szCs w:val="21"/>
              </w:rPr>
              <w:fldChar w:fldCharType="end"/>
            </w:r>
          </w:p>
        </w:tc>
        <w:tc>
          <w:tcPr>
            <w:tcW w:w="1605" w:type="dxa"/>
            <w:tcMar>
              <w:left w:w="28" w:type="dxa"/>
              <w:right w:w="28" w:type="dxa"/>
            </w:tcMar>
            <w:vAlign w:val="center"/>
          </w:tcPr>
          <w:p w14:paraId="322FD44C">
            <w:pPr>
              <w:pStyle w:val="42"/>
              <w:spacing w:beforeLines="0" w:afterLines="0" w:line="240" w:lineRule="auto"/>
              <w:rPr>
                <w:rFonts w:ascii="Times New Roman" w:eastAsia="黑体"/>
                <w:b w:val="0"/>
                <w:bCs/>
                <w:snapToGrid w:val="0"/>
                <w:spacing w:val="-6"/>
                <w:kern w:val="21"/>
                <w:szCs w:val="21"/>
              </w:rPr>
            </w:pPr>
            <w:r>
              <w:rPr>
                <w:rFonts w:ascii="Times New Roman" w:eastAsia="黑体"/>
                <w:b w:val="0"/>
                <w:bCs/>
                <w:snapToGrid w:val="0"/>
                <w:spacing w:val="-6"/>
                <w:kern w:val="21"/>
                <w:szCs w:val="21"/>
              </w:rPr>
              <w:t>本项目排放量（固</w:t>
            </w:r>
            <w:r>
              <w:rPr>
                <w:rFonts w:hint="eastAsia" w:ascii="Times New Roman" w:eastAsia="黑体"/>
                <w:b w:val="0"/>
                <w:bCs/>
                <w:snapToGrid w:val="0"/>
                <w:spacing w:val="-6"/>
                <w:kern w:val="21"/>
                <w:szCs w:val="21"/>
              </w:rPr>
              <w:t>体</w:t>
            </w:r>
            <w:r>
              <w:rPr>
                <w:rFonts w:ascii="Times New Roman" w:eastAsia="黑体"/>
                <w:b w:val="0"/>
                <w:bCs/>
                <w:snapToGrid w:val="0"/>
                <w:spacing w:val="-6"/>
                <w:kern w:val="21"/>
                <w:szCs w:val="21"/>
              </w:rPr>
              <w:t>废</w:t>
            </w:r>
            <w:r>
              <w:rPr>
                <w:rFonts w:hint="eastAsia" w:ascii="Times New Roman" w:eastAsia="黑体"/>
                <w:b w:val="0"/>
                <w:bCs/>
                <w:snapToGrid w:val="0"/>
                <w:spacing w:val="-6"/>
                <w:kern w:val="21"/>
                <w:szCs w:val="21"/>
              </w:rPr>
              <w:t>物</w:t>
            </w:r>
            <w:r>
              <w:rPr>
                <w:rFonts w:ascii="Times New Roman" w:eastAsia="黑体"/>
                <w:b w:val="0"/>
                <w:bCs/>
                <w:snapToGrid w:val="0"/>
                <w:spacing w:val="-6"/>
                <w:kern w:val="21"/>
                <w:szCs w:val="21"/>
              </w:rPr>
              <w:t>产生量）</w:t>
            </w:r>
            <w:r>
              <w:rPr>
                <w:rFonts w:ascii="Times New Roman" w:eastAsia="黑体"/>
                <w:b w:val="0"/>
                <w:bCs/>
                <w:snapToGrid w:val="0"/>
                <w:spacing w:val="-6"/>
                <w:kern w:val="21"/>
                <w:szCs w:val="21"/>
              </w:rPr>
              <w:fldChar w:fldCharType="begin"/>
            </w:r>
            <w:r>
              <w:rPr>
                <w:rFonts w:ascii="Times New Roman" w:eastAsia="黑体"/>
                <w:b w:val="0"/>
                <w:bCs/>
                <w:snapToGrid w:val="0"/>
                <w:spacing w:val="-6"/>
                <w:kern w:val="21"/>
                <w:szCs w:val="21"/>
              </w:rPr>
              <w:instrText xml:space="preserve"> = 4 \* GB3 \* MERGEFORMAT </w:instrText>
            </w:r>
            <w:r>
              <w:rPr>
                <w:rFonts w:ascii="Times New Roman" w:eastAsia="黑体"/>
                <w:b w:val="0"/>
                <w:bCs/>
                <w:snapToGrid w:val="0"/>
                <w:spacing w:val="-6"/>
                <w:kern w:val="21"/>
                <w:szCs w:val="21"/>
              </w:rPr>
              <w:fldChar w:fldCharType="separate"/>
            </w:r>
            <w:r>
              <w:rPr>
                <w:rFonts w:hint="eastAsia" w:ascii="Times New Roman" w:eastAsia="黑体" w:cs="宋体"/>
                <w:b w:val="0"/>
                <w:bCs/>
                <w:kern w:val="2"/>
                <w:szCs w:val="21"/>
              </w:rPr>
              <w:t>④</w:t>
            </w:r>
            <w:r>
              <w:rPr>
                <w:rFonts w:ascii="Times New Roman" w:eastAsia="黑体"/>
                <w:b w:val="0"/>
                <w:bCs/>
                <w:snapToGrid w:val="0"/>
                <w:spacing w:val="-6"/>
                <w:kern w:val="21"/>
                <w:szCs w:val="21"/>
              </w:rPr>
              <w:fldChar w:fldCharType="end"/>
            </w:r>
          </w:p>
        </w:tc>
        <w:tc>
          <w:tcPr>
            <w:tcW w:w="1620" w:type="dxa"/>
            <w:tcMar>
              <w:left w:w="28" w:type="dxa"/>
              <w:right w:w="28" w:type="dxa"/>
            </w:tcMar>
            <w:vAlign w:val="center"/>
          </w:tcPr>
          <w:p w14:paraId="6FF02F63">
            <w:pPr>
              <w:pStyle w:val="42"/>
              <w:spacing w:beforeLines="0" w:afterLines="0" w:line="240" w:lineRule="auto"/>
              <w:rPr>
                <w:rFonts w:ascii="Times New Roman" w:eastAsia="黑体"/>
                <w:b w:val="0"/>
                <w:bCs/>
                <w:snapToGrid w:val="0"/>
                <w:spacing w:val="-16"/>
                <w:kern w:val="21"/>
                <w:szCs w:val="21"/>
              </w:rPr>
            </w:pPr>
            <w:r>
              <w:rPr>
                <w:rFonts w:ascii="Times New Roman" w:eastAsia="黑体"/>
                <w:b w:val="0"/>
                <w:bCs/>
                <w:snapToGrid w:val="0"/>
                <w:spacing w:val="-16"/>
                <w:kern w:val="21"/>
                <w:szCs w:val="21"/>
              </w:rPr>
              <w:t>以新带老削减量（新建项目不填）</w:t>
            </w:r>
            <w:r>
              <w:rPr>
                <w:rFonts w:ascii="Times New Roman" w:eastAsia="黑体"/>
                <w:b w:val="0"/>
                <w:bCs/>
                <w:snapToGrid w:val="0"/>
                <w:spacing w:val="-16"/>
                <w:kern w:val="21"/>
                <w:szCs w:val="21"/>
              </w:rPr>
              <w:fldChar w:fldCharType="begin"/>
            </w:r>
            <w:r>
              <w:rPr>
                <w:rFonts w:ascii="Times New Roman" w:eastAsia="黑体"/>
                <w:b w:val="0"/>
                <w:bCs/>
                <w:snapToGrid w:val="0"/>
                <w:spacing w:val="-16"/>
                <w:kern w:val="21"/>
                <w:szCs w:val="21"/>
              </w:rPr>
              <w:instrText xml:space="preserve"> = 5 \* GB3 \* MERGEFORMAT </w:instrText>
            </w:r>
            <w:r>
              <w:rPr>
                <w:rFonts w:ascii="Times New Roman" w:eastAsia="黑体"/>
                <w:b w:val="0"/>
                <w:bCs/>
                <w:snapToGrid w:val="0"/>
                <w:spacing w:val="-16"/>
                <w:kern w:val="21"/>
                <w:szCs w:val="21"/>
              </w:rPr>
              <w:fldChar w:fldCharType="separate"/>
            </w:r>
            <w:r>
              <w:rPr>
                <w:rFonts w:hint="eastAsia" w:ascii="Times New Roman" w:eastAsia="黑体" w:cs="宋体"/>
                <w:b w:val="0"/>
                <w:bCs/>
                <w:kern w:val="2"/>
                <w:szCs w:val="21"/>
              </w:rPr>
              <w:t>⑤</w:t>
            </w:r>
            <w:r>
              <w:rPr>
                <w:rFonts w:ascii="Times New Roman" w:eastAsia="黑体"/>
                <w:b w:val="0"/>
                <w:bCs/>
                <w:snapToGrid w:val="0"/>
                <w:spacing w:val="-16"/>
                <w:kern w:val="21"/>
                <w:szCs w:val="21"/>
              </w:rPr>
              <w:fldChar w:fldCharType="end"/>
            </w:r>
          </w:p>
        </w:tc>
        <w:tc>
          <w:tcPr>
            <w:tcW w:w="1965" w:type="dxa"/>
            <w:tcMar>
              <w:left w:w="28" w:type="dxa"/>
              <w:right w:w="28" w:type="dxa"/>
            </w:tcMar>
            <w:vAlign w:val="center"/>
          </w:tcPr>
          <w:p w14:paraId="6C56E99D">
            <w:pPr>
              <w:pStyle w:val="42"/>
              <w:spacing w:beforeLines="0" w:afterLines="0" w:line="240" w:lineRule="auto"/>
              <w:rPr>
                <w:rFonts w:ascii="Times New Roman" w:eastAsia="黑体"/>
                <w:b w:val="0"/>
                <w:bCs/>
                <w:snapToGrid w:val="0"/>
                <w:spacing w:val="-16"/>
                <w:kern w:val="21"/>
                <w:szCs w:val="21"/>
              </w:rPr>
            </w:pPr>
            <w:r>
              <w:rPr>
                <w:rFonts w:ascii="Times New Roman" w:eastAsia="黑体"/>
                <w:b w:val="0"/>
                <w:bCs/>
                <w:snapToGrid w:val="0"/>
                <w:spacing w:val="-16"/>
                <w:kern w:val="21"/>
                <w:szCs w:val="21"/>
              </w:rPr>
              <w:t>本项目建成后</w:t>
            </w:r>
            <w:r>
              <w:rPr>
                <w:rFonts w:hint="eastAsia" w:ascii="Times New Roman" w:eastAsia="黑体"/>
                <w:b w:val="0"/>
                <w:bCs/>
                <w:snapToGrid w:val="0"/>
                <w:spacing w:val="-16"/>
                <w:kern w:val="21"/>
                <w:szCs w:val="21"/>
              </w:rPr>
              <w:t>全厂</w:t>
            </w:r>
            <w:r>
              <w:rPr>
                <w:rFonts w:ascii="Times New Roman" w:eastAsia="黑体"/>
                <w:b w:val="0"/>
                <w:bCs/>
                <w:snapToGrid w:val="0"/>
                <w:spacing w:val="-16"/>
                <w:kern w:val="21"/>
                <w:szCs w:val="21"/>
              </w:rPr>
              <w:t>排放量（固</w:t>
            </w:r>
            <w:r>
              <w:rPr>
                <w:rFonts w:hint="eastAsia" w:ascii="Times New Roman" w:eastAsia="黑体"/>
                <w:b w:val="0"/>
                <w:bCs/>
                <w:snapToGrid w:val="0"/>
                <w:spacing w:val="-16"/>
                <w:kern w:val="21"/>
                <w:szCs w:val="21"/>
              </w:rPr>
              <w:t>体</w:t>
            </w:r>
            <w:r>
              <w:rPr>
                <w:rFonts w:ascii="Times New Roman" w:eastAsia="黑体"/>
                <w:b w:val="0"/>
                <w:bCs/>
                <w:snapToGrid w:val="0"/>
                <w:spacing w:val="-16"/>
                <w:kern w:val="21"/>
                <w:szCs w:val="21"/>
              </w:rPr>
              <w:t>废</w:t>
            </w:r>
            <w:r>
              <w:rPr>
                <w:rFonts w:hint="eastAsia" w:ascii="Times New Roman" w:eastAsia="黑体"/>
                <w:b w:val="0"/>
                <w:bCs/>
                <w:snapToGrid w:val="0"/>
                <w:spacing w:val="-16"/>
                <w:kern w:val="21"/>
                <w:szCs w:val="21"/>
              </w:rPr>
              <w:t>物</w:t>
            </w:r>
            <w:r>
              <w:rPr>
                <w:rFonts w:ascii="Times New Roman" w:eastAsia="黑体"/>
                <w:b w:val="0"/>
                <w:bCs/>
                <w:snapToGrid w:val="0"/>
                <w:spacing w:val="-16"/>
                <w:kern w:val="21"/>
                <w:szCs w:val="21"/>
              </w:rPr>
              <w:t>产生量）</w:t>
            </w:r>
            <w:r>
              <w:rPr>
                <w:rFonts w:ascii="Times New Roman" w:eastAsia="黑体"/>
                <w:b w:val="0"/>
                <w:bCs/>
                <w:snapToGrid w:val="0"/>
                <w:spacing w:val="-16"/>
                <w:kern w:val="21"/>
                <w:szCs w:val="21"/>
              </w:rPr>
              <w:fldChar w:fldCharType="begin"/>
            </w:r>
            <w:r>
              <w:rPr>
                <w:rFonts w:ascii="Times New Roman" w:eastAsia="黑体"/>
                <w:b w:val="0"/>
                <w:bCs/>
                <w:snapToGrid w:val="0"/>
                <w:spacing w:val="-16"/>
                <w:kern w:val="21"/>
                <w:szCs w:val="21"/>
              </w:rPr>
              <w:instrText xml:space="preserve"> = 6 \* GB3 \* MERGEFORMAT </w:instrText>
            </w:r>
            <w:r>
              <w:rPr>
                <w:rFonts w:ascii="Times New Roman" w:eastAsia="黑体"/>
                <w:b w:val="0"/>
                <w:bCs/>
                <w:snapToGrid w:val="0"/>
                <w:spacing w:val="-16"/>
                <w:kern w:val="21"/>
                <w:szCs w:val="21"/>
              </w:rPr>
              <w:fldChar w:fldCharType="separate"/>
            </w:r>
            <w:r>
              <w:rPr>
                <w:rFonts w:hint="eastAsia" w:ascii="Times New Roman" w:eastAsia="黑体" w:cs="宋体"/>
                <w:b w:val="0"/>
                <w:bCs/>
                <w:kern w:val="2"/>
                <w:szCs w:val="21"/>
              </w:rPr>
              <w:t>⑥</w:t>
            </w:r>
            <w:r>
              <w:rPr>
                <w:rFonts w:ascii="Times New Roman" w:eastAsia="黑体"/>
                <w:b w:val="0"/>
                <w:bCs/>
                <w:snapToGrid w:val="0"/>
                <w:spacing w:val="-16"/>
                <w:kern w:val="21"/>
                <w:szCs w:val="21"/>
              </w:rPr>
              <w:fldChar w:fldCharType="end"/>
            </w:r>
          </w:p>
        </w:tc>
        <w:tc>
          <w:tcPr>
            <w:tcW w:w="1263" w:type="dxa"/>
            <w:tcMar>
              <w:left w:w="28" w:type="dxa"/>
              <w:right w:w="28" w:type="dxa"/>
            </w:tcMar>
            <w:vAlign w:val="center"/>
          </w:tcPr>
          <w:p w14:paraId="5D4D2797">
            <w:pPr>
              <w:pStyle w:val="42"/>
              <w:spacing w:beforeLines="0" w:afterLines="0" w:line="240" w:lineRule="auto"/>
              <w:rPr>
                <w:rFonts w:ascii="Times New Roman" w:eastAsia="黑体"/>
                <w:b w:val="0"/>
                <w:bCs/>
                <w:snapToGrid w:val="0"/>
                <w:spacing w:val="-6"/>
                <w:kern w:val="21"/>
                <w:szCs w:val="21"/>
              </w:rPr>
            </w:pPr>
            <w:r>
              <w:rPr>
                <w:rFonts w:ascii="Times New Roman" w:eastAsia="黑体"/>
                <w:b w:val="0"/>
                <w:bCs/>
                <w:snapToGrid w:val="0"/>
                <w:spacing w:val="-6"/>
                <w:kern w:val="21"/>
                <w:szCs w:val="21"/>
              </w:rPr>
              <w:t>变化量</w:t>
            </w:r>
            <w:r>
              <w:rPr>
                <w:rFonts w:ascii="Times New Roman" w:eastAsia="黑体"/>
                <w:b w:val="0"/>
                <w:bCs/>
                <w:snapToGrid w:val="0"/>
                <w:spacing w:val="-6"/>
                <w:kern w:val="21"/>
                <w:szCs w:val="21"/>
              </w:rPr>
              <w:fldChar w:fldCharType="begin"/>
            </w:r>
            <w:r>
              <w:rPr>
                <w:rFonts w:ascii="Times New Roman" w:eastAsia="黑体"/>
                <w:b w:val="0"/>
                <w:bCs/>
                <w:snapToGrid w:val="0"/>
                <w:spacing w:val="-6"/>
                <w:kern w:val="21"/>
                <w:szCs w:val="21"/>
              </w:rPr>
              <w:instrText xml:space="preserve"> = 7 \* GB3 \* MERGEFORMAT </w:instrText>
            </w:r>
            <w:r>
              <w:rPr>
                <w:rFonts w:ascii="Times New Roman" w:eastAsia="黑体"/>
                <w:b w:val="0"/>
                <w:bCs/>
                <w:snapToGrid w:val="0"/>
                <w:spacing w:val="-6"/>
                <w:kern w:val="21"/>
                <w:szCs w:val="21"/>
              </w:rPr>
              <w:fldChar w:fldCharType="separate"/>
            </w:r>
            <w:r>
              <w:rPr>
                <w:rFonts w:hint="eastAsia" w:ascii="Times New Roman" w:eastAsia="黑体" w:cs="宋体"/>
                <w:b w:val="0"/>
                <w:bCs/>
                <w:kern w:val="2"/>
                <w:szCs w:val="21"/>
              </w:rPr>
              <w:t>⑦</w:t>
            </w:r>
            <w:r>
              <w:rPr>
                <w:rFonts w:ascii="Times New Roman" w:eastAsia="黑体"/>
                <w:b w:val="0"/>
                <w:bCs/>
                <w:snapToGrid w:val="0"/>
                <w:spacing w:val="-6"/>
                <w:kern w:val="21"/>
                <w:szCs w:val="21"/>
              </w:rPr>
              <w:fldChar w:fldCharType="end"/>
            </w:r>
          </w:p>
        </w:tc>
      </w:tr>
      <w:tr w14:paraId="208D8E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restart"/>
            <w:vAlign w:val="center"/>
          </w:tcPr>
          <w:p w14:paraId="0E8D8C6C">
            <w:pPr>
              <w:pStyle w:val="42"/>
              <w:spacing w:beforeLines="0" w:afterLines="0" w:line="240" w:lineRule="auto"/>
              <w:rPr>
                <w:rFonts w:ascii="Times New Roman" w:cs="宋体"/>
                <w:b w:val="0"/>
                <w:bCs/>
                <w:snapToGrid w:val="0"/>
                <w:kern w:val="21"/>
                <w:szCs w:val="21"/>
              </w:rPr>
            </w:pPr>
            <w:r>
              <w:rPr>
                <w:rFonts w:hint="eastAsia" w:ascii="Times New Roman" w:cs="宋体"/>
                <w:b w:val="0"/>
                <w:bCs/>
                <w:snapToGrid w:val="0"/>
                <w:kern w:val="21"/>
                <w:szCs w:val="21"/>
              </w:rPr>
              <w:t>废气</w:t>
            </w:r>
          </w:p>
        </w:tc>
        <w:tc>
          <w:tcPr>
            <w:tcW w:w="1588" w:type="dxa"/>
            <w:vAlign w:val="center"/>
          </w:tcPr>
          <w:p w14:paraId="6750BE1C">
            <w:pPr>
              <w:autoSpaceDE w:val="0"/>
              <w:autoSpaceDN w:val="0"/>
              <w:jc w:val="center"/>
              <w:rPr>
                <w:bCs/>
                <w:snapToGrid w:val="0"/>
                <w:kern w:val="21"/>
                <w:szCs w:val="21"/>
              </w:rPr>
            </w:pPr>
            <w:r>
              <w:rPr>
                <w:rFonts w:hint="eastAsia"/>
                <w:bCs/>
                <w:snapToGrid w:val="0"/>
                <w:kern w:val="21"/>
                <w:szCs w:val="21"/>
              </w:rPr>
              <w:t>VOCs（t/a）</w:t>
            </w:r>
          </w:p>
        </w:tc>
        <w:tc>
          <w:tcPr>
            <w:tcW w:w="1770" w:type="dxa"/>
            <w:shd w:val="clear" w:color="auto" w:fill="auto"/>
            <w:vAlign w:val="center"/>
          </w:tcPr>
          <w:p w14:paraId="1F9A1ED3">
            <w:pPr>
              <w:pStyle w:val="75"/>
              <w:ind w:left="158" w:leftChars="0" w:right="153" w:rightChars="0"/>
              <w:rPr>
                <w:rFonts w:ascii="Times New Roman" w:hAnsi="Times New Roman" w:eastAsia="宋体" w:cs="Times New Roman"/>
                <w:color w:val="FF0000"/>
                <w:kern w:val="2"/>
                <w:sz w:val="21"/>
                <w:szCs w:val="21"/>
                <w:lang w:val="en-US" w:eastAsia="en-US" w:bidi="ar-SA"/>
              </w:rPr>
            </w:pPr>
            <w:r>
              <w:rPr>
                <w:rFonts w:hint="default" w:ascii="Times New Roman" w:hAnsi="Times New Roman" w:cs="Times New Roman"/>
                <w:color w:val="auto"/>
                <w:kern w:val="2"/>
                <w:sz w:val="21"/>
                <w:szCs w:val="24"/>
                <w:vertAlign w:val="baseline"/>
                <w:lang w:val="en-US" w:eastAsia="zh-CN" w:bidi="ar-SA"/>
              </w:rPr>
              <w:t>0.905</w:t>
            </w:r>
          </w:p>
        </w:tc>
        <w:tc>
          <w:tcPr>
            <w:tcW w:w="1230" w:type="dxa"/>
            <w:vAlign w:val="center"/>
          </w:tcPr>
          <w:p w14:paraId="769D58A5">
            <w:pPr>
              <w:pStyle w:val="42"/>
              <w:spacing w:beforeLines="0" w:afterLines="0" w:line="240" w:lineRule="auto"/>
              <w:rPr>
                <w:rFonts w:ascii="Times New Roman"/>
                <w:b w:val="0"/>
                <w:bCs/>
                <w:kern w:val="2"/>
                <w:szCs w:val="21"/>
              </w:rPr>
            </w:pPr>
            <w:r>
              <w:rPr>
                <w:rFonts w:hint="eastAsia" w:ascii="Times New Roman"/>
                <w:b w:val="0"/>
                <w:bCs/>
                <w:snapToGrid w:val="0"/>
                <w:kern w:val="21"/>
                <w:szCs w:val="21"/>
              </w:rPr>
              <w:t>3.838</w:t>
            </w:r>
          </w:p>
        </w:tc>
        <w:tc>
          <w:tcPr>
            <w:tcW w:w="1800" w:type="dxa"/>
            <w:vAlign w:val="center"/>
          </w:tcPr>
          <w:p w14:paraId="0D5EA389">
            <w:pPr>
              <w:jc w:val="center"/>
              <w:rPr>
                <w:bCs/>
                <w:szCs w:val="21"/>
              </w:rPr>
            </w:pPr>
            <w:r>
              <w:rPr>
                <w:rFonts w:hint="eastAsia"/>
                <w:bCs/>
                <w:szCs w:val="21"/>
              </w:rPr>
              <w:t>0</w:t>
            </w:r>
          </w:p>
        </w:tc>
        <w:tc>
          <w:tcPr>
            <w:tcW w:w="1605" w:type="dxa"/>
            <w:shd w:val="clear" w:color="auto" w:fill="auto"/>
            <w:vAlign w:val="center"/>
          </w:tcPr>
          <w:p w14:paraId="02B48056">
            <w:pPr>
              <w:jc w:val="center"/>
              <w:rPr>
                <w:rFonts w:hint="default" w:ascii="Times New Roman" w:hAnsi="Times New Roman" w:eastAsia="宋体" w:cs="Times New Roman"/>
                <w:color w:val="FF0000"/>
                <w:kern w:val="2"/>
                <w:sz w:val="21"/>
                <w:szCs w:val="21"/>
                <w:lang w:val="en-US" w:eastAsia="zh-CN" w:bidi="ar-SA"/>
              </w:rPr>
            </w:pPr>
            <w:r>
              <w:rPr>
                <w:rFonts w:hint="eastAsia"/>
                <w:bCs/>
                <w:szCs w:val="21"/>
                <w:lang w:val="en-US" w:eastAsia="zh-CN"/>
              </w:rPr>
              <w:t>0.0109</w:t>
            </w:r>
          </w:p>
        </w:tc>
        <w:tc>
          <w:tcPr>
            <w:tcW w:w="1620" w:type="dxa"/>
            <w:vAlign w:val="center"/>
          </w:tcPr>
          <w:p w14:paraId="61AC143E">
            <w:pPr>
              <w:pStyle w:val="42"/>
              <w:spacing w:beforeLines="0" w:afterLines="0" w:line="240" w:lineRule="auto"/>
              <w:rPr>
                <w:rFonts w:ascii="Times New Roman"/>
                <w:b w:val="0"/>
                <w:bCs/>
                <w:snapToGrid w:val="0"/>
                <w:kern w:val="21"/>
                <w:szCs w:val="21"/>
              </w:rPr>
            </w:pPr>
            <w:r>
              <w:rPr>
                <w:rFonts w:hint="eastAsia" w:ascii="Times New Roman"/>
                <w:b w:val="0"/>
                <w:bCs/>
                <w:szCs w:val="21"/>
              </w:rPr>
              <w:t>0</w:t>
            </w:r>
          </w:p>
        </w:tc>
        <w:tc>
          <w:tcPr>
            <w:tcW w:w="1965" w:type="dxa"/>
            <w:shd w:val="clear" w:color="auto" w:fill="auto"/>
            <w:vAlign w:val="center"/>
          </w:tcPr>
          <w:p w14:paraId="219186CA">
            <w:pPr>
              <w:pStyle w:val="75"/>
              <w:ind w:left="158" w:leftChars="0" w:right="153" w:rightChars="0"/>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cs="Times New Roman"/>
                <w:color w:val="auto"/>
                <w:kern w:val="2"/>
                <w:sz w:val="21"/>
                <w:szCs w:val="24"/>
                <w:vertAlign w:val="baseline"/>
                <w:lang w:val="en-US" w:eastAsia="zh-CN" w:bidi="ar-SA"/>
              </w:rPr>
              <w:t>0.9</w:t>
            </w:r>
            <w:r>
              <w:rPr>
                <w:rFonts w:hint="eastAsia" w:ascii="Times New Roman" w:hAnsi="Times New Roman" w:cs="Times New Roman"/>
                <w:color w:val="auto"/>
                <w:kern w:val="2"/>
                <w:sz w:val="21"/>
                <w:szCs w:val="24"/>
                <w:vertAlign w:val="baseline"/>
                <w:lang w:val="en-US" w:eastAsia="zh-CN" w:bidi="ar-SA"/>
              </w:rPr>
              <w:t>159</w:t>
            </w:r>
          </w:p>
        </w:tc>
        <w:tc>
          <w:tcPr>
            <w:tcW w:w="1263" w:type="dxa"/>
            <w:vAlign w:val="center"/>
          </w:tcPr>
          <w:p w14:paraId="66ECABF4">
            <w:pPr>
              <w:pStyle w:val="75"/>
              <w:ind w:left="158" w:right="153"/>
              <w:rPr>
                <w:rFonts w:hint="default" w:ascii="Times New Roman" w:hAnsi="Times New Roman" w:cs="Times New Roman"/>
                <w:bCs/>
                <w:snapToGrid w:val="0"/>
                <w:kern w:val="21"/>
                <w:sz w:val="21"/>
                <w:szCs w:val="21"/>
                <w:lang w:val="en-US" w:eastAsia="zh-CN"/>
              </w:rPr>
            </w:pPr>
            <w:r>
              <w:rPr>
                <w:rFonts w:hint="eastAsia" w:ascii="Times New Roman"/>
                <w:bCs/>
                <w:snapToGrid w:val="0"/>
                <w:kern w:val="21"/>
                <w:sz w:val="21"/>
                <w:szCs w:val="21"/>
                <w:lang w:val="en-US" w:eastAsia="zh-CN"/>
              </w:rPr>
              <w:t>+</w:t>
            </w:r>
            <w:r>
              <w:rPr>
                <w:rFonts w:hint="default" w:ascii="Times New Roman" w:hAnsi="Times New Roman" w:cs="Times New Roman"/>
                <w:color w:val="auto"/>
                <w:kern w:val="2"/>
                <w:sz w:val="21"/>
                <w:szCs w:val="24"/>
                <w:vertAlign w:val="baseline"/>
                <w:lang w:val="en-US" w:eastAsia="zh-CN" w:bidi="ar-SA"/>
              </w:rPr>
              <w:t>0.</w:t>
            </w:r>
            <w:r>
              <w:rPr>
                <w:rFonts w:hint="eastAsia" w:ascii="Times New Roman" w:hAnsi="Times New Roman" w:cs="Times New Roman"/>
                <w:color w:val="auto"/>
                <w:kern w:val="2"/>
                <w:sz w:val="21"/>
                <w:szCs w:val="24"/>
                <w:vertAlign w:val="baseline"/>
                <w:lang w:val="en-US" w:eastAsia="zh-CN" w:bidi="ar-SA"/>
              </w:rPr>
              <w:t>0109</w:t>
            </w:r>
          </w:p>
        </w:tc>
      </w:tr>
      <w:tr w14:paraId="05CF6D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71AC1C2C">
            <w:pPr>
              <w:pStyle w:val="42"/>
              <w:spacing w:beforeLines="0" w:afterLines="0" w:line="240" w:lineRule="auto"/>
              <w:rPr>
                <w:rFonts w:ascii="Times New Roman" w:cs="宋体"/>
                <w:b w:val="0"/>
                <w:bCs/>
                <w:snapToGrid w:val="0"/>
                <w:kern w:val="21"/>
                <w:szCs w:val="21"/>
              </w:rPr>
            </w:pPr>
          </w:p>
        </w:tc>
        <w:tc>
          <w:tcPr>
            <w:tcW w:w="1588" w:type="dxa"/>
            <w:vAlign w:val="center"/>
          </w:tcPr>
          <w:p w14:paraId="72C1ABAF">
            <w:pPr>
              <w:autoSpaceDE w:val="0"/>
              <w:autoSpaceDN w:val="0"/>
              <w:jc w:val="center"/>
              <w:rPr>
                <w:bCs/>
                <w:szCs w:val="21"/>
              </w:rPr>
            </w:pPr>
            <w:r>
              <w:rPr>
                <w:rFonts w:hint="eastAsia"/>
                <w:bCs/>
                <w:szCs w:val="21"/>
              </w:rPr>
              <w:t>颗粒物</w:t>
            </w:r>
            <w:r>
              <w:rPr>
                <w:rFonts w:hint="eastAsia"/>
                <w:bCs/>
                <w:snapToGrid w:val="0"/>
                <w:kern w:val="21"/>
                <w:szCs w:val="21"/>
              </w:rPr>
              <w:t>（t/a）</w:t>
            </w:r>
          </w:p>
        </w:tc>
        <w:tc>
          <w:tcPr>
            <w:tcW w:w="1770" w:type="dxa"/>
            <w:shd w:val="clear" w:color="auto" w:fill="auto"/>
            <w:vAlign w:val="center"/>
          </w:tcPr>
          <w:p w14:paraId="0AE4416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1.273</w:t>
            </w:r>
          </w:p>
        </w:tc>
        <w:tc>
          <w:tcPr>
            <w:tcW w:w="1230" w:type="dxa"/>
            <w:vAlign w:val="center"/>
          </w:tcPr>
          <w:p w14:paraId="71ADC463">
            <w:pPr>
              <w:pStyle w:val="42"/>
              <w:spacing w:beforeLines="0" w:afterLines="0" w:line="240" w:lineRule="auto"/>
              <w:rPr>
                <w:rFonts w:ascii="Times New Roman"/>
                <w:b w:val="0"/>
                <w:bCs/>
                <w:szCs w:val="21"/>
              </w:rPr>
            </w:pPr>
            <w:r>
              <w:rPr>
                <w:rFonts w:hint="eastAsia" w:ascii="Times New Roman"/>
                <w:b w:val="0"/>
                <w:bCs/>
                <w:szCs w:val="21"/>
              </w:rPr>
              <w:t>3.59</w:t>
            </w:r>
          </w:p>
        </w:tc>
        <w:tc>
          <w:tcPr>
            <w:tcW w:w="1800" w:type="dxa"/>
            <w:vAlign w:val="center"/>
          </w:tcPr>
          <w:p w14:paraId="3253FE1B">
            <w:pPr>
              <w:widowControl/>
              <w:jc w:val="center"/>
              <w:textAlignment w:val="center"/>
              <w:rPr>
                <w:bCs/>
                <w:szCs w:val="21"/>
              </w:rPr>
            </w:pPr>
            <w:r>
              <w:rPr>
                <w:rFonts w:hint="eastAsia"/>
                <w:bCs/>
                <w:szCs w:val="21"/>
              </w:rPr>
              <w:t>0</w:t>
            </w:r>
          </w:p>
        </w:tc>
        <w:tc>
          <w:tcPr>
            <w:tcW w:w="1605" w:type="dxa"/>
            <w:shd w:val="clear" w:color="auto" w:fill="auto"/>
            <w:vAlign w:val="center"/>
          </w:tcPr>
          <w:p w14:paraId="5B481A4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w:t>
            </w:r>
          </w:p>
        </w:tc>
        <w:tc>
          <w:tcPr>
            <w:tcW w:w="1620" w:type="dxa"/>
            <w:vAlign w:val="center"/>
          </w:tcPr>
          <w:p w14:paraId="78246EFA">
            <w:pPr>
              <w:jc w:val="center"/>
              <w:rPr>
                <w:bCs/>
                <w:szCs w:val="21"/>
              </w:rPr>
            </w:pPr>
            <w:r>
              <w:rPr>
                <w:rFonts w:hint="eastAsia"/>
                <w:bCs/>
                <w:szCs w:val="21"/>
              </w:rPr>
              <w:t>0</w:t>
            </w:r>
          </w:p>
        </w:tc>
        <w:tc>
          <w:tcPr>
            <w:tcW w:w="1965" w:type="dxa"/>
            <w:shd w:val="clear" w:color="auto" w:fill="auto"/>
            <w:vAlign w:val="center"/>
          </w:tcPr>
          <w:p w14:paraId="28C2699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1.273</w:t>
            </w:r>
          </w:p>
        </w:tc>
        <w:tc>
          <w:tcPr>
            <w:tcW w:w="1263" w:type="dxa"/>
            <w:vAlign w:val="center"/>
          </w:tcPr>
          <w:p w14:paraId="455916E0">
            <w:pPr>
              <w:pStyle w:val="42"/>
              <w:spacing w:beforeLines="0" w:afterLines="0" w:line="240" w:lineRule="auto"/>
              <w:rPr>
                <w:rFonts w:ascii="Times New Roman"/>
                <w:b w:val="0"/>
                <w:bCs/>
                <w:snapToGrid w:val="0"/>
                <w:kern w:val="21"/>
                <w:szCs w:val="21"/>
              </w:rPr>
            </w:pPr>
            <w:r>
              <w:rPr>
                <w:rFonts w:hint="eastAsia" w:ascii="Times New Roman"/>
                <w:b w:val="0"/>
                <w:bCs/>
                <w:szCs w:val="21"/>
              </w:rPr>
              <w:t>0</w:t>
            </w:r>
          </w:p>
        </w:tc>
      </w:tr>
      <w:tr w14:paraId="73ED1C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01A80D49">
            <w:pPr>
              <w:pStyle w:val="42"/>
              <w:spacing w:beforeLines="0" w:afterLines="0" w:line="240" w:lineRule="auto"/>
              <w:rPr>
                <w:rFonts w:ascii="Times New Roman" w:cs="宋体"/>
                <w:b w:val="0"/>
                <w:bCs/>
                <w:snapToGrid w:val="0"/>
                <w:kern w:val="21"/>
                <w:szCs w:val="21"/>
              </w:rPr>
            </w:pPr>
          </w:p>
        </w:tc>
        <w:tc>
          <w:tcPr>
            <w:tcW w:w="1588" w:type="dxa"/>
            <w:vAlign w:val="center"/>
          </w:tcPr>
          <w:p w14:paraId="271257D4">
            <w:pPr>
              <w:autoSpaceDE w:val="0"/>
              <w:autoSpaceDN w:val="0"/>
              <w:jc w:val="center"/>
              <w:rPr>
                <w:bCs/>
                <w:szCs w:val="21"/>
              </w:rPr>
            </w:pPr>
            <w:r>
              <w:rPr>
                <w:rFonts w:hint="eastAsia"/>
                <w:bCs/>
                <w:szCs w:val="21"/>
              </w:rPr>
              <w:t>二氧化硫</w:t>
            </w:r>
            <w:r>
              <w:rPr>
                <w:rFonts w:hint="eastAsia"/>
                <w:bCs/>
                <w:snapToGrid w:val="0"/>
                <w:kern w:val="21"/>
                <w:szCs w:val="21"/>
              </w:rPr>
              <w:t>（t/a）</w:t>
            </w:r>
          </w:p>
        </w:tc>
        <w:tc>
          <w:tcPr>
            <w:tcW w:w="1770" w:type="dxa"/>
            <w:shd w:val="clear" w:color="auto" w:fill="auto"/>
            <w:vAlign w:val="center"/>
          </w:tcPr>
          <w:p w14:paraId="05C01D3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0.379</w:t>
            </w:r>
          </w:p>
        </w:tc>
        <w:tc>
          <w:tcPr>
            <w:tcW w:w="1230" w:type="dxa"/>
            <w:vAlign w:val="center"/>
          </w:tcPr>
          <w:p w14:paraId="362E5523">
            <w:pPr>
              <w:pStyle w:val="42"/>
              <w:spacing w:beforeLines="0" w:afterLines="0" w:line="240" w:lineRule="auto"/>
              <w:rPr>
                <w:b w:val="0"/>
                <w:bCs/>
                <w:szCs w:val="21"/>
              </w:rPr>
            </w:pPr>
            <w:r>
              <w:rPr>
                <w:rFonts w:hint="eastAsia" w:ascii="Times New Roman"/>
                <w:b w:val="0"/>
                <w:bCs/>
                <w:snapToGrid w:val="0"/>
                <w:kern w:val="21"/>
                <w:szCs w:val="21"/>
              </w:rPr>
              <w:t>1.85</w:t>
            </w:r>
          </w:p>
        </w:tc>
        <w:tc>
          <w:tcPr>
            <w:tcW w:w="1800" w:type="dxa"/>
            <w:vAlign w:val="center"/>
          </w:tcPr>
          <w:p w14:paraId="2A84E2BD">
            <w:pPr>
              <w:widowControl/>
              <w:jc w:val="center"/>
              <w:textAlignment w:val="center"/>
              <w:rPr>
                <w:bCs/>
                <w:szCs w:val="21"/>
              </w:rPr>
            </w:pPr>
            <w:r>
              <w:rPr>
                <w:rFonts w:hint="eastAsia"/>
                <w:bCs/>
                <w:szCs w:val="21"/>
              </w:rPr>
              <w:t>0</w:t>
            </w:r>
          </w:p>
        </w:tc>
        <w:tc>
          <w:tcPr>
            <w:tcW w:w="1605" w:type="dxa"/>
            <w:shd w:val="clear" w:color="auto" w:fill="auto"/>
            <w:vAlign w:val="center"/>
          </w:tcPr>
          <w:p w14:paraId="46FB45A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w:t>
            </w:r>
          </w:p>
        </w:tc>
        <w:tc>
          <w:tcPr>
            <w:tcW w:w="1620" w:type="dxa"/>
            <w:vAlign w:val="center"/>
          </w:tcPr>
          <w:p w14:paraId="30ACCF98">
            <w:pPr>
              <w:jc w:val="center"/>
              <w:rPr>
                <w:bCs/>
                <w:szCs w:val="21"/>
              </w:rPr>
            </w:pPr>
            <w:r>
              <w:rPr>
                <w:rFonts w:hint="eastAsia"/>
                <w:bCs/>
                <w:szCs w:val="21"/>
              </w:rPr>
              <w:t>0</w:t>
            </w:r>
          </w:p>
        </w:tc>
        <w:tc>
          <w:tcPr>
            <w:tcW w:w="1965" w:type="dxa"/>
            <w:shd w:val="clear" w:color="auto" w:fill="auto"/>
            <w:vAlign w:val="center"/>
          </w:tcPr>
          <w:p w14:paraId="70A4DA9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0.379</w:t>
            </w:r>
          </w:p>
        </w:tc>
        <w:tc>
          <w:tcPr>
            <w:tcW w:w="1263" w:type="dxa"/>
            <w:vAlign w:val="center"/>
          </w:tcPr>
          <w:p w14:paraId="7F6229DE">
            <w:pPr>
              <w:pStyle w:val="75"/>
              <w:ind w:left="158" w:right="153"/>
              <w:rPr>
                <w:rFonts w:ascii="Times New Roman" w:hAnsi="Times New Roman" w:cs="Times New Roman"/>
                <w:bCs/>
                <w:kern w:val="0"/>
                <w:sz w:val="21"/>
                <w:szCs w:val="21"/>
                <w:lang w:eastAsia="zh-CN" w:bidi="ar"/>
              </w:rPr>
            </w:pPr>
            <w:r>
              <w:rPr>
                <w:rFonts w:hint="eastAsia" w:ascii="Times New Roman"/>
                <w:bCs/>
                <w:snapToGrid w:val="0"/>
                <w:kern w:val="21"/>
                <w:sz w:val="21"/>
                <w:szCs w:val="21"/>
                <w:lang w:eastAsia="zh-CN"/>
              </w:rPr>
              <w:t>0</w:t>
            </w:r>
          </w:p>
        </w:tc>
      </w:tr>
      <w:tr w14:paraId="14CACE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6A60397A">
            <w:pPr>
              <w:pStyle w:val="42"/>
              <w:spacing w:beforeLines="0" w:afterLines="0" w:line="240" w:lineRule="auto"/>
              <w:rPr>
                <w:rFonts w:ascii="Times New Roman" w:cs="宋体"/>
                <w:b w:val="0"/>
                <w:bCs/>
                <w:snapToGrid w:val="0"/>
                <w:kern w:val="21"/>
                <w:szCs w:val="21"/>
              </w:rPr>
            </w:pPr>
          </w:p>
        </w:tc>
        <w:tc>
          <w:tcPr>
            <w:tcW w:w="1588" w:type="dxa"/>
            <w:vAlign w:val="center"/>
          </w:tcPr>
          <w:p w14:paraId="0889F2E3">
            <w:pPr>
              <w:autoSpaceDE w:val="0"/>
              <w:autoSpaceDN w:val="0"/>
              <w:jc w:val="center"/>
              <w:rPr>
                <w:bCs/>
                <w:szCs w:val="21"/>
              </w:rPr>
            </w:pPr>
            <w:r>
              <w:rPr>
                <w:rFonts w:hint="eastAsia"/>
                <w:bCs/>
                <w:szCs w:val="21"/>
              </w:rPr>
              <w:t>氮氧化物</w:t>
            </w:r>
            <w:r>
              <w:rPr>
                <w:rFonts w:hint="eastAsia"/>
                <w:bCs/>
                <w:snapToGrid w:val="0"/>
                <w:kern w:val="21"/>
                <w:szCs w:val="21"/>
              </w:rPr>
              <w:t>（t/a）</w:t>
            </w:r>
          </w:p>
        </w:tc>
        <w:tc>
          <w:tcPr>
            <w:tcW w:w="1770" w:type="dxa"/>
            <w:shd w:val="clear" w:color="auto" w:fill="auto"/>
            <w:vAlign w:val="center"/>
          </w:tcPr>
          <w:p w14:paraId="2F37A1B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2.57</w:t>
            </w:r>
          </w:p>
        </w:tc>
        <w:tc>
          <w:tcPr>
            <w:tcW w:w="1230" w:type="dxa"/>
            <w:vAlign w:val="center"/>
          </w:tcPr>
          <w:p w14:paraId="0443CC9D">
            <w:pPr>
              <w:pStyle w:val="42"/>
              <w:spacing w:beforeLines="0" w:afterLines="0" w:line="240" w:lineRule="auto"/>
              <w:rPr>
                <w:b w:val="0"/>
                <w:bCs/>
                <w:szCs w:val="21"/>
              </w:rPr>
            </w:pPr>
            <w:r>
              <w:rPr>
                <w:rFonts w:hint="eastAsia" w:ascii="Times New Roman"/>
                <w:b w:val="0"/>
                <w:bCs/>
                <w:snapToGrid w:val="0"/>
                <w:kern w:val="21"/>
                <w:szCs w:val="21"/>
              </w:rPr>
              <w:t>16.3</w:t>
            </w:r>
          </w:p>
        </w:tc>
        <w:tc>
          <w:tcPr>
            <w:tcW w:w="1800" w:type="dxa"/>
            <w:vAlign w:val="center"/>
          </w:tcPr>
          <w:p w14:paraId="380D626D">
            <w:pPr>
              <w:jc w:val="center"/>
              <w:rPr>
                <w:bCs/>
                <w:szCs w:val="21"/>
              </w:rPr>
            </w:pPr>
            <w:r>
              <w:rPr>
                <w:rFonts w:hint="eastAsia"/>
                <w:bCs/>
                <w:szCs w:val="21"/>
              </w:rPr>
              <w:t>0</w:t>
            </w:r>
          </w:p>
        </w:tc>
        <w:tc>
          <w:tcPr>
            <w:tcW w:w="1605" w:type="dxa"/>
            <w:shd w:val="clear" w:color="auto" w:fill="auto"/>
            <w:vAlign w:val="center"/>
          </w:tcPr>
          <w:p w14:paraId="7485BCB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w:t>
            </w:r>
          </w:p>
        </w:tc>
        <w:tc>
          <w:tcPr>
            <w:tcW w:w="1620" w:type="dxa"/>
            <w:vAlign w:val="center"/>
          </w:tcPr>
          <w:p w14:paraId="49A4F558">
            <w:pPr>
              <w:jc w:val="center"/>
              <w:rPr>
                <w:bCs/>
                <w:szCs w:val="21"/>
              </w:rPr>
            </w:pPr>
            <w:r>
              <w:rPr>
                <w:rFonts w:hint="eastAsia"/>
                <w:bCs/>
                <w:szCs w:val="21"/>
              </w:rPr>
              <w:t>0</w:t>
            </w:r>
          </w:p>
        </w:tc>
        <w:tc>
          <w:tcPr>
            <w:tcW w:w="1965" w:type="dxa"/>
            <w:shd w:val="clear" w:color="auto" w:fill="auto"/>
            <w:vAlign w:val="center"/>
          </w:tcPr>
          <w:p w14:paraId="5865146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2.57</w:t>
            </w:r>
          </w:p>
        </w:tc>
        <w:tc>
          <w:tcPr>
            <w:tcW w:w="1263" w:type="dxa"/>
            <w:vAlign w:val="center"/>
          </w:tcPr>
          <w:p w14:paraId="38CC6851">
            <w:pPr>
              <w:pStyle w:val="42"/>
              <w:spacing w:beforeLines="0" w:afterLines="0" w:line="240" w:lineRule="auto"/>
              <w:rPr>
                <w:rFonts w:ascii="Times New Roman"/>
                <w:b w:val="0"/>
                <w:bCs/>
                <w:szCs w:val="21"/>
                <w:lang w:bidi="ar"/>
              </w:rPr>
            </w:pPr>
            <w:r>
              <w:rPr>
                <w:rFonts w:hint="eastAsia" w:ascii="Times New Roman"/>
                <w:b w:val="0"/>
                <w:bCs/>
                <w:szCs w:val="21"/>
              </w:rPr>
              <w:t>0</w:t>
            </w:r>
          </w:p>
        </w:tc>
      </w:tr>
      <w:tr w14:paraId="47E994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435D4399">
            <w:pPr>
              <w:pStyle w:val="42"/>
              <w:spacing w:beforeLines="0" w:afterLines="0" w:line="240" w:lineRule="auto"/>
              <w:rPr>
                <w:rFonts w:ascii="Times New Roman" w:cs="宋体"/>
                <w:b w:val="0"/>
                <w:bCs/>
                <w:snapToGrid w:val="0"/>
                <w:kern w:val="21"/>
                <w:szCs w:val="21"/>
              </w:rPr>
            </w:pPr>
          </w:p>
        </w:tc>
        <w:tc>
          <w:tcPr>
            <w:tcW w:w="1588" w:type="dxa"/>
            <w:vAlign w:val="center"/>
          </w:tcPr>
          <w:p w14:paraId="6BF719EC">
            <w:pPr>
              <w:autoSpaceDE w:val="0"/>
              <w:autoSpaceDN w:val="0"/>
              <w:jc w:val="center"/>
              <w:rPr>
                <w:bCs/>
                <w:szCs w:val="21"/>
              </w:rPr>
            </w:pPr>
            <w:r>
              <w:rPr>
                <w:rFonts w:hint="eastAsia"/>
                <w:bCs/>
                <w:szCs w:val="21"/>
              </w:rPr>
              <w:t>氯化氢</w:t>
            </w:r>
            <w:r>
              <w:rPr>
                <w:rFonts w:hint="eastAsia"/>
                <w:bCs/>
                <w:snapToGrid w:val="0"/>
                <w:kern w:val="21"/>
                <w:szCs w:val="21"/>
              </w:rPr>
              <w:t>（t/a）</w:t>
            </w:r>
          </w:p>
        </w:tc>
        <w:tc>
          <w:tcPr>
            <w:tcW w:w="1770" w:type="dxa"/>
            <w:shd w:val="clear" w:color="auto" w:fill="auto"/>
            <w:vAlign w:val="center"/>
          </w:tcPr>
          <w:p w14:paraId="01AA6EA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0.711</w:t>
            </w:r>
          </w:p>
        </w:tc>
        <w:tc>
          <w:tcPr>
            <w:tcW w:w="1230" w:type="dxa"/>
            <w:vAlign w:val="center"/>
          </w:tcPr>
          <w:p w14:paraId="02645A63">
            <w:pPr>
              <w:jc w:val="center"/>
              <w:rPr>
                <w:bCs/>
                <w:snapToGrid w:val="0"/>
                <w:kern w:val="21"/>
                <w:szCs w:val="21"/>
              </w:rPr>
            </w:pPr>
            <w:r>
              <w:rPr>
                <w:rFonts w:hint="eastAsia"/>
                <w:bCs/>
                <w:szCs w:val="21"/>
              </w:rPr>
              <w:t>0.00126</w:t>
            </w:r>
          </w:p>
        </w:tc>
        <w:tc>
          <w:tcPr>
            <w:tcW w:w="1800" w:type="dxa"/>
            <w:vAlign w:val="center"/>
          </w:tcPr>
          <w:p w14:paraId="5EEC2749">
            <w:pPr>
              <w:jc w:val="center"/>
              <w:rPr>
                <w:bCs/>
                <w:szCs w:val="21"/>
              </w:rPr>
            </w:pPr>
            <w:r>
              <w:rPr>
                <w:rFonts w:hint="eastAsia"/>
                <w:bCs/>
                <w:szCs w:val="21"/>
              </w:rPr>
              <w:t>0</w:t>
            </w:r>
          </w:p>
        </w:tc>
        <w:tc>
          <w:tcPr>
            <w:tcW w:w="1605" w:type="dxa"/>
            <w:shd w:val="clear" w:color="auto" w:fill="auto"/>
            <w:vAlign w:val="center"/>
          </w:tcPr>
          <w:p w14:paraId="24AC098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w:t>
            </w:r>
          </w:p>
        </w:tc>
        <w:tc>
          <w:tcPr>
            <w:tcW w:w="1620" w:type="dxa"/>
            <w:vAlign w:val="center"/>
          </w:tcPr>
          <w:p w14:paraId="76F5AB4C">
            <w:pPr>
              <w:pStyle w:val="42"/>
              <w:spacing w:beforeLines="0" w:afterLines="0" w:line="240" w:lineRule="auto"/>
              <w:rPr>
                <w:rFonts w:ascii="Times New Roman"/>
                <w:b w:val="0"/>
                <w:bCs/>
                <w:snapToGrid w:val="0"/>
                <w:kern w:val="21"/>
                <w:szCs w:val="21"/>
              </w:rPr>
            </w:pPr>
            <w:r>
              <w:rPr>
                <w:rFonts w:hint="eastAsia" w:ascii="Times New Roman"/>
                <w:b w:val="0"/>
                <w:bCs/>
                <w:snapToGrid w:val="0"/>
                <w:kern w:val="21"/>
                <w:szCs w:val="21"/>
              </w:rPr>
              <w:t>0</w:t>
            </w:r>
          </w:p>
        </w:tc>
        <w:tc>
          <w:tcPr>
            <w:tcW w:w="1965" w:type="dxa"/>
            <w:shd w:val="clear" w:color="auto" w:fill="auto"/>
            <w:vAlign w:val="center"/>
          </w:tcPr>
          <w:p w14:paraId="49B9721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0.711</w:t>
            </w:r>
          </w:p>
        </w:tc>
        <w:tc>
          <w:tcPr>
            <w:tcW w:w="1263" w:type="dxa"/>
            <w:vAlign w:val="center"/>
          </w:tcPr>
          <w:p w14:paraId="6A5B3412">
            <w:pPr>
              <w:jc w:val="center"/>
              <w:rPr>
                <w:bCs/>
                <w:szCs w:val="21"/>
              </w:rPr>
            </w:pPr>
            <w:r>
              <w:rPr>
                <w:rFonts w:hint="eastAsia"/>
                <w:bCs/>
                <w:kern w:val="0"/>
                <w:szCs w:val="21"/>
                <w:lang w:bidi="ar"/>
              </w:rPr>
              <w:t>0</w:t>
            </w:r>
          </w:p>
        </w:tc>
      </w:tr>
      <w:tr w14:paraId="657E6A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66F56C72">
            <w:pPr>
              <w:pStyle w:val="42"/>
              <w:spacing w:beforeLines="0" w:afterLines="0" w:line="240" w:lineRule="auto"/>
              <w:rPr>
                <w:rFonts w:ascii="Times New Roman" w:cs="宋体"/>
                <w:b w:val="0"/>
                <w:bCs/>
                <w:snapToGrid w:val="0"/>
                <w:kern w:val="21"/>
                <w:szCs w:val="21"/>
              </w:rPr>
            </w:pPr>
          </w:p>
        </w:tc>
        <w:tc>
          <w:tcPr>
            <w:tcW w:w="1588" w:type="dxa"/>
            <w:vAlign w:val="center"/>
          </w:tcPr>
          <w:p w14:paraId="704E2F39">
            <w:pPr>
              <w:autoSpaceDE w:val="0"/>
              <w:autoSpaceDN w:val="0"/>
              <w:jc w:val="center"/>
              <w:rPr>
                <w:bCs/>
                <w:szCs w:val="21"/>
              </w:rPr>
            </w:pPr>
            <w:r>
              <w:rPr>
                <w:rFonts w:hint="eastAsia"/>
                <w:bCs/>
                <w:szCs w:val="21"/>
              </w:rPr>
              <w:t>硫酸雾</w:t>
            </w:r>
            <w:r>
              <w:rPr>
                <w:rFonts w:hint="eastAsia"/>
                <w:bCs/>
                <w:snapToGrid w:val="0"/>
                <w:kern w:val="21"/>
                <w:szCs w:val="21"/>
              </w:rPr>
              <w:t>（t/a）</w:t>
            </w:r>
          </w:p>
        </w:tc>
        <w:tc>
          <w:tcPr>
            <w:tcW w:w="1770" w:type="dxa"/>
            <w:shd w:val="clear" w:color="auto" w:fill="auto"/>
            <w:vAlign w:val="center"/>
          </w:tcPr>
          <w:p w14:paraId="0276876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0.14</w:t>
            </w:r>
          </w:p>
        </w:tc>
        <w:tc>
          <w:tcPr>
            <w:tcW w:w="1230" w:type="dxa"/>
            <w:vAlign w:val="center"/>
          </w:tcPr>
          <w:p w14:paraId="18366C31">
            <w:pPr>
              <w:jc w:val="center"/>
              <w:rPr>
                <w:bCs/>
                <w:snapToGrid w:val="0"/>
                <w:kern w:val="21"/>
                <w:szCs w:val="21"/>
              </w:rPr>
            </w:pPr>
            <w:r>
              <w:rPr>
                <w:rFonts w:hint="eastAsia"/>
                <w:bCs/>
                <w:szCs w:val="21"/>
              </w:rPr>
              <w:t>0.01296</w:t>
            </w:r>
          </w:p>
        </w:tc>
        <w:tc>
          <w:tcPr>
            <w:tcW w:w="1800" w:type="dxa"/>
            <w:vAlign w:val="center"/>
          </w:tcPr>
          <w:p w14:paraId="7AE1567C">
            <w:pPr>
              <w:jc w:val="center"/>
              <w:rPr>
                <w:bCs/>
                <w:szCs w:val="21"/>
              </w:rPr>
            </w:pPr>
            <w:r>
              <w:rPr>
                <w:rFonts w:hint="eastAsia"/>
                <w:bCs/>
                <w:szCs w:val="21"/>
              </w:rPr>
              <w:t>0</w:t>
            </w:r>
          </w:p>
        </w:tc>
        <w:tc>
          <w:tcPr>
            <w:tcW w:w="1605" w:type="dxa"/>
            <w:shd w:val="clear" w:color="auto" w:fill="auto"/>
            <w:vAlign w:val="center"/>
          </w:tcPr>
          <w:p w14:paraId="31BFDD3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w:t>
            </w:r>
          </w:p>
        </w:tc>
        <w:tc>
          <w:tcPr>
            <w:tcW w:w="1620" w:type="dxa"/>
            <w:vAlign w:val="center"/>
          </w:tcPr>
          <w:p w14:paraId="28965EB9">
            <w:pPr>
              <w:pStyle w:val="42"/>
              <w:spacing w:beforeLines="0" w:afterLines="0" w:line="240" w:lineRule="auto"/>
              <w:rPr>
                <w:rFonts w:ascii="Times New Roman"/>
                <w:b w:val="0"/>
                <w:bCs/>
                <w:snapToGrid w:val="0"/>
                <w:kern w:val="21"/>
                <w:szCs w:val="21"/>
              </w:rPr>
            </w:pPr>
            <w:r>
              <w:rPr>
                <w:rFonts w:hint="eastAsia" w:ascii="Times New Roman"/>
                <w:b w:val="0"/>
                <w:bCs/>
                <w:snapToGrid w:val="0"/>
                <w:kern w:val="21"/>
                <w:szCs w:val="21"/>
              </w:rPr>
              <w:t>0</w:t>
            </w:r>
          </w:p>
        </w:tc>
        <w:tc>
          <w:tcPr>
            <w:tcW w:w="1965" w:type="dxa"/>
            <w:shd w:val="clear" w:color="auto" w:fill="auto"/>
            <w:vAlign w:val="center"/>
          </w:tcPr>
          <w:p w14:paraId="2BBCAD9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0.14</w:t>
            </w:r>
          </w:p>
        </w:tc>
        <w:tc>
          <w:tcPr>
            <w:tcW w:w="1263" w:type="dxa"/>
            <w:vAlign w:val="center"/>
          </w:tcPr>
          <w:p w14:paraId="005C06D3">
            <w:pPr>
              <w:jc w:val="center"/>
              <w:rPr>
                <w:bCs/>
                <w:szCs w:val="21"/>
              </w:rPr>
            </w:pPr>
            <w:r>
              <w:rPr>
                <w:rFonts w:hint="eastAsia"/>
                <w:bCs/>
                <w:kern w:val="0"/>
                <w:szCs w:val="21"/>
                <w:lang w:bidi="ar"/>
              </w:rPr>
              <w:t>0</w:t>
            </w:r>
          </w:p>
        </w:tc>
      </w:tr>
      <w:tr w14:paraId="48203A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restart"/>
            <w:vAlign w:val="center"/>
          </w:tcPr>
          <w:p w14:paraId="3DB649D0">
            <w:pPr>
              <w:pStyle w:val="42"/>
              <w:spacing w:beforeLines="0" w:afterLines="0" w:line="240" w:lineRule="auto"/>
              <w:rPr>
                <w:rFonts w:ascii="Times New Roman" w:cs="宋体"/>
                <w:b w:val="0"/>
                <w:bCs/>
                <w:snapToGrid w:val="0"/>
                <w:kern w:val="21"/>
                <w:szCs w:val="21"/>
              </w:rPr>
            </w:pPr>
            <w:r>
              <w:rPr>
                <w:rFonts w:hint="eastAsia" w:ascii="Times New Roman" w:cs="宋体"/>
                <w:b w:val="0"/>
                <w:bCs/>
                <w:snapToGrid w:val="0"/>
                <w:kern w:val="21"/>
                <w:szCs w:val="21"/>
              </w:rPr>
              <w:t>废水</w:t>
            </w:r>
          </w:p>
        </w:tc>
        <w:tc>
          <w:tcPr>
            <w:tcW w:w="1588" w:type="dxa"/>
            <w:vAlign w:val="center"/>
          </w:tcPr>
          <w:p w14:paraId="153A8C6D">
            <w:pPr>
              <w:pStyle w:val="42"/>
              <w:spacing w:beforeLines="0" w:afterLines="0" w:line="240" w:lineRule="auto"/>
              <w:rPr>
                <w:rFonts w:ascii="Times New Roman"/>
                <w:b w:val="0"/>
                <w:bCs/>
                <w:snapToGrid w:val="0"/>
                <w:kern w:val="21"/>
                <w:szCs w:val="21"/>
              </w:rPr>
            </w:pPr>
            <w:r>
              <w:rPr>
                <w:rFonts w:hint="eastAsia" w:ascii="Times New Roman"/>
                <w:b w:val="0"/>
                <w:bCs/>
                <w:snapToGrid w:val="0"/>
                <w:kern w:val="21"/>
                <w:szCs w:val="21"/>
              </w:rPr>
              <w:t>废水量（t/a）</w:t>
            </w:r>
          </w:p>
        </w:tc>
        <w:tc>
          <w:tcPr>
            <w:tcW w:w="1770" w:type="dxa"/>
            <w:vAlign w:val="center"/>
          </w:tcPr>
          <w:p w14:paraId="0229FF9A">
            <w:pPr>
              <w:widowControl/>
              <w:jc w:val="center"/>
              <w:textAlignment w:val="center"/>
              <w:rPr>
                <w:bCs/>
                <w:szCs w:val="21"/>
              </w:rPr>
            </w:pPr>
            <w:r>
              <w:rPr>
                <w:rFonts w:hint="eastAsia"/>
                <w:bCs/>
                <w:szCs w:val="21"/>
              </w:rPr>
              <w:t>15787.2</w:t>
            </w:r>
          </w:p>
        </w:tc>
        <w:tc>
          <w:tcPr>
            <w:tcW w:w="1230" w:type="dxa"/>
            <w:vAlign w:val="center"/>
          </w:tcPr>
          <w:p w14:paraId="203F6DCC">
            <w:pPr>
              <w:widowControl/>
              <w:jc w:val="center"/>
              <w:textAlignment w:val="center"/>
              <w:rPr>
                <w:bCs/>
                <w:szCs w:val="21"/>
              </w:rPr>
            </w:pPr>
            <w:r>
              <w:rPr>
                <w:rFonts w:hint="eastAsia"/>
                <w:bCs/>
                <w:szCs w:val="21"/>
              </w:rPr>
              <w:t>15787.2</w:t>
            </w:r>
          </w:p>
        </w:tc>
        <w:tc>
          <w:tcPr>
            <w:tcW w:w="1800" w:type="dxa"/>
            <w:vAlign w:val="center"/>
          </w:tcPr>
          <w:p w14:paraId="3C63DD17">
            <w:pPr>
              <w:jc w:val="center"/>
              <w:rPr>
                <w:bCs/>
                <w:szCs w:val="21"/>
              </w:rPr>
            </w:pPr>
            <w:r>
              <w:rPr>
                <w:rFonts w:hint="eastAsia"/>
                <w:bCs/>
                <w:szCs w:val="21"/>
              </w:rPr>
              <w:t>0</w:t>
            </w:r>
          </w:p>
        </w:tc>
        <w:tc>
          <w:tcPr>
            <w:tcW w:w="1605" w:type="dxa"/>
            <w:shd w:val="clear" w:color="auto" w:fill="auto"/>
            <w:vAlign w:val="center"/>
          </w:tcPr>
          <w:p w14:paraId="5E258BC1">
            <w:pPr>
              <w:pStyle w:val="42"/>
              <w:spacing w:beforeLines="0" w:afterLines="0" w:line="240" w:lineRule="auto"/>
              <w:rPr>
                <w:rFonts w:hint="default" w:ascii="宋体" w:hAnsi="Times New Roman" w:eastAsia="宋体" w:cs="Times New Roman"/>
                <w:b/>
                <w:color w:val="FF0000"/>
                <w:kern w:val="2"/>
                <w:sz w:val="21"/>
                <w:szCs w:val="21"/>
                <w:lang w:val="en-US" w:eastAsia="zh-CN" w:bidi="ar-SA"/>
              </w:rPr>
            </w:pPr>
            <w:r>
              <w:rPr>
                <w:rFonts w:hint="eastAsia" w:ascii="Times New Roman"/>
                <w:b w:val="0"/>
                <w:bCs/>
                <w:snapToGrid w:val="0"/>
                <w:kern w:val="21"/>
                <w:szCs w:val="21"/>
                <w:lang w:val="en-US" w:eastAsia="zh-CN"/>
              </w:rPr>
              <w:t>2376</w:t>
            </w:r>
          </w:p>
        </w:tc>
        <w:tc>
          <w:tcPr>
            <w:tcW w:w="1620" w:type="dxa"/>
            <w:vAlign w:val="center"/>
          </w:tcPr>
          <w:p w14:paraId="616F4121">
            <w:pPr>
              <w:pStyle w:val="42"/>
              <w:spacing w:beforeLines="0" w:afterLines="0" w:line="240" w:lineRule="auto"/>
              <w:rPr>
                <w:rFonts w:ascii="Times New Roman"/>
                <w:b w:val="0"/>
                <w:bCs/>
                <w:snapToGrid w:val="0"/>
                <w:kern w:val="21"/>
                <w:szCs w:val="21"/>
              </w:rPr>
            </w:pPr>
            <w:r>
              <w:rPr>
                <w:rFonts w:hint="eastAsia" w:ascii="Times New Roman"/>
                <w:b w:val="0"/>
                <w:bCs/>
                <w:snapToGrid w:val="0"/>
                <w:kern w:val="21"/>
                <w:szCs w:val="21"/>
              </w:rPr>
              <w:t>0</w:t>
            </w:r>
          </w:p>
        </w:tc>
        <w:tc>
          <w:tcPr>
            <w:tcW w:w="1965" w:type="dxa"/>
            <w:shd w:val="clear" w:color="auto" w:fill="auto"/>
            <w:vAlign w:val="center"/>
          </w:tcPr>
          <w:p w14:paraId="04227CE9">
            <w:pPr>
              <w:widowControl/>
              <w:jc w:val="center"/>
              <w:textAlignment w:val="center"/>
              <w:rPr>
                <w:rFonts w:hint="default" w:ascii="Times New Roman" w:hAnsi="Times New Roman" w:eastAsia="宋体" w:cs="Times New Roman"/>
                <w:color w:val="FF0000"/>
                <w:kern w:val="0"/>
                <w:sz w:val="21"/>
                <w:szCs w:val="21"/>
                <w:lang w:val="en-US" w:eastAsia="zh-CN" w:bidi="ar"/>
              </w:rPr>
            </w:pPr>
            <w:r>
              <w:rPr>
                <w:rFonts w:hint="eastAsia"/>
                <w:bCs/>
                <w:szCs w:val="21"/>
                <w:lang w:val="en-US" w:eastAsia="zh-CN"/>
              </w:rPr>
              <w:t>18163.2</w:t>
            </w:r>
          </w:p>
        </w:tc>
        <w:tc>
          <w:tcPr>
            <w:tcW w:w="1263" w:type="dxa"/>
            <w:shd w:val="clear" w:color="auto" w:fill="auto"/>
            <w:vAlign w:val="center"/>
          </w:tcPr>
          <w:p w14:paraId="3A1EBC07">
            <w:pPr>
              <w:pStyle w:val="42"/>
              <w:spacing w:beforeLines="0" w:afterLines="0" w:line="240" w:lineRule="auto"/>
              <w:rPr>
                <w:rFonts w:hint="default" w:ascii="宋体" w:hAnsi="Times New Roman" w:eastAsia="宋体" w:cs="Times New Roman"/>
                <w:b/>
                <w:color w:val="FF0000"/>
                <w:kern w:val="2"/>
                <w:sz w:val="21"/>
                <w:szCs w:val="21"/>
                <w:lang w:val="en-US" w:eastAsia="zh-CN" w:bidi="ar-SA"/>
              </w:rPr>
            </w:pPr>
            <w:r>
              <w:rPr>
                <w:rFonts w:hint="eastAsia" w:ascii="Times New Roman"/>
                <w:b w:val="0"/>
                <w:bCs/>
                <w:snapToGrid w:val="0"/>
                <w:kern w:val="21"/>
                <w:szCs w:val="21"/>
                <w:lang w:val="en-US" w:eastAsia="zh-CN"/>
              </w:rPr>
              <w:t>+2376</w:t>
            </w:r>
          </w:p>
        </w:tc>
      </w:tr>
      <w:tr w14:paraId="185351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175EDE16">
            <w:pPr>
              <w:pStyle w:val="42"/>
              <w:spacing w:beforeLines="0" w:afterLines="0" w:line="240" w:lineRule="auto"/>
              <w:rPr>
                <w:rFonts w:ascii="Times New Roman" w:cs="宋体"/>
                <w:b w:val="0"/>
                <w:bCs/>
                <w:snapToGrid w:val="0"/>
                <w:kern w:val="21"/>
                <w:szCs w:val="21"/>
              </w:rPr>
            </w:pPr>
          </w:p>
        </w:tc>
        <w:tc>
          <w:tcPr>
            <w:tcW w:w="1588" w:type="dxa"/>
            <w:vAlign w:val="center"/>
          </w:tcPr>
          <w:p w14:paraId="2D7AA6AB">
            <w:pPr>
              <w:jc w:val="center"/>
              <w:rPr>
                <w:bCs/>
                <w:kern w:val="0"/>
                <w:szCs w:val="21"/>
              </w:rPr>
            </w:pPr>
            <w:r>
              <w:rPr>
                <w:bCs/>
                <w:kern w:val="0"/>
                <w:szCs w:val="21"/>
              </w:rPr>
              <w:t>COD</w:t>
            </w:r>
            <w:r>
              <w:rPr>
                <w:rFonts w:hint="eastAsia"/>
                <w:bCs/>
                <w:snapToGrid w:val="0"/>
                <w:kern w:val="21"/>
                <w:szCs w:val="21"/>
              </w:rPr>
              <w:t>（t/a）</w:t>
            </w:r>
          </w:p>
        </w:tc>
        <w:tc>
          <w:tcPr>
            <w:tcW w:w="1770" w:type="dxa"/>
            <w:shd w:val="clear" w:color="auto" w:fill="auto"/>
            <w:vAlign w:val="center"/>
          </w:tcPr>
          <w:p w14:paraId="5558BC32">
            <w:pPr>
              <w:widowControl/>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bCs/>
                <w:kern w:val="0"/>
                <w:szCs w:val="21"/>
                <w:lang w:val="en-US" w:eastAsia="zh-CN" w:bidi="ar"/>
              </w:rPr>
              <w:t>6.157</w:t>
            </w:r>
          </w:p>
        </w:tc>
        <w:tc>
          <w:tcPr>
            <w:tcW w:w="1230" w:type="dxa"/>
            <w:shd w:val="clear" w:color="auto" w:fill="auto"/>
            <w:vAlign w:val="center"/>
          </w:tcPr>
          <w:p w14:paraId="4838AE58">
            <w:pPr>
              <w:widowControl/>
              <w:jc w:val="center"/>
              <w:textAlignment w:val="center"/>
              <w:rPr>
                <w:rFonts w:hint="eastAsia" w:ascii="Times New Roman" w:hAnsi="Times New Roman" w:eastAsia="宋体" w:cs="Times New Roman"/>
                <w:color w:val="FF0000"/>
                <w:kern w:val="0"/>
                <w:sz w:val="21"/>
                <w:szCs w:val="21"/>
                <w:lang w:val="en-US" w:eastAsia="zh-CN" w:bidi="ar"/>
              </w:rPr>
            </w:pPr>
            <w:r>
              <w:rPr>
                <w:rFonts w:hint="eastAsia"/>
                <w:bCs/>
                <w:kern w:val="0"/>
                <w:szCs w:val="21"/>
                <w:lang w:val="en-US" w:eastAsia="zh-CN" w:bidi="ar"/>
              </w:rPr>
              <w:t>/</w:t>
            </w:r>
          </w:p>
        </w:tc>
        <w:tc>
          <w:tcPr>
            <w:tcW w:w="1800" w:type="dxa"/>
            <w:vAlign w:val="center"/>
          </w:tcPr>
          <w:p w14:paraId="41853A30">
            <w:pPr>
              <w:widowControl/>
              <w:jc w:val="center"/>
              <w:textAlignment w:val="center"/>
              <w:rPr>
                <w:bCs/>
                <w:szCs w:val="21"/>
              </w:rPr>
            </w:pPr>
            <w:r>
              <w:rPr>
                <w:rFonts w:hint="eastAsia"/>
                <w:bCs/>
                <w:szCs w:val="21"/>
              </w:rPr>
              <w:t>0</w:t>
            </w:r>
          </w:p>
        </w:tc>
        <w:tc>
          <w:tcPr>
            <w:tcW w:w="1605" w:type="dxa"/>
            <w:shd w:val="clear" w:color="auto" w:fill="auto"/>
            <w:vAlign w:val="center"/>
          </w:tcPr>
          <w:p w14:paraId="2F162392">
            <w:pPr>
              <w:pStyle w:val="42"/>
              <w:spacing w:beforeLines="0" w:afterLines="0" w:line="240" w:lineRule="auto"/>
              <w:rPr>
                <w:rFonts w:hint="default" w:ascii="Times New Roman" w:hAnsi="Times New Roman" w:eastAsia="宋体" w:cs="Times New Roman"/>
                <w:b/>
                <w:color w:val="FF0000"/>
                <w:kern w:val="0"/>
                <w:sz w:val="21"/>
                <w:szCs w:val="21"/>
                <w:highlight w:val="yellow"/>
                <w:lang w:val="en-US" w:eastAsia="zh-CN" w:bidi="ar-SA"/>
              </w:rPr>
            </w:pPr>
            <w:r>
              <w:rPr>
                <w:rFonts w:hint="eastAsia" w:ascii="Times New Roman" w:hAnsi="Times New Roman" w:eastAsia="宋体" w:cs="Times New Roman"/>
                <w:b w:val="0"/>
                <w:bCs/>
                <w:kern w:val="0"/>
                <w:sz w:val="21"/>
                <w:szCs w:val="21"/>
                <w:highlight w:val="none"/>
                <w:lang w:val="en-US" w:eastAsia="zh-CN" w:bidi="ar-SA"/>
              </w:rPr>
              <w:t>0.54</w:t>
            </w:r>
          </w:p>
        </w:tc>
        <w:tc>
          <w:tcPr>
            <w:tcW w:w="1620" w:type="dxa"/>
            <w:vAlign w:val="center"/>
          </w:tcPr>
          <w:p w14:paraId="7F5F7399">
            <w:pPr>
              <w:pStyle w:val="42"/>
              <w:spacing w:beforeLines="0" w:afterLines="0" w:line="240" w:lineRule="auto"/>
              <w:rPr>
                <w:rFonts w:ascii="Times New Roman"/>
                <w:b w:val="0"/>
                <w:bCs/>
                <w:snapToGrid w:val="0"/>
                <w:kern w:val="21"/>
                <w:szCs w:val="21"/>
              </w:rPr>
            </w:pPr>
            <w:r>
              <w:rPr>
                <w:rFonts w:hint="eastAsia" w:ascii="Times New Roman"/>
                <w:b w:val="0"/>
                <w:bCs/>
                <w:snapToGrid w:val="0"/>
                <w:kern w:val="21"/>
                <w:szCs w:val="21"/>
              </w:rPr>
              <w:t>0</w:t>
            </w:r>
          </w:p>
        </w:tc>
        <w:tc>
          <w:tcPr>
            <w:tcW w:w="1965" w:type="dxa"/>
            <w:shd w:val="clear" w:color="auto" w:fill="auto"/>
            <w:vAlign w:val="center"/>
          </w:tcPr>
          <w:p w14:paraId="0BE2B370">
            <w:pPr>
              <w:widowControl/>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bCs/>
                <w:kern w:val="0"/>
                <w:szCs w:val="21"/>
                <w:lang w:val="en-US" w:eastAsia="zh-CN" w:bidi="ar"/>
              </w:rPr>
              <w:t>6.697</w:t>
            </w:r>
          </w:p>
        </w:tc>
        <w:tc>
          <w:tcPr>
            <w:tcW w:w="1263" w:type="dxa"/>
            <w:shd w:val="clear" w:color="auto" w:fill="auto"/>
            <w:vAlign w:val="center"/>
          </w:tcPr>
          <w:p w14:paraId="130A9719">
            <w:pPr>
              <w:pStyle w:val="42"/>
              <w:spacing w:beforeLines="0" w:afterLines="0" w:line="240" w:lineRule="auto"/>
              <w:rPr>
                <w:rFonts w:hint="default" w:ascii="Times New Roman" w:hAnsi="Times New Roman" w:eastAsia="宋体" w:cs="Times New Roman"/>
                <w:b/>
                <w:color w:val="FF0000"/>
                <w:kern w:val="0"/>
                <w:sz w:val="21"/>
                <w:szCs w:val="21"/>
                <w:highlight w:val="yellow"/>
                <w:lang w:val="en-US" w:eastAsia="zh-CN" w:bidi="ar-SA"/>
              </w:rPr>
            </w:pPr>
            <w:r>
              <w:rPr>
                <w:rFonts w:hint="eastAsia" w:ascii="Times New Roman"/>
                <w:b w:val="0"/>
                <w:bCs/>
                <w:snapToGrid w:val="0"/>
                <w:kern w:val="21"/>
                <w:szCs w:val="21"/>
                <w:lang w:val="en-US" w:eastAsia="zh-CN"/>
              </w:rPr>
              <w:t>+</w:t>
            </w:r>
            <w:r>
              <w:rPr>
                <w:rFonts w:hint="eastAsia" w:ascii="Times New Roman" w:hAnsi="Times New Roman" w:eastAsia="宋体" w:cs="Times New Roman"/>
                <w:b w:val="0"/>
                <w:bCs/>
                <w:kern w:val="0"/>
                <w:sz w:val="21"/>
                <w:szCs w:val="21"/>
                <w:highlight w:val="none"/>
                <w:lang w:val="en-US" w:eastAsia="zh-CN" w:bidi="ar-SA"/>
              </w:rPr>
              <w:t>0.54</w:t>
            </w:r>
          </w:p>
        </w:tc>
      </w:tr>
      <w:tr w14:paraId="480B04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4F6B91C4">
            <w:pPr>
              <w:pStyle w:val="42"/>
              <w:spacing w:beforeLines="0" w:afterLines="0" w:line="240" w:lineRule="auto"/>
              <w:rPr>
                <w:rFonts w:ascii="Times New Roman" w:cs="宋体"/>
                <w:b w:val="0"/>
                <w:bCs/>
                <w:snapToGrid w:val="0"/>
                <w:kern w:val="21"/>
                <w:szCs w:val="21"/>
              </w:rPr>
            </w:pPr>
          </w:p>
        </w:tc>
        <w:tc>
          <w:tcPr>
            <w:tcW w:w="1588" w:type="dxa"/>
            <w:vAlign w:val="center"/>
          </w:tcPr>
          <w:p w14:paraId="6CC3F15B">
            <w:pPr>
              <w:jc w:val="center"/>
              <w:rPr>
                <w:bCs/>
                <w:kern w:val="0"/>
                <w:szCs w:val="21"/>
              </w:rPr>
            </w:pPr>
            <w:r>
              <w:rPr>
                <w:bCs/>
                <w:kern w:val="0"/>
                <w:szCs w:val="21"/>
              </w:rPr>
              <w:t>SS</w:t>
            </w:r>
            <w:r>
              <w:rPr>
                <w:rFonts w:hint="eastAsia"/>
                <w:bCs/>
                <w:snapToGrid w:val="0"/>
                <w:kern w:val="21"/>
                <w:szCs w:val="21"/>
              </w:rPr>
              <w:t>（t/a）</w:t>
            </w:r>
          </w:p>
        </w:tc>
        <w:tc>
          <w:tcPr>
            <w:tcW w:w="1770" w:type="dxa"/>
            <w:shd w:val="clear" w:color="auto" w:fill="auto"/>
            <w:vAlign w:val="center"/>
          </w:tcPr>
          <w:p w14:paraId="340F1224">
            <w:pPr>
              <w:widowControl/>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bCs/>
                <w:kern w:val="0"/>
                <w:szCs w:val="21"/>
                <w:lang w:val="en-US" w:eastAsia="zh-CN" w:bidi="ar"/>
              </w:rPr>
              <w:t>0.4736</w:t>
            </w:r>
          </w:p>
        </w:tc>
        <w:tc>
          <w:tcPr>
            <w:tcW w:w="1230" w:type="dxa"/>
            <w:shd w:val="clear" w:color="auto" w:fill="auto"/>
            <w:vAlign w:val="center"/>
          </w:tcPr>
          <w:p w14:paraId="4137C013">
            <w:pPr>
              <w:widowControl/>
              <w:jc w:val="center"/>
              <w:textAlignment w:val="center"/>
              <w:rPr>
                <w:rFonts w:hint="eastAsia" w:ascii="Times New Roman" w:hAnsi="Times New Roman" w:eastAsia="宋体" w:cs="Times New Roman"/>
                <w:color w:val="FF0000"/>
                <w:kern w:val="0"/>
                <w:sz w:val="21"/>
                <w:szCs w:val="21"/>
                <w:lang w:val="en-US" w:eastAsia="zh-CN" w:bidi="ar"/>
              </w:rPr>
            </w:pPr>
            <w:r>
              <w:rPr>
                <w:rFonts w:hint="eastAsia"/>
                <w:bCs/>
                <w:kern w:val="0"/>
                <w:szCs w:val="21"/>
                <w:lang w:val="en-US" w:eastAsia="zh-CN" w:bidi="ar"/>
              </w:rPr>
              <w:t>/</w:t>
            </w:r>
          </w:p>
        </w:tc>
        <w:tc>
          <w:tcPr>
            <w:tcW w:w="1800" w:type="dxa"/>
            <w:vAlign w:val="center"/>
          </w:tcPr>
          <w:p w14:paraId="12D0804E">
            <w:pPr>
              <w:widowControl/>
              <w:jc w:val="center"/>
              <w:textAlignment w:val="center"/>
              <w:rPr>
                <w:bCs/>
                <w:szCs w:val="21"/>
              </w:rPr>
            </w:pPr>
            <w:r>
              <w:rPr>
                <w:rFonts w:hint="eastAsia"/>
                <w:bCs/>
                <w:szCs w:val="21"/>
              </w:rPr>
              <w:t>0</w:t>
            </w:r>
          </w:p>
        </w:tc>
        <w:tc>
          <w:tcPr>
            <w:tcW w:w="1605" w:type="dxa"/>
            <w:shd w:val="clear" w:color="auto" w:fill="auto"/>
            <w:vAlign w:val="center"/>
          </w:tcPr>
          <w:p w14:paraId="63D6FD49">
            <w:pPr>
              <w:pStyle w:val="42"/>
              <w:spacing w:beforeLines="0" w:afterLines="0" w:line="240" w:lineRule="auto"/>
              <w:rPr>
                <w:rFonts w:hint="default" w:ascii="Times New Roman" w:hAnsi="Times New Roman" w:eastAsia="宋体" w:cs="Times New Roman"/>
                <w:b/>
                <w:color w:val="FF0000"/>
                <w:kern w:val="0"/>
                <w:sz w:val="21"/>
                <w:szCs w:val="21"/>
                <w:highlight w:val="yellow"/>
                <w:lang w:val="en-US" w:eastAsia="zh-CN" w:bidi="ar-SA"/>
              </w:rPr>
            </w:pPr>
            <w:r>
              <w:rPr>
                <w:rFonts w:hint="eastAsia" w:ascii="Times New Roman"/>
                <w:b w:val="0"/>
                <w:bCs/>
                <w:snapToGrid w:val="0"/>
                <w:kern w:val="21"/>
                <w:szCs w:val="21"/>
                <w:lang w:val="en-US" w:eastAsia="zh-CN"/>
              </w:rPr>
              <w:t>0.1973</w:t>
            </w:r>
          </w:p>
        </w:tc>
        <w:tc>
          <w:tcPr>
            <w:tcW w:w="1620" w:type="dxa"/>
            <w:vAlign w:val="center"/>
          </w:tcPr>
          <w:p w14:paraId="49BFC843">
            <w:pPr>
              <w:pStyle w:val="42"/>
              <w:spacing w:beforeLines="0" w:afterLines="0" w:line="240" w:lineRule="auto"/>
              <w:rPr>
                <w:rFonts w:ascii="Times New Roman"/>
                <w:b w:val="0"/>
                <w:bCs/>
                <w:snapToGrid w:val="0"/>
                <w:kern w:val="21"/>
                <w:szCs w:val="21"/>
              </w:rPr>
            </w:pPr>
            <w:r>
              <w:rPr>
                <w:rFonts w:hint="eastAsia" w:ascii="Times New Roman"/>
                <w:b w:val="0"/>
                <w:bCs/>
                <w:snapToGrid w:val="0"/>
                <w:kern w:val="21"/>
                <w:szCs w:val="21"/>
              </w:rPr>
              <w:t>0</w:t>
            </w:r>
          </w:p>
        </w:tc>
        <w:tc>
          <w:tcPr>
            <w:tcW w:w="1965" w:type="dxa"/>
            <w:shd w:val="clear" w:color="auto" w:fill="auto"/>
            <w:vAlign w:val="center"/>
          </w:tcPr>
          <w:p w14:paraId="5D729E03">
            <w:pPr>
              <w:widowControl/>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bCs/>
                <w:kern w:val="0"/>
                <w:szCs w:val="21"/>
                <w:lang w:val="en-US" w:eastAsia="zh-CN" w:bidi="ar"/>
              </w:rPr>
              <w:t>0.6709</w:t>
            </w:r>
          </w:p>
        </w:tc>
        <w:tc>
          <w:tcPr>
            <w:tcW w:w="1263" w:type="dxa"/>
            <w:shd w:val="clear" w:color="auto" w:fill="auto"/>
            <w:vAlign w:val="center"/>
          </w:tcPr>
          <w:p w14:paraId="1124B39B">
            <w:pPr>
              <w:pStyle w:val="42"/>
              <w:spacing w:beforeLines="0" w:afterLines="0" w:line="240" w:lineRule="auto"/>
              <w:rPr>
                <w:rFonts w:hint="default" w:ascii="Times New Roman" w:hAnsi="Times New Roman" w:eastAsia="宋体" w:cs="Times New Roman"/>
                <w:b/>
                <w:color w:val="FF0000"/>
                <w:kern w:val="0"/>
                <w:sz w:val="21"/>
                <w:szCs w:val="21"/>
                <w:highlight w:val="yellow"/>
                <w:lang w:val="en-US" w:eastAsia="zh-CN" w:bidi="ar-SA"/>
              </w:rPr>
            </w:pPr>
            <w:r>
              <w:rPr>
                <w:rFonts w:hint="eastAsia" w:ascii="Times New Roman"/>
                <w:b w:val="0"/>
                <w:bCs/>
                <w:snapToGrid w:val="0"/>
                <w:kern w:val="21"/>
                <w:szCs w:val="21"/>
                <w:lang w:val="en-US" w:eastAsia="zh-CN"/>
              </w:rPr>
              <w:t>+0.1973</w:t>
            </w:r>
          </w:p>
        </w:tc>
      </w:tr>
      <w:tr w14:paraId="692795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69CA78C1">
            <w:pPr>
              <w:pStyle w:val="42"/>
              <w:spacing w:beforeLines="0" w:afterLines="0" w:line="240" w:lineRule="auto"/>
              <w:rPr>
                <w:rFonts w:ascii="Times New Roman" w:cs="宋体"/>
                <w:b w:val="0"/>
                <w:bCs/>
                <w:snapToGrid w:val="0"/>
                <w:kern w:val="21"/>
                <w:szCs w:val="21"/>
              </w:rPr>
            </w:pPr>
          </w:p>
        </w:tc>
        <w:tc>
          <w:tcPr>
            <w:tcW w:w="1588" w:type="dxa"/>
            <w:vAlign w:val="center"/>
          </w:tcPr>
          <w:p w14:paraId="17877C14">
            <w:pPr>
              <w:jc w:val="center"/>
              <w:rPr>
                <w:bCs/>
                <w:kern w:val="0"/>
                <w:szCs w:val="21"/>
              </w:rPr>
            </w:pPr>
            <w:r>
              <w:rPr>
                <w:bCs/>
                <w:kern w:val="0"/>
                <w:szCs w:val="21"/>
              </w:rPr>
              <w:t>氨氮</w:t>
            </w:r>
            <w:r>
              <w:rPr>
                <w:rFonts w:hint="eastAsia"/>
                <w:bCs/>
                <w:snapToGrid w:val="0"/>
                <w:kern w:val="21"/>
                <w:szCs w:val="21"/>
              </w:rPr>
              <w:t>（t/a）</w:t>
            </w:r>
          </w:p>
        </w:tc>
        <w:tc>
          <w:tcPr>
            <w:tcW w:w="1770" w:type="dxa"/>
            <w:shd w:val="clear" w:color="auto" w:fill="auto"/>
            <w:vAlign w:val="center"/>
          </w:tcPr>
          <w:p w14:paraId="43AFB753">
            <w:pPr>
              <w:widowControl/>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bCs/>
                <w:kern w:val="0"/>
                <w:szCs w:val="21"/>
                <w:lang w:val="en-US" w:eastAsia="zh-CN" w:bidi="ar"/>
              </w:rPr>
              <w:t>0.3947</w:t>
            </w:r>
          </w:p>
        </w:tc>
        <w:tc>
          <w:tcPr>
            <w:tcW w:w="1230" w:type="dxa"/>
            <w:shd w:val="clear" w:color="auto" w:fill="auto"/>
            <w:vAlign w:val="center"/>
          </w:tcPr>
          <w:p w14:paraId="4718BD80">
            <w:pPr>
              <w:widowControl/>
              <w:jc w:val="center"/>
              <w:textAlignment w:val="center"/>
              <w:rPr>
                <w:rFonts w:hint="eastAsia" w:ascii="Times New Roman" w:hAnsi="Times New Roman" w:eastAsia="宋体" w:cs="Times New Roman"/>
                <w:color w:val="FF0000"/>
                <w:kern w:val="0"/>
                <w:sz w:val="21"/>
                <w:szCs w:val="21"/>
                <w:lang w:val="en-US" w:eastAsia="zh-CN" w:bidi="ar"/>
              </w:rPr>
            </w:pPr>
            <w:r>
              <w:rPr>
                <w:rFonts w:hint="eastAsia"/>
                <w:bCs/>
                <w:kern w:val="0"/>
                <w:szCs w:val="21"/>
                <w:lang w:val="en-US" w:eastAsia="zh-CN" w:bidi="ar"/>
              </w:rPr>
              <w:t>/</w:t>
            </w:r>
          </w:p>
        </w:tc>
        <w:tc>
          <w:tcPr>
            <w:tcW w:w="1800" w:type="dxa"/>
            <w:vAlign w:val="center"/>
          </w:tcPr>
          <w:p w14:paraId="1B2AA2E1">
            <w:pPr>
              <w:widowControl/>
              <w:jc w:val="center"/>
              <w:textAlignment w:val="center"/>
              <w:rPr>
                <w:bCs/>
                <w:szCs w:val="21"/>
              </w:rPr>
            </w:pPr>
            <w:r>
              <w:rPr>
                <w:rFonts w:hint="eastAsia"/>
                <w:bCs/>
                <w:szCs w:val="21"/>
              </w:rPr>
              <w:t>0</w:t>
            </w:r>
          </w:p>
        </w:tc>
        <w:tc>
          <w:tcPr>
            <w:tcW w:w="1605" w:type="dxa"/>
            <w:shd w:val="clear" w:color="auto" w:fill="auto"/>
            <w:vAlign w:val="center"/>
          </w:tcPr>
          <w:p w14:paraId="4DB7613D">
            <w:pPr>
              <w:pStyle w:val="42"/>
              <w:spacing w:beforeLines="0" w:afterLines="0" w:line="240" w:lineRule="auto"/>
              <w:rPr>
                <w:rFonts w:hint="default" w:ascii="Times New Roman" w:hAnsi="Times New Roman" w:eastAsia="宋体" w:cs="Times New Roman"/>
                <w:b/>
                <w:color w:val="FF0000"/>
                <w:kern w:val="0"/>
                <w:sz w:val="21"/>
                <w:szCs w:val="21"/>
                <w:highlight w:val="yellow"/>
                <w:lang w:val="en-US" w:eastAsia="zh-CN" w:bidi="ar-SA"/>
              </w:rPr>
            </w:pPr>
            <w:r>
              <w:rPr>
                <w:rFonts w:hint="eastAsia" w:ascii="Times New Roman"/>
                <w:b w:val="0"/>
                <w:bCs/>
                <w:snapToGrid w:val="0"/>
                <w:kern w:val="21"/>
                <w:szCs w:val="21"/>
              </w:rPr>
              <w:t>0</w:t>
            </w:r>
            <w:r>
              <w:rPr>
                <w:rFonts w:hint="eastAsia" w:ascii="Times New Roman"/>
                <w:b w:val="0"/>
                <w:bCs/>
                <w:snapToGrid w:val="0"/>
                <w:kern w:val="21"/>
                <w:szCs w:val="21"/>
                <w:lang w:val="en-US" w:eastAsia="zh-CN"/>
              </w:rPr>
              <w:t>.0464</w:t>
            </w:r>
          </w:p>
        </w:tc>
        <w:tc>
          <w:tcPr>
            <w:tcW w:w="1620" w:type="dxa"/>
            <w:vAlign w:val="center"/>
          </w:tcPr>
          <w:p w14:paraId="0F1A304A">
            <w:pPr>
              <w:pStyle w:val="42"/>
              <w:spacing w:beforeLines="0" w:afterLines="0" w:line="240" w:lineRule="auto"/>
              <w:rPr>
                <w:rFonts w:ascii="Times New Roman"/>
                <w:b w:val="0"/>
                <w:bCs/>
                <w:snapToGrid w:val="0"/>
                <w:kern w:val="21"/>
                <w:szCs w:val="21"/>
              </w:rPr>
            </w:pPr>
            <w:r>
              <w:rPr>
                <w:rFonts w:hint="eastAsia" w:ascii="Times New Roman"/>
                <w:b w:val="0"/>
                <w:bCs/>
                <w:snapToGrid w:val="0"/>
                <w:kern w:val="21"/>
                <w:szCs w:val="21"/>
              </w:rPr>
              <w:t>0</w:t>
            </w:r>
          </w:p>
        </w:tc>
        <w:tc>
          <w:tcPr>
            <w:tcW w:w="1965" w:type="dxa"/>
            <w:shd w:val="clear" w:color="auto" w:fill="auto"/>
            <w:vAlign w:val="center"/>
          </w:tcPr>
          <w:p w14:paraId="7ABB332A">
            <w:pPr>
              <w:widowControl/>
              <w:jc w:val="center"/>
              <w:textAlignment w:val="center"/>
              <w:rPr>
                <w:rFonts w:hint="default" w:ascii="Times New Roman" w:hAnsi="Times New Roman" w:eastAsia="宋体" w:cs="Times New Roman"/>
                <w:color w:val="FF0000"/>
                <w:kern w:val="2"/>
                <w:sz w:val="21"/>
                <w:szCs w:val="21"/>
                <w:lang w:val="en-US" w:eastAsia="zh-CN" w:bidi="ar-SA"/>
              </w:rPr>
            </w:pPr>
            <w:r>
              <w:rPr>
                <w:bCs/>
                <w:kern w:val="0"/>
                <w:szCs w:val="21"/>
                <w:lang w:bidi="ar"/>
              </w:rPr>
              <w:t>0.</w:t>
            </w:r>
            <w:r>
              <w:rPr>
                <w:rFonts w:hint="eastAsia"/>
                <w:bCs/>
                <w:kern w:val="0"/>
                <w:szCs w:val="21"/>
                <w:lang w:val="en-US" w:eastAsia="zh-CN" w:bidi="ar"/>
              </w:rPr>
              <w:t>4411</w:t>
            </w:r>
          </w:p>
        </w:tc>
        <w:tc>
          <w:tcPr>
            <w:tcW w:w="1263" w:type="dxa"/>
            <w:shd w:val="clear" w:color="auto" w:fill="auto"/>
            <w:vAlign w:val="center"/>
          </w:tcPr>
          <w:p w14:paraId="7AA6B981">
            <w:pPr>
              <w:pStyle w:val="42"/>
              <w:spacing w:beforeLines="0" w:afterLines="0" w:line="240" w:lineRule="auto"/>
              <w:rPr>
                <w:rFonts w:hint="default" w:ascii="Times New Roman" w:hAnsi="Times New Roman" w:eastAsia="宋体" w:cs="Times New Roman"/>
                <w:b/>
                <w:color w:val="FF0000"/>
                <w:kern w:val="0"/>
                <w:sz w:val="21"/>
                <w:szCs w:val="21"/>
                <w:highlight w:val="yellow"/>
                <w:lang w:val="en-US" w:eastAsia="zh-CN" w:bidi="ar-SA"/>
              </w:rPr>
            </w:pPr>
            <w:r>
              <w:rPr>
                <w:rFonts w:hint="eastAsia" w:ascii="Times New Roman"/>
                <w:b w:val="0"/>
                <w:bCs/>
                <w:snapToGrid w:val="0"/>
                <w:kern w:val="21"/>
                <w:szCs w:val="21"/>
                <w:lang w:val="en-US" w:eastAsia="zh-CN"/>
              </w:rPr>
              <w:t>+</w:t>
            </w:r>
            <w:r>
              <w:rPr>
                <w:rFonts w:hint="eastAsia" w:ascii="Times New Roman"/>
                <w:b w:val="0"/>
                <w:bCs/>
                <w:snapToGrid w:val="0"/>
                <w:kern w:val="21"/>
                <w:szCs w:val="21"/>
              </w:rPr>
              <w:t>0</w:t>
            </w:r>
            <w:r>
              <w:rPr>
                <w:rFonts w:hint="eastAsia" w:ascii="Times New Roman"/>
                <w:b w:val="0"/>
                <w:bCs/>
                <w:snapToGrid w:val="0"/>
                <w:kern w:val="21"/>
                <w:szCs w:val="21"/>
                <w:lang w:val="en-US" w:eastAsia="zh-CN"/>
              </w:rPr>
              <w:t>.0464</w:t>
            </w:r>
          </w:p>
        </w:tc>
      </w:tr>
      <w:tr w14:paraId="2E2718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2EA8EBC0">
            <w:pPr>
              <w:pStyle w:val="42"/>
              <w:spacing w:beforeLines="0" w:afterLines="0" w:line="240" w:lineRule="auto"/>
              <w:rPr>
                <w:rFonts w:ascii="Times New Roman" w:cs="宋体"/>
                <w:b w:val="0"/>
                <w:bCs/>
                <w:snapToGrid w:val="0"/>
                <w:kern w:val="21"/>
                <w:szCs w:val="21"/>
              </w:rPr>
            </w:pPr>
          </w:p>
        </w:tc>
        <w:tc>
          <w:tcPr>
            <w:tcW w:w="1588" w:type="dxa"/>
            <w:vAlign w:val="center"/>
          </w:tcPr>
          <w:p w14:paraId="2168E80A">
            <w:pPr>
              <w:jc w:val="center"/>
              <w:rPr>
                <w:bCs/>
                <w:kern w:val="0"/>
                <w:szCs w:val="21"/>
              </w:rPr>
            </w:pPr>
            <w:r>
              <w:rPr>
                <w:bCs/>
                <w:kern w:val="0"/>
                <w:szCs w:val="21"/>
              </w:rPr>
              <w:t>总磷</w:t>
            </w:r>
            <w:r>
              <w:rPr>
                <w:rFonts w:hint="eastAsia"/>
                <w:bCs/>
                <w:snapToGrid w:val="0"/>
                <w:kern w:val="21"/>
                <w:szCs w:val="21"/>
              </w:rPr>
              <w:t>（t/a）</w:t>
            </w:r>
          </w:p>
        </w:tc>
        <w:tc>
          <w:tcPr>
            <w:tcW w:w="1770" w:type="dxa"/>
            <w:shd w:val="clear" w:color="auto" w:fill="auto"/>
            <w:vAlign w:val="center"/>
          </w:tcPr>
          <w:p w14:paraId="509A7F74">
            <w:pPr>
              <w:widowControl/>
              <w:jc w:val="center"/>
              <w:textAlignment w:val="center"/>
              <w:rPr>
                <w:rFonts w:hint="default" w:ascii="Times New Roman" w:hAnsi="Times New Roman" w:eastAsia="宋体" w:cs="Times New Roman"/>
                <w:color w:val="FF0000"/>
                <w:kern w:val="0"/>
                <w:sz w:val="21"/>
                <w:szCs w:val="21"/>
                <w:lang w:val="en-US" w:eastAsia="zh-CN" w:bidi="ar"/>
              </w:rPr>
            </w:pPr>
            <w:r>
              <w:rPr>
                <w:bCs/>
                <w:kern w:val="0"/>
                <w:szCs w:val="21"/>
                <w:lang w:bidi="ar"/>
              </w:rPr>
              <w:t>0.</w:t>
            </w:r>
            <w:r>
              <w:rPr>
                <w:rFonts w:hint="eastAsia"/>
                <w:bCs/>
                <w:kern w:val="0"/>
                <w:szCs w:val="21"/>
                <w:lang w:val="en-US" w:eastAsia="zh-CN" w:bidi="ar"/>
              </w:rPr>
              <w:t>04736</w:t>
            </w:r>
          </w:p>
        </w:tc>
        <w:tc>
          <w:tcPr>
            <w:tcW w:w="1230" w:type="dxa"/>
            <w:shd w:val="clear" w:color="auto" w:fill="auto"/>
            <w:vAlign w:val="center"/>
          </w:tcPr>
          <w:p w14:paraId="52186B58">
            <w:pPr>
              <w:widowControl/>
              <w:jc w:val="center"/>
              <w:textAlignment w:val="center"/>
              <w:rPr>
                <w:rFonts w:hint="eastAsia" w:ascii="Times New Roman" w:hAnsi="Times New Roman" w:eastAsia="宋体" w:cs="Times New Roman"/>
                <w:color w:val="FF0000"/>
                <w:kern w:val="2"/>
                <w:sz w:val="21"/>
                <w:szCs w:val="21"/>
                <w:lang w:val="en-US" w:eastAsia="zh-CN" w:bidi="ar-SA"/>
              </w:rPr>
            </w:pPr>
            <w:r>
              <w:rPr>
                <w:rFonts w:hint="eastAsia"/>
                <w:bCs/>
                <w:kern w:val="0"/>
                <w:szCs w:val="21"/>
                <w:lang w:val="en-US" w:eastAsia="zh-CN" w:bidi="ar"/>
              </w:rPr>
              <w:t>/</w:t>
            </w:r>
          </w:p>
        </w:tc>
        <w:tc>
          <w:tcPr>
            <w:tcW w:w="1800" w:type="dxa"/>
            <w:vAlign w:val="center"/>
          </w:tcPr>
          <w:p w14:paraId="0DDADF85">
            <w:pPr>
              <w:widowControl/>
              <w:jc w:val="center"/>
              <w:textAlignment w:val="center"/>
              <w:rPr>
                <w:bCs/>
                <w:szCs w:val="21"/>
              </w:rPr>
            </w:pPr>
            <w:r>
              <w:rPr>
                <w:rFonts w:hint="eastAsia"/>
                <w:bCs/>
                <w:szCs w:val="21"/>
              </w:rPr>
              <w:t>0</w:t>
            </w:r>
          </w:p>
        </w:tc>
        <w:tc>
          <w:tcPr>
            <w:tcW w:w="1605" w:type="dxa"/>
            <w:shd w:val="clear" w:color="auto" w:fill="auto"/>
            <w:vAlign w:val="center"/>
          </w:tcPr>
          <w:p w14:paraId="20BDAEE9">
            <w:pPr>
              <w:pStyle w:val="42"/>
              <w:spacing w:beforeLines="0" w:afterLines="0" w:line="240" w:lineRule="auto"/>
              <w:rPr>
                <w:rFonts w:hint="default" w:ascii="Times New Roman" w:hAnsi="Times New Roman" w:eastAsia="宋体" w:cs="Times New Roman"/>
                <w:b/>
                <w:color w:val="FF0000"/>
                <w:kern w:val="0"/>
                <w:sz w:val="21"/>
                <w:szCs w:val="21"/>
                <w:highlight w:val="yellow"/>
                <w:lang w:val="en-US" w:eastAsia="zh-CN" w:bidi="ar"/>
              </w:rPr>
            </w:pPr>
            <w:r>
              <w:rPr>
                <w:rFonts w:hint="eastAsia" w:ascii="Times New Roman"/>
                <w:b w:val="0"/>
                <w:bCs/>
                <w:snapToGrid w:val="0"/>
                <w:kern w:val="21"/>
                <w:szCs w:val="21"/>
              </w:rPr>
              <w:t>0</w:t>
            </w:r>
            <w:r>
              <w:rPr>
                <w:rFonts w:hint="eastAsia" w:ascii="Times New Roman"/>
                <w:b w:val="0"/>
                <w:bCs/>
                <w:snapToGrid w:val="0"/>
                <w:kern w:val="21"/>
                <w:szCs w:val="21"/>
                <w:lang w:val="en-US" w:eastAsia="zh-CN"/>
              </w:rPr>
              <w:t>.00393</w:t>
            </w:r>
          </w:p>
        </w:tc>
        <w:tc>
          <w:tcPr>
            <w:tcW w:w="1620" w:type="dxa"/>
            <w:vAlign w:val="center"/>
          </w:tcPr>
          <w:p w14:paraId="27EBDFF6">
            <w:pPr>
              <w:pStyle w:val="42"/>
              <w:spacing w:beforeLines="0" w:afterLines="0" w:line="240" w:lineRule="auto"/>
              <w:rPr>
                <w:rFonts w:ascii="Times New Roman"/>
                <w:b w:val="0"/>
                <w:bCs/>
                <w:snapToGrid w:val="0"/>
                <w:kern w:val="21"/>
                <w:szCs w:val="21"/>
              </w:rPr>
            </w:pPr>
            <w:r>
              <w:rPr>
                <w:rFonts w:hint="eastAsia" w:ascii="Times New Roman"/>
                <w:b w:val="0"/>
                <w:bCs/>
                <w:snapToGrid w:val="0"/>
                <w:kern w:val="21"/>
                <w:szCs w:val="21"/>
              </w:rPr>
              <w:t>0</w:t>
            </w:r>
          </w:p>
        </w:tc>
        <w:tc>
          <w:tcPr>
            <w:tcW w:w="1965" w:type="dxa"/>
            <w:shd w:val="clear" w:color="auto" w:fill="auto"/>
            <w:vAlign w:val="center"/>
          </w:tcPr>
          <w:p w14:paraId="1EFBA681">
            <w:pPr>
              <w:widowControl/>
              <w:jc w:val="center"/>
              <w:textAlignment w:val="center"/>
              <w:rPr>
                <w:rFonts w:hint="default" w:ascii="Times New Roman" w:hAnsi="Times New Roman" w:eastAsia="宋体" w:cs="Times New Roman"/>
                <w:color w:val="FF0000"/>
                <w:kern w:val="0"/>
                <w:sz w:val="21"/>
                <w:szCs w:val="21"/>
                <w:lang w:val="en-US" w:eastAsia="zh-CN" w:bidi="ar"/>
              </w:rPr>
            </w:pPr>
            <w:r>
              <w:rPr>
                <w:bCs/>
                <w:kern w:val="0"/>
                <w:szCs w:val="21"/>
                <w:lang w:bidi="ar"/>
              </w:rPr>
              <w:t>0.</w:t>
            </w:r>
            <w:r>
              <w:rPr>
                <w:rFonts w:hint="eastAsia"/>
                <w:bCs/>
                <w:kern w:val="0"/>
                <w:szCs w:val="21"/>
                <w:lang w:bidi="ar"/>
              </w:rPr>
              <w:t>0</w:t>
            </w:r>
            <w:r>
              <w:rPr>
                <w:rFonts w:hint="eastAsia"/>
                <w:bCs/>
                <w:kern w:val="0"/>
                <w:szCs w:val="21"/>
                <w:lang w:val="en-US" w:eastAsia="zh-CN" w:bidi="ar"/>
              </w:rPr>
              <w:t>5129</w:t>
            </w:r>
          </w:p>
        </w:tc>
        <w:tc>
          <w:tcPr>
            <w:tcW w:w="1263" w:type="dxa"/>
            <w:shd w:val="clear" w:color="auto" w:fill="auto"/>
            <w:vAlign w:val="center"/>
          </w:tcPr>
          <w:p w14:paraId="372F56F0">
            <w:pPr>
              <w:pStyle w:val="42"/>
              <w:spacing w:beforeLines="0" w:afterLines="0" w:line="240" w:lineRule="auto"/>
              <w:rPr>
                <w:rFonts w:hint="default" w:ascii="Times New Roman" w:hAnsi="Times New Roman" w:eastAsia="宋体" w:cs="Times New Roman"/>
                <w:b/>
                <w:color w:val="FF0000"/>
                <w:kern w:val="0"/>
                <w:sz w:val="21"/>
                <w:szCs w:val="21"/>
                <w:highlight w:val="yellow"/>
                <w:lang w:val="en-US" w:eastAsia="zh-CN" w:bidi="ar"/>
              </w:rPr>
            </w:pPr>
            <w:r>
              <w:rPr>
                <w:rFonts w:hint="eastAsia" w:ascii="Times New Roman"/>
                <w:b w:val="0"/>
                <w:bCs/>
                <w:snapToGrid w:val="0"/>
                <w:kern w:val="21"/>
                <w:szCs w:val="21"/>
                <w:lang w:val="en-US" w:eastAsia="zh-CN"/>
              </w:rPr>
              <w:t>+</w:t>
            </w:r>
            <w:r>
              <w:rPr>
                <w:rFonts w:hint="eastAsia" w:ascii="Times New Roman"/>
                <w:b w:val="0"/>
                <w:bCs/>
                <w:snapToGrid w:val="0"/>
                <w:kern w:val="21"/>
                <w:szCs w:val="21"/>
              </w:rPr>
              <w:t>0</w:t>
            </w:r>
            <w:r>
              <w:rPr>
                <w:rFonts w:hint="eastAsia" w:ascii="Times New Roman"/>
                <w:b w:val="0"/>
                <w:bCs/>
                <w:snapToGrid w:val="0"/>
                <w:kern w:val="21"/>
                <w:szCs w:val="21"/>
                <w:lang w:val="en-US" w:eastAsia="zh-CN"/>
              </w:rPr>
              <w:t>.00393</w:t>
            </w:r>
          </w:p>
        </w:tc>
      </w:tr>
      <w:tr w14:paraId="49FC4A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4855C226">
            <w:pPr>
              <w:pStyle w:val="42"/>
              <w:spacing w:beforeLines="0" w:afterLines="0" w:line="240" w:lineRule="auto"/>
              <w:rPr>
                <w:rFonts w:ascii="Times New Roman" w:cs="宋体"/>
                <w:b w:val="0"/>
                <w:bCs/>
                <w:snapToGrid w:val="0"/>
                <w:kern w:val="21"/>
                <w:szCs w:val="21"/>
              </w:rPr>
            </w:pPr>
          </w:p>
        </w:tc>
        <w:tc>
          <w:tcPr>
            <w:tcW w:w="1588" w:type="dxa"/>
            <w:shd w:val="clear" w:color="auto" w:fill="auto"/>
            <w:vAlign w:val="center"/>
          </w:tcPr>
          <w:p w14:paraId="40EB602B">
            <w:pPr>
              <w:pStyle w:val="10"/>
              <w:spacing w:before="0" w:after="0" w:line="240" w:lineRule="auto"/>
              <w:ind w:right="0" w:rightChars="0"/>
              <w:jc w:val="center"/>
              <w:rPr>
                <w:rFonts w:hint="default" w:ascii="Times New Roman" w:hAnsi="Times New Roman" w:eastAsia="宋体" w:cs="Times New Roman"/>
                <w:kern w:val="0"/>
                <w:sz w:val="21"/>
                <w:szCs w:val="21"/>
                <w:lang w:val="en-US" w:eastAsia="zh-CN" w:bidi="ar-SA"/>
              </w:rPr>
            </w:pPr>
            <w:r>
              <w:rPr>
                <w:rFonts w:hint="eastAsia"/>
                <w:sz w:val="21"/>
                <w:szCs w:val="21"/>
                <w:lang w:val="en-US" w:eastAsia="zh-CN"/>
              </w:rPr>
              <w:t>BOD</w:t>
            </w:r>
            <w:r>
              <w:rPr>
                <w:rFonts w:hint="eastAsia"/>
                <w:sz w:val="21"/>
                <w:szCs w:val="21"/>
                <w:vertAlign w:val="subscript"/>
                <w:lang w:val="en-US" w:eastAsia="zh-CN"/>
              </w:rPr>
              <w:t>5</w:t>
            </w:r>
            <w:r>
              <w:rPr>
                <w:rFonts w:hint="eastAsia"/>
                <w:bCs/>
                <w:snapToGrid w:val="0"/>
                <w:kern w:val="21"/>
                <w:sz w:val="21"/>
                <w:szCs w:val="21"/>
              </w:rPr>
              <w:t>（t/a）</w:t>
            </w:r>
          </w:p>
        </w:tc>
        <w:tc>
          <w:tcPr>
            <w:tcW w:w="1770" w:type="dxa"/>
            <w:shd w:val="clear" w:color="auto" w:fill="auto"/>
            <w:vAlign w:val="center"/>
          </w:tcPr>
          <w:p w14:paraId="611FE214">
            <w:pPr>
              <w:widowControl/>
              <w:jc w:val="center"/>
              <w:textAlignment w:val="center"/>
              <w:rPr>
                <w:rFonts w:hint="default" w:ascii="Times New Roman" w:hAnsi="Times New Roman" w:eastAsia="宋体" w:cs="Times New Roman"/>
                <w:bCs/>
                <w:kern w:val="0"/>
                <w:sz w:val="21"/>
                <w:szCs w:val="21"/>
                <w:lang w:val="en-US" w:eastAsia="zh-CN" w:bidi="ar"/>
              </w:rPr>
            </w:pPr>
            <w:r>
              <w:rPr>
                <w:rFonts w:hint="eastAsia"/>
                <w:bCs/>
                <w:kern w:val="0"/>
                <w:szCs w:val="21"/>
                <w:lang w:val="en-US" w:eastAsia="zh-CN" w:bidi="ar"/>
              </w:rPr>
              <w:t>1.579</w:t>
            </w:r>
          </w:p>
        </w:tc>
        <w:tc>
          <w:tcPr>
            <w:tcW w:w="1230" w:type="dxa"/>
            <w:vAlign w:val="center"/>
          </w:tcPr>
          <w:p w14:paraId="5259C7A8">
            <w:pPr>
              <w:widowControl/>
              <w:jc w:val="center"/>
              <w:textAlignment w:val="center"/>
              <w:rPr>
                <w:rFonts w:hint="eastAsia" w:eastAsia="宋体"/>
                <w:bCs/>
                <w:kern w:val="0"/>
                <w:szCs w:val="21"/>
                <w:lang w:val="en-US" w:eastAsia="zh-CN" w:bidi="ar"/>
              </w:rPr>
            </w:pPr>
            <w:r>
              <w:rPr>
                <w:rFonts w:hint="eastAsia"/>
                <w:bCs/>
                <w:kern w:val="0"/>
                <w:szCs w:val="21"/>
                <w:lang w:val="en-US" w:eastAsia="zh-CN" w:bidi="ar"/>
              </w:rPr>
              <w:t>/</w:t>
            </w:r>
          </w:p>
        </w:tc>
        <w:tc>
          <w:tcPr>
            <w:tcW w:w="1800" w:type="dxa"/>
            <w:shd w:val="clear" w:color="auto" w:fill="auto"/>
            <w:vAlign w:val="center"/>
          </w:tcPr>
          <w:p w14:paraId="3C9751C1">
            <w:pPr>
              <w:widowControl/>
              <w:jc w:val="center"/>
              <w:textAlignment w:val="center"/>
              <w:rPr>
                <w:rFonts w:hint="eastAsia" w:ascii="Times New Roman" w:hAnsi="Times New Roman" w:eastAsia="宋体" w:cs="Times New Roman"/>
                <w:bCs/>
                <w:kern w:val="2"/>
                <w:sz w:val="21"/>
                <w:szCs w:val="21"/>
                <w:lang w:val="en-US" w:eastAsia="zh-CN" w:bidi="ar-SA"/>
              </w:rPr>
            </w:pPr>
            <w:r>
              <w:rPr>
                <w:rFonts w:hint="eastAsia"/>
                <w:bCs/>
                <w:szCs w:val="21"/>
              </w:rPr>
              <w:t>0</w:t>
            </w:r>
          </w:p>
        </w:tc>
        <w:tc>
          <w:tcPr>
            <w:tcW w:w="1605" w:type="dxa"/>
            <w:shd w:val="clear" w:color="auto" w:fill="auto"/>
            <w:vAlign w:val="center"/>
          </w:tcPr>
          <w:p w14:paraId="2E0EFEB7">
            <w:pPr>
              <w:pStyle w:val="42"/>
              <w:spacing w:beforeLines="0" w:afterLines="0" w:line="240" w:lineRule="auto"/>
              <w:rPr>
                <w:rFonts w:hint="default" w:ascii="Times New Roman" w:hAnsi="Times New Roman" w:eastAsia="宋体" w:cs="Times New Roman"/>
                <w:b w:val="0"/>
                <w:bCs/>
                <w:snapToGrid w:val="0"/>
                <w:kern w:val="21"/>
                <w:sz w:val="21"/>
                <w:szCs w:val="21"/>
                <w:lang w:val="en-US" w:eastAsia="zh-CN" w:bidi="ar-SA"/>
              </w:rPr>
            </w:pPr>
            <w:r>
              <w:rPr>
                <w:rFonts w:hint="eastAsia" w:ascii="Times New Roman"/>
                <w:b w:val="0"/>
                <w:bCs/>
                <w:snapToGrid w:val="0"/>
                <w:kern w:val="21"/>
                <w:szCs w:val="21"/>
                <w:lang w:val="en-US" w:eastAsia="zh-CN"/>
              </w:rPr>
              <w:t>0.231</w:t>
            </w:r>
          </w:p>
        </w:tc>
        <w:tc>
          <w:tcPr>
            <w:tcW w:w="1620" w:type="dxa"/>
            <w:vAlign w:val="center"/>
          </w:tcPr>
          <w:p w14:paraId="03B878B2">
            <w:pPr>
              <w:pStyle w:val="42"/>
              <w:spacing w:beforeLines="0" w:afterLines="0" w:line="240" w:lineRule="auto"/>
              <w:rPr>
                <w:rFonts w:hint="eastAsia" w:ascii="Times New Roman" w:eastAsia="宋体"/>
                <w:b w:val="0"/>
                <w:bCs/>
                <w:snapToGrid w:val="0"/>
                <w:kern w:val="21"/>
                <w:szCs w:val="21"/>
                <w:lang w:val="en-US" w:eastAsia="zh-CN"/>
              </w:rPr>
            </w:pPr>
            <w:r>
              <w:rPr>
                <w:rFonts w:hint="eastAsia" w:ascii="Times New Roman"/>
                <w:b w:val="0"/>
                <w:bCs/>
                <w:snapToGrid w:val="0"/>
                <w:kern w:val="21"/>
                <w:szCs w:val="21"/>
                <w:lang w:val="en-US" w:eastAsia="zh-CN"/>
              </w:rPr>
              <w:t>0</w:t>
            </w:r>
          </w:p>
        </w:tc>
        <w:tc>
          <w:tcPr>
            <w:tcW w:w="1965" w:type="dxa"/>
            <w:shd w:val="clear" w:color="auto" w:fill="auto"/>
            <w:vAlign w:val="center"/>
          </w:tcPr>
          <w:p w14:paraId="27019DC5">
            <w:pPr>
              <w:widowControl/>
              <w:jc w:val="center"/>
              <w:textAlignment w:val="center"/>
              <w:rPr>
                <w:rFonts w:hint="default" w:ascii="Times New Roman" w:hAnsi="Times New Roman" w:eastAsia="宋体" w:cs="Times New Roman"/>
                <w:bCs/>
                <w:kern w:val="0"/>
                <w:sz w:val="21"/>
                <w:szCs w:val="21"/>
                <w:lang w:val="en-US" w:eastAsia="zh-CN" w:bidi="ar"/>
              </w:rPr>
            </w:pPr>
            <w:r>
              <w:rPr>
                <w:rFonts w:hint="eastAsia"/>
                <w:bCs/>
                <w:kern w:val="0"/>
                <w:szCs w:val="21"/>
                <w:lang w:val="en-US" w:eastAsia="zh-CN" w:bidi="ar"/>
              </w:rPr>
              <w:t>1.81</w:t>
            </w:r>
          </w:p>
        </w:tc>
        <w:tc>
          <w:tcPr>
            <w:tcW w:w="1263" w:type="dxa"/>
            <w:shd w:val="clear" w:color="auto" w:fill="auto"/>
            <w:vAlign w:val="center"/>
          </w:tcPr>
          <w:p w14:paraId="35EB8122">
            <w:pPr>
              <w:pStyle w:val="42"/>
              <w:spacing w:beforeLines="0" w:afterLines="0" w:line="240" w:lineRule="auto"/>
              <w:rPr>
                <w:rFonts w:hint="eastAsia" w:ascii="Times New Roman" w:hAnsi="Times New Roman" w:eastAsia="宋体" w:cs="Times New Roman"/>
                <w:b w:val="0"/>
                <w:bCs/>
                <w:snapToGrid w:val="0"/>
                <w:kern w:val="21"/>
                <w:sz w:val="21"/>
                <w:szCs w:val="21"/>
                <w:lang w:val="en-US" w:eastAsia="zh-CN" w:bidi="ar-SA"/>
              </w:rPr>
            </w:pPr>
            <w:r>
              <w:rPr>
                <w:rFonts w:hint="eastAsia" w:ascii="Times New Roman"/>
                <w:b w:val="0"/>
                <w:bCs/>
                <w:snapToGrid w:val="0"/>
                <w:kern w:val="21"/>
                <w:szCs w:val="21"/>
                <w:lang w:val="en-US" w:eastAsia="zh-CN"/>
              </w:rPr>
              <w:t>+0.231</w:t>
            </w:r>
          </w:p>
        </w:tc>
      </w:tr>
      <w:tr w14:paraId="3683BB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30444E08">
            <w:pPr>
              <w:pStyle w:val="42"/>
              <w:spacing w:beforeLines="0" w:afterLines="0" w:line="240" w:lineRule="auto"/>
              <w:rPr>
                <w:rFonts w:ascii="Times New Roman" w:cs="宋体"/>
                <w:b w:val="0"/>
                <w:bCs/>
                <w:snapToGrid w:val="0"/>
                <w:kern w:val="21"/>
                <w:szCs w:val="21"/>
              </w:rPr>
            </w:pPr>
          </w:p>
        </w:tc>
        <w:tc>
          <w:tcPr>
            <w:tcW w:w="1588" w:type="dxa"/>
            <w:shd w:val="clear" w:color="auto" w:fill="auto"/>
            <w:vAlign w:val="center"/>
          </w:tcPr>
          <w:p w14:paraId="6F5F4B8A">
            <w:pPr>
              <w:pStyle w:val="10"/>
              <w:spacing w:before="0" w:after="0" w:line="240" w:lineRule="auto"/>
              <w:ind w:right="0" w:rightChars="0"/>
              <w:jc w:val="center"/>
              <w:rPr>
                <w:rFonts w:hint="default" w:ascii="Times New Roman" w:hAnsi="Times New Roman" w:eastAsia="宋体" w:cs="Times New Roman"/>
                <w:kern w:val="0"/>
                <w:sz w:val="21"/>
                <w:szCs w:val="21"/>
                <w:lang w:val="en-US" w:eastAsia="zh-CN" w:bidi="ar-SA"/>
              </w:rPr>
            </w:pPr>
            <w:r>
              <w:rPr>
                <w:rFonts w:hint="eastAsia"/>
                <w:sz w:val="21"/>
                <w:szCs w:val="21"/>
                <w:lang w:val="en-US" w:eastAsia="zh-CN"/>
              </w:rPr>
              <w:t>TN</w:t>
            </w:r>
            <w:r>
              <w:rPr>
                <w:rFonts w:hint="eastAsia"/>
                <w:bCs/>
                <w:snapToGrid w:val="0"/>
                <w:kern w:val="21"/>
                <w:sz w:val="21"/>
                <w:szCs w:val="21"/>
              </w:rPr>
              <w:t>（t/a）</w:t>
            </w:r>
          </w:p>
        </w:tc>
        <w:tc>
          <w:tcPr>
            <w:tcW w:w="1770" w:type="dxa"/>
            <w:shd w:val="clear" w:color="auto" w:fill="auto"/>
            <w:vAlign w:val="center"/>
          </w:tcPr>
          <w:p w14:paraId="1A038B08">
            <w:pPr>
              <w:widowControl/>
              <w:jc w:val="center"/>
              <w:textAlignment w:val="center"/>
              <w:rPr>
                <w:rFonts w:hint="default" w:ascii="Times New Roman" w:hAnsi="Times New Roman" w:eastAsia="宋体" w:cs="Times New Roman"/>
                <w:bCs/>
                <w:color w:val="auto"/>
                <w:kern w:val="0"/>
                <w:sz w:val="21"/>
                <w:szCs w:val="21"/>
                <w:lang w:val="en-US" w:eastAsia="zh-CN" w:bidi="ar"/>
              </w:rPr>
            </w:pPr>
            <w:r>
              <w:rPr>
                <w:rFonts w:hint="eastAsia"/>
                <w:bCs/>
                <w:color w:val="auto"/>
                <w:kern w:val="0"/>
                <w:szCs w:val="21"/>
                <w:lang w:val="en-US" w:eastAsia="zh-CN" w:bidi="ar"/>
              </w:rPr>
              <w:t>0.4736</w:t>
            </w:r>
          </w:p>
        </w:tc>
        <w:tc>
          <w:tcPr>
            <w:tcW w:w="1230" w:type="dxa"/>
            <w:vAlign w:val="center"/>
          </w:tcPr>
          <w:p w14:paraId="7B5BC711">
            <w:pPr>
              <w:widowControl/>
              <w:jc w:val="center"/>
              <w:textAlignment w:val="center"/>
              <w:rPr>
                <w:rFonts w:hint="eastAsia" w:eastAsia="宋体"/>
                <w:bCs/>
                <w:kern w:val="0"/>
                <w:szCs w:val="21"/>
                <w:lang w:val="en-US" w:eastAsia="zh-CN" w:bidi="ar"/>
              </w:rPr>
            </w:pPr>
            <w:r>
              <w:rPr>
                <w:rFonts w:hint="eastAsia"/>
                <w:bCs/>
                <w:kern w:val="0"/>
                <w:szCs w:val="21"/>
                <w:lang w:val="en-US" w:eastAsia="zh-CN" w:bidi="ar"/>
              </w:rPr>
              <w:t>/</w:t>
            </w:r>
          </w:p>
        </w:tc>
        <w:tc>
          <w:tcPr>
            <w:tcW w:w="1800" w:type="dxa"/>
            <w:shd w:val="clear" w:color="auto" w:fill="auto"/>
            <w:vAlign w:val="center"/>
          </w:tcPr>
          <w:p w14:paraId="59DD1156">
            <w:pPr>
              <w:widowControl/>
              <w:jc w:val="center"/>
              <w:textAlignment w:val="center"/>
              <w:rPr>
                <w:rFonts w:hint="eastAsia" w:ascii="Times New Roman" w:hAnsi="Times New Roman" w:eastAsia="宋体" w:cs="Times New Roman"/>
                <w:bCs/>
                <w:kern w:val="2"/>
                <w:sz w:val="21"/>
                <w:szCs w:val="21"/>
                <w:lang w:val="en-US" w:eastAsia="zh-CN" w:bidi="ar-SA"/>
              </w:rPr>
            </w:pPr>
            <w:r>
              <w:rPr>
                <w:rFonts w:hint="eastAsia"/>
                <w:bCs/>
                <w:szCs w:val="21"/>
              </w:rPr>
              <w:t>0</w:t>
            </w:r>
          </w:p>
        </w:tc>
        <w:tc>
          <w:tcPr>
            <w:tcW w:w="1605" w:type="dxa"/>
            <w:shd w:val="clear" w:color="auto" w:fill="auto"/>
            <w:vAlign w:val="center"/>
          </w:tcPr>
          <w:p w14:paraId="2DEED67E">
            <w:pPr>
              <w:pStyle w:val="42"/>
              <w:spacing w:beforeLines="0" w:afterLines="0" w:line="240" w:lineRule="auto"/>
              <w:rPr>
                <w:rFonts w:hint="default" w:ascii="Times New Roman" w:hAnsi="Times New Roman" w:eastAsia="宋体" w:cs="Times New Roman"/>
                <w:b w:val="0"/>
                <w:bCs/>
                <w:snapToGrid w:val="0"/>
                <w:kern w:val="21"/>
                <w:sz w:val="21"/>
                <w:szCs w:val="21"/>
                <w:lang w:val="en-US" w:eastAsia="zh-CN" w:bidi="ar-SA"/>
              </w:rPr>
            </w:pPr>
            <w:r>
              <w:rPr>
                <w:rFonts w:hint="eastAsia" w:ascii="Times New Roman"/>
                <w:b w:val="0"/>
                <w:bCs/>
                <w:snapToGrid w:val="0"/>
                <w:kern w:val="21"/>
                <w:szCs w:val="21"/>
                <w:lang w:val="en-US" w:eastAsia="zh-CN"/>
              </w:rPr>
              <w:t>0.0583</w:t>
            </w:r>
          </w:p>
        </w:tc>
        <w:tc>
          <w:tcPr>
            <w:tcW w:w="1620" w:type="dxa"/>
            <w:vAlign w:val="center"/>
          </w:tcPr>
          <w:p w14:paraId="1430E982">
            <w:pPr>
              <w:pStyle w:val="42"/>
              <w:spacing w:beforeLines="0" w:afterLines="0" w:line="240" w:lineRule="auto"/>
              <w:rPr>
                <w:rFonts w:hint="eastAsia" w:ascii="Times New Roman" w:eastAsia="宋体"/>
                <w:b w:val="0"/>
                <w:bCs/>
                <w:snapToGrid w:val="0"/>
                <w:kern w:val="21"/>
                <w:szCs w:val="21"/>
                <w:lang w:val="en-US" w:eastAsia="zh-CN"/>
              </w:rPr>
            </w:pPr>
            <w:r>
              <w:rPr>
                <w:rFonts w:hint="eastAsia" w:ascii="Times New Roman"/>
                <w:b w:val="0"/>
                <w:bCs/>
                <w:snapToGrid w:val="0"/>
                <w:kern w:val="21"/>
                <w:szCs w:val="21"/>
                <w:lang w:val="en-US" w:eastAsia="zh-CN"/>
              </w:rPr>
              <w:t>0</w:t>
            </w:r>
          </w:p>
        </w:tc>
        <w:tc>
          <w:tcPr>
            <w:tcW w:w="1965" w:type="dxa"/>
            <w:shd w:val="clear" w:color="auto" w:fill="auto"/>
            <w:vAlign w:val="center"/>
          </w:tcPr>
          <w:p w14:paraId="599D6C27">
            <w:pPr>
              <w:widowControl/>
              <w:jc w:val="center"/>
              <w:textAlignment w:val="center"/>
              <w:rPr>
                <w:rFonts w:hint="default" w:ascii="Times New Roman" w:hAnsi="Times New Roman" w:eastAsia="宋体" w:cs="Times New Roman"/>
                <w:bCs/>
                <w:kern w:val="0"/>
                <w:sz w:val="21"/>
                <w:szCs w:val="21"/>
                <w:lang w:val="en-US" w:eastAsia="zh-CN" w:bidi="ar"/>
              </w:rPr>
            </w:pPr>
            <w:r>
              <w:rPr>
                <w:rFonts w:hint="eastAsia"/>
                <w:bCs/>
                <w:kern w:val="0"/>
                <w:szCs w:val="21"/>
                <w:lang w:val="en-US" w:eastAsia="zh-CN" w:bidi="ar"/>
              </w:rPr>
              <w:t>0.5319</w:t>
            </w:r>
          </w:p>
        </w:tc>
        <w:tc>
          <w:tcPr>
            <w:tcW w:w="1263" w:type="dxa"/>
            <w:shd w:val="clear" w:color="auto" w:fill="auto"/>
            <w:vAlign w:val="center"/>
          </w:tcPr>
          <w:p w14:paraId="7A77F892">
            <w:pPr>
              <w:pStyle w:val="42"/>
              <w:spacing w:beforeLines="0" w:afterLines="0" w:line="240" w:lineRule="auto"/>
              <w:rPr>
                <w:rFonts w:hint="eastAsia" w:ascii="Times New Roman" w:hAnsi="Times New Roman" w:eastAsia="宋体" w:cs="Times New Roman"/>
                <w:b w:val="0"/>
                <w:bCs/>
                <w:snapToGrid w:val="0"/>
                <w:kern w:val="21"/>
                <w:sz w:val="21"/>
                <w:szCs w:val="21"/>
                <w:lang w:val="en-US" w:eastAsia="zh-CN" w:bidi="ar-SA"/>
              </w:rPr>
            </w:pPr>
            <w:r>
              <w:rPr>
                <w:rFonts w:hint="eastAsia" w:ascii="Times New Roman"/>
                <w:b w:val="0"/>
                <w:bCs/>
                <w:snapToGrid w:val="0"/>
                <w:kern w:val="21"/>
                <w:szCs w:val="21"/>
                <w:lang w:val="en-US" w:eastAsia="zh-CN"/>
              </w:rPr>
              <w:t>+0.0583</w:t>
            </w:r>
          </w:p>
        </w:tc>
      </w:tr>
      <w:tr w14:paraId="50F1B2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010ACDB6">
            <w:pPr>
              <w:pStyle w:val="42"/>
              <w:spacing w:beforeLines="0" w:afterLines="0" w:line="240" w:lineRule="auto"/>
              <w:rPr>
                <w:rFonts w:ascii="Times New Roman" w:cs="宋体"/>
                <w:b w:val="0"/>
                <w:bCs/>
                <w:snapToGrid w:val="0"/>
                <w:kern w:val="21"/>
                <w:szCs w:val="21"/>
              </w:rPr>
            </w:pPr>
          </w:p>
        </w:tc>
        <w:tc>
          <w:tcPr>
            <w:tcW w:w="1588" w:type="dxa"/>
            <w:shd w:val="clear" w:color="auto" w:fill="auto"/>
            <w:vAlign w:val="center"/>
          </w:tcPr>
          <w:p w14:paraId="6503E880">
            <w:pPr>
              <w:pStyle w:val="10"/>
              <w:spacing w:before="0" w:after="0" w:line="240" w:lineRule="auto"/>
              <w:ind w:right="0" w:right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氟化物</w:t>
            </w:r>
            <w:r>
              <w:rPr>
                <w:rFonts w:hint="eastAsia"/>
                <w:bCs/>
                <w:snapToGrid w:val="0"/>
                <w:color w:val="auto"/>
                <w:kern w:val="21"/>
                <w:sz w:val="21"/>
                <w:szCs w:val="21"/>
              </w:rPr>
              <w:t>（t/a）</w:t>
            </w:r>
          </w:p>
        </w:tc>
        <w:tc>
          <w:tcPr>
            <w:tcW w:w="1770" w:type="dxa"/>
            <w:vAlign w:val="center"/>
          </w:tcPr>
          <w:p w14:paraId="7ABA2B99">
            <w:pPr>
              <w:widowControl/>
              <w:jc w:val="center"/>
              <w:textAlignment w:val="center"/>
              <w:rPr>
                <w:rFonts w:hint="eastAsia" w:eastAsia="宋体"/>
                <w:bCs/>
                <w:color w:val="auto"/>
                <w:kern w:val="0"/>
                <w:szCs w:val="21"/>
                <w:lang w:val="en-US" w:eastAsia="zh-CN" w:bidi="ar"/>
              </w:rPr>
            </w:pPr>
            <w:r>
              <w:rPr>
                <w:rFonts w:hint="eastAsia"/>
                <w:bCs/>
                <w:color w:val="auto"/>
                <w:kern w:val="0"/>
                <w:szCs w:val="21"/>
                <w:lang w:val="en-US" w:eastAsia="zh-CN" w:bidi="ar"/>
              </w:rPr>
              <w:t>0</w:t>
            </w:r>
          </w:p>
        </w:tc>
        <w:tc>
          <w:tcPr>
            <w:tcW w:w="1230" w:type="dxa"/>
            <w:vAlign w:val="center"/>
          </w:tcPr>
          <w:p w14:paraId="0E5988A0">
            <w:pPr>
              <w:widowControl/>
              <w:jc w:val="center"/>
              <w:textAlignment w:val="center"/>
              <w:rPr>
                <w:rFonts w:hint="eastAsia" w:eastAsia="宋体"/>
                <w:bCs/>
                <w:color w:val="auto"/>
                <w:kern w:val="0"/>
                <w:szCs w:val="21"/>
                <w:lang w:val="en-US" w:eastAsia="zh-CN" w:bidi="ar"/>
              </w:rPr>
            </w:pPr>
            <w:r>
              <w:rPr>
                <w:rFonts w:hint="eastAsia"/>
                <w:bCs/>
                <w:color w:val="auto"/>
                <w:kern w:val="0"/>
                <w:szCs w:val="21"/>
                <w:lang w:val="en-US" w:eastAsia="zh-CN" w:bidi="ar"/>
              </w:rPr>
              <w:t>/</w:t>
            </w:r>
          </w:p>
        </w:tc>
        <w:tc>
          <w:tcPr>
            <w:tcW w:w="1800" w:type="dxa"/>
            <w:shd w:val="clear" w:color="auto" w:fill="auto"/>
            <w:vAlign w:val="center"/>
          </w:tcPr>
          <w:p w14:paraId="6BE2F48B">
            <w:pPr>
              <w:widowControl/>
              <w:jc w:val="center"/>
              <w:textAlignment w:val="center"/>
              <w:rPr>
                <w:rFonts w:hint="eastAsia" w:ascii="Times New Roman" w:hAnsi="Times New Roman" w:eastAsia="宋体" w:cs="Times New Roman"/>
                <w:bCs/>
                <w:color w:val="auto"/>
                <w:kern w:val="2"/>
                <w:sz w:val="21"/>
                <w:szCs w:val="21"/>
                <w:lang w:val="en-US" w:eastAsia="zh-CN" w:bidi="ar-SA"/>
              </w:rPr>
            </w:pPr>
            <w:r>
              <w:rPr>
                <w:rFonts w:hint="eastAsia"/>
                <w:bCs/>
                <w:color w:val="auto"/>
                <w:szCs w:val="21"/>
              </w:rPr>
              <w:t>0</w:t>
            </w:r>
          </w:p>
        </w:tc>
        <w:tc>
          <w:tcPr>
            <w:tcW w:w="1605" w:type="dxa"/>
            <w:shd w:val="clear" w:color="auto" w:fill="auto"/>
            <w:vAlign w:val="center"/>
          </w:tcPr>
          <w:p w14:paraId="33E875AB">
            <w:pPr>
              <w:pStyle w:val="42"/>
              <w:spacing w:beforeLines="0" w:afterLines="0" w:line="240" w:lineRule="auto"/>
              <w:rPr>
                <w:rFonts w:hint="eastAsia" w:ascii="Times New Roman" w:hAnsi="Times New Roman" w:eastAsia="宋体" w:cs="Times New Roman"/>
                <w:b w:val="0"/>
                <w:bCs/>
                <w:snapToGrid w:val="0"/>
                <w:color w:val="auto"/>
                <w:kern w:val="21"/>
                <w:sz w:val="21"/>
                <w:szCs w:val="21"/>
                <w:lang w:val="en-US" w:eastAsia="zh-CN" w:bidi="ar-SA"/>
              </w:rPr>
            </w:pPr>
            <w:r>
              <w:rPr>
                <w:rFonts w:hint="eastAsia" w:ascii="Times New Roman"/>
                <w:b w:val="0"/>
                <w:bCs/>
                <w:snapToGrid w:val="0"/>
                <w:color w:val="auto"/>
                <w:kern w:val="21"/>
                <w:szCs w:val="21"/>
                <w:lang w:val="en-US" w:eastAsia="zh-CN"/>
              </w:rPr>
              <w:t>0.016</w:t>
            </w:r>
          </w:p>
        </w:tc>
        <w:tc>
          <w:tcPr>
            <w:tcW w:w="1620" w:type="dxa"/>
            <w:vAlign w:val="center"/>
          </w:tcPr>
          <w:p w14:paraId="312418F2">
            <w:pPr>
              <w:pStyle w:val="42"/>
              <w:spacing w:beforeLines="0" w:afterLines="0" w:line="240" w:lineRule="auto"/>
              <w:rPr>
                <w:rFonts w:hint="eastAsia" w:ascii="Times New Roman" w:eastAsia="宋体"/>
                <w:b w:val="0"/>
                <w:bCs/>
                <w:snapToGrid w:val="0"/>
                <w:color w:val="auto"/>
                <w:kern w:val="21"/>
                <w:szCs w:val="21"/>
                <w:lang w:val="en-US" w:eastAsia="zh-CN"/>
              </w:rPr>
            </w:pPr>
            <w:r>
              <w:rPr>
                <w:rFonts w:hint="eastAsia" w:ascii="Times New Roman"/>
                <w:b w:val="0"/>
                <w:bCs/>
                <w:snapToGrid w:val="0"/>
                <w:color w:val="auto"/>
                <w:kern w:val="21"/>
                <w:szCs w:val="21"/>
                <w:lang w:val="en-US" w:eastAsia="zh-CN"/>
              </w:rPr>
              <w:t>0</w:t>
            </w:r>
          </w:p>
        </w:tc>
        <w:tc>
          <w:tcPr>
            <w:tcW w:w="1965" w:type="dxa"/>
            <w:shd w:val="clear" w:color="auto" w:fill="auto"/>
            <w:vAlign w:val="center"/>
          </w:tcPr>
          <w:p w14:paraId="47D33337">
            <w:pPr>
              <w:widowControl/>
              <w:jc w:val="center"/>
              <w:textAlignment w:val="center"/>
              <w:rPr>
                <w:rFonts w:hint="default" w:ascii="Times New Roman" w:hAnsi="Times New Roman" w:eastAsia="宋体" w:cs="Times New Roman"/>
                <w:bCs/>
                <w:color w:val="auto"/>
                <w:kern w:val="0"/>
                <w:sz w:val="21"/>
                <w:szCs w:val="21"/>
                <w:lang w:val="en-US" w:eastAsia="zh-CN" w:bidi="ar"/>
              </w:rPr>
            </w:pPr>
            <w:r>
              <w:rPr>
                <w:rFonts w:hint="eastAsia"/>
                <w:bCs/>
                <w:color w:val="auto"/>
                <w:kern w:val="0"/>
                <w:szCs w:val="21"/>
                <w:lang w:val="en-US" w:eastAsia="zh-CN" w:bidi="ar"/>
              </w:rPr>
              <w:t>0.016</w:t>
            </w:r>
          </w:p>
        </w:tc>
        <w:tc>
          <w:tcPr>
            <w:tcW w:w="1263" w:type="dxa"/>
            <w:shd w:val="clear" w:color="auto" w:fill="auto"/>
            <w:vAlign w:val="center"/>
          </w:tcPr>
          <w:p w14:paraId="532E2BEF">
            <w:pPr>
              <w:pStyle w:val="42"/>
              <w:spacing w:beforeLines="0" w:afterLines="0" w:line="240" w:lineRule="auto"/>
              <w:rPr>
                <w:rFonts w:hint="eastAsia" w:ascii="Times New Roman" w:hAnsi="Times New Roman" w:eastAsia="宋体" w:cs="Times New Roman"/>
                <w:b w:val="0"/>
                <w:bCs/>
                <w:snapToGrid w:val="0"/>
                <w:color w:val="auto"/>
                <w:kern w:val="21"/>
                <w:sz w:val="21"/>
                <w:szCs w:val="21"/>
                <w:lang w:val="en-US" w:eastAsia="zh-CN" w:bidi="ar-SA"/>
              </w:rPr>
            </w:pPr>
            <w:r>
              <w:rPr>
                <w:rFonts w:hint="eastAsia" w:ascii="Times New Roman"/>
                <w:b w:val="0"/>
                <w:bCs/>
                <w:snapToGrid w:val="0"/>
                <w:color w:val="auto"/>
                <w:kern w:val="21"/>
                <w:szCs w:val="21"/>
                <w:lang w:val="en-US" w:eastAsia="zh-CN"/>
              </w:rPr>
              <w:t>+0.016</w:t>
            </w:r>
          </w:p>
        </w:tc>
      </w:tr>
      <w:tr w14:paraId="65110C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restart"/>
            <w:vAlign w:val="center"/>
          </w:tcPr>
          <w:p w14:paraId="7E152F01">
            <w:pPr>
              <w:pStyle w:val="42"/>
              <w:spacing w:beforeLines="0" w:afterLines="0" w:line="240" w:lineRule="auto"/>
              <w:rPr>
                <w:rFonts w:ascii="Times New Roman" w:cs="宋体"/>
                <w:b w:val="0"/>
                <w:bCs/>
                <w:snapToGrid w:val="0"/>
                <w:kern w:val="21"/>
                <w:szCs w:val="21"/>
              </w:rPr>
            </w:pPr>
            <w:r>
              <w:rPr>
                <w:rFonts w:hint="eastAsia" w:ascii="Times New Roman" w:cs="宋体"/>
                <w:b w:val="0"/>
                <w:bCs/>
                <w:snapToGrid w:val="0"/>
                <w:kern w:val="21"/>
                <w:szCs w:val="21"/>
              </w:rPr>
              <w:t>一般工业固体废物</w:t>
            </w:r>
          </w:p>
        </w:tc>
        <w:tc>
          <w:tcPr>
            <w:tcW w:w="1588" w:type="dxa"/>
            <w:vAlign w:val="center"/>
          </w:tcPr>
          <w:p w14:paraId="0ED12191">
            <w:pPr>
              <w:widowControl/>
              <w:jc w:val="center"/>
              <w:rPr>
                <w:rFonts w:hint="default" w:eastAsia="宋体"/>
                <w:bCs/>
                <w:kern w:val="24"/>
                <w:szCs w:val="21"/>
                <w:lang w:val="en-US" w:eastAsia="zh-CN"/>
              </w:rPr>
            </w:pPr>
            <w:r>
              <w:rPr>
                <w:rFonts w:hint="eastAsia"/>
                <w:bCs/>
                <w:kern w:val="24"/>
                <w:szCs w:val="21"/>
                <w:lang w:val="en-US" w:eastAsia="zh-CN"/>
              </w:rPr>
              <w:t>生活垃圾（t/a）</w:t>
            </w:r>
          </w:p>
        </w:tc>
        <w:tc>
          <w:tcPr>
            <w:tcW w:w="1770" w:type="dxa"/>
            <w:vAlign w:val="center"/>
          </w:tcPr>
          <w:p w14:paraId="79124469">
            <w:pPr>
              <w:pStyle w:val="42"/>
              <w:spacing w:beforeLines="0" w:afterLines="0" w:line="240" w:lineRule="auto"/>
              <w:rPr>
                <w:rFonts w:hint="eastAsia" w:ascii="Times New Roman" w:eastAsia="宋体"/>
                <w:b w:val="0"/>
                <w:bCs/>
                <w:snapToGrid w:val="0"/>
                <w:kern w:val="21"/>
                <w:szCs w:val="21"/>
                <w:lang w:val="en-US" w:eastAsia="zh-CN"/>
              </w:rPr>
            </w:pPr>
            <w:r>
              <w:rPr>
                <w:rFonts w:hint="eastAsia" w:ascii="Times New Roman"/>
                <w:b w:val="0"/>
                <w:bCs/>
                <w:snapToGrid w:val="0"/>
                <w:kern w:val="21"/>
                <w:szCs w:val="21"/>
                <w:lang w:val="en-US" w:eastAsia="zh-CN"/>
              </w:rPr>
              <w:t>/</w:t>
            </w:r>
          </w:p>
        </w:tc>
        <w:tc>
          <w:tcPr>
            <w:tcW w:w="1230" w:type="dxa"/>
            <w:vAlign w:val="center"/>
          </w:tcPr>
          <w:p w14:paraId="69BA57CF">
            <w:pPr>
              <w:jc w:val="center"/>
              <w:rPr>
                <w:rFonts w:hint="eastAsia" w:eastAsia="宋体"/>
                <w:bCs/>
                <w:snapToGrid w:val="0"/>
                <w:kern w:val="21"/>
                <w:szCs w:val="21"/>
                <w:lang w:val="en-US" w:eastAsia="zh-CN"/>
              </w:rPr>
            </w:pPr>
            <w:r>
              <w:rPr>
                <w:rFonts w:hint="eastAsia"/>
                <w:bCs/>
                <w:snapToGrid w:val="0"/>
                <w:kern w:val="21"/>
                <w:szCs w:val="21"/>
                <w:lang w:val="en-US" w:eastAsia="zh-CN"/>
              </w:rPr>
              <w:t>/</w:t>
            </w:r>
          </w:p>
        </w:tc>
        <w:tc>
          <w:tcPr>
            <w:tcW w:w="1800" w:type="dxa"/>
            <w:vAlign w:val="center"/>
          </w:tcPr>
          <w:p w14:paraId="22D9DE6E">
            <w:pPr>
              <w:jc w:val="center"/>
              <w:rPr>
                <w:rFonts w:hint="eastAsia" w:eastAsia="宋体"/>
                <w:bCs/>
                <w:snapToGrid w:val="0"/>
                <w:kern w:val="21"/>
                <w:szCs w:val="21"/>
                <w:lang w:val="en-US" w:eastAsia="zh-CN"/>
              </w:rPr>
            </w:pPr>
            <w:r>
              <w:rPr>
                <w:rFonts w:hint="eastAsia"/>
                <w:bCs/>
                <w:snapToGrid w:val="0"/>
                <w:kern w:val="21"/>
                <w:szCs w:val="21"/>
                <w:lang w:val="en-US" w:eastAsia="zh-CN"/>
              </w:rPr>
              <w:t>/</w:t>
            </w:r>
          </w:p>
        </w:tc>
        <w:tc>
          <w:tcPr>
            <w:tcW w:w="1605" w:type="dxa"/>
            <w:vAlign w:val="center"/>
          </w:tcPr>
          <w:p w14:paraId="6309D8C7">
            <w:pPr>
              <w:widowControl/>
              <w:adjustRightInd w:val="0"/>
              <w:snapToGrid w:val="0"/>
              <w:jc w:val="center"/>
              <w:textAlignment w:val="center"/>
              <w:rPr>
                <w:rFonts w:hint="default" w:eastAsia="宋体"/>
                <w:color w:val="000000"/>
                <w:szCs w:val="21"/>
                <w:lang w:val="en-US" w:eastAsia="zh-CN"/>
              </w:rPr>
            </w:pPr>
            <w:r>
              <w:rPr>
                <w:rFonts w:hint="eastAsia"/>
                <w:color w:val="000000"/>
                <w:szCs w:val="21"/>
                <w:lang w:val="en-US" w:eastAsia="zh-CN"/>
              </w:rPr>
              <w:t>7.2</w:t>
            </w:r>
          </w:p>
        </w:tc>
        <w:tc>
          <w:tcPr>
            <w:tcW w:w="1620" w:type="dxa"/>
            <w:vAlign w:val="center"/>
          </w:tcPr>
          <w:p w14:paraId="2F334569">
            <w:pPr>
              <w:adjustRightInd w:val="0"/>
              <w:snapToGrid w:val="0"/>
              <w:jc w:val="center"/>
              <w:rPr>
                <w:rFonts w:hint="default" w:eastAsia="宋体"/>
                <w:bCs/>
                <w:snapToGrid w:val="0"/>
                <w:kern w:val="21"/>
                <w:szCs w:val="21"/>
                <w:lang w:val="en-US" w:eastAsia="zh-CN"/>
              </w:rPr>
            </w:pPr>
            <w:r>
              <w:rPr>
                <w:rFonts w:hint="eastAsia"/>
                <w:bCs/>
                <w:snapToGrid w:val="0"/>
                <w:kern w:val="21"/>
                <w:szCs w:val="21"/>
                <w:lang w:val="en-US" w:eastAsia="zh-CN"/>
              </w:rPr>
              <w:t>/</w:t>
            </w:r>
          </w:p>
        </w:tc>
        <w:tc>
          <w:tcPr>
            <w:tcW w:w="1965" w:type="dxa"/>
            <w:vAlign w:val="center"/>
          </w:tcPr>
          <w:p w14:paraId="3C69B908">
            <w:pPr>
              <w:widowControl/>
              <w:adjustRightInd w:val="0"/>
              <w:snapToGrid w:val="0"/>
              <w:jc w:val="center"/>
              <w:textAlignment w:val="center"/>
              <w:rPr>
                <w:rFonts w:hint="eastAsia"/>
                <w:color w:val="000000"/>
                <w:szCs w:val="21"/>
              </w:rPr>
            </w:pPr>
            <w:r>
              <w:rPr>
                <w:rFonts w:hint="eastAsia"/>
                <w:color w:val="000000"/>
                <w:szCs w:val="21"/>
                <w:lang w:val="en-US" w:eastAsia="zh-CN"/>
              </w:rPr>
              <w:t>7.2</w:t>
            </w:r>
          </w:p>
        </w:tc>
        <w:tc>
          <w:tcPr>
            <w:tcW w:w="1263" w:type="dxa"/>
            <w:vAlign w:val="center"/>
          </w:tcPr>
          <w:p w14:paraId="1927A595">
            <w:pPr>
              <w:widowControl/>
              <w:adjustRightInd w:val="0"/>
              <w:snapToGrid w:val="0"/>
              <w:jc w:val="center"/>
              <w:textAlignment w:val="center"/>
              <w:rPr>
                <w:rFonts w:hint="eastAsia"/>
                <w:bCs/>
                <w:szCs w:val="21"/>
              </w:rPr>
            </w:pPr>
            <w:r>
              <w:rPr>
                <w:rFonts w:hint="eastAsia"/>
                <w:color w:val="000000"/>
                <w:szCs w:val="21"/>
                <w:lang w:val="en-US" w:eastAsia="zh-CN"/>
              </w:rPr>
              <w:t>+7.2</w:t>
            </w:r>
          </w:p>
        </w:tc>
      </w:tr>
      <w:tr w14:paraId="0F0647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2CD9E14F">
            <w:pPr>
              <w:pStyle w:val="42"/>
              <w:spacing w:beforeLines="0" w:afterLines="0" w:line="240" w:lineRule="auto"/>
              <w:rPr>
                <w:rFonts w:ascii="Times New Roman" w:cs="宋体"/>
                <w:b w:val="0"/>
                <w:bCs/>
                <w:snapToGrid w:val="0"/>
                <w:kern w:val="21"/>
                <w:szCs w:val="21"/>
              </w:rPr>
            </w:pPr>
          </w:p>
        </w:tc>
        <w:tc>
          <w:tcPr>
            <w:tcW w:w="1588" w:type="dxa"/>
            <w:vAlign w:val="center"/>
          </w:tcPr>
          <w:p w14:paraId="3DA564EC">
            <w:pPr>
              <w:widowControl/>
              <w:jc w:val="center"/>
              <w:rPr>
                <w:bCs/>
                <w:szCs w:val="21"/>
              </w:rPr>
            </w:pPr>
            <w:r>
              <w:rPr>
                <w:rFonts w:hint="eastAsia"/>
                <w:bCs/>
                <w:kern w:val="24"/>
                <w:szCs w:val="21"/>
              </w:rPr>
              <w:t>玻璃窑炉除尘器收尘（</w:t>
            </w:r>
            <w:r>
              <w:rPr>
                <w:rFonts w:hint="eastAsia"/>
                <w:bCs/>
                <w:snapToGrid w:val="0"/>
                <w:kern w:val="21"/>
                <w:szCs w:val="21"/>
              </w:rPr>
              <w:t>t/a）</w:t>
            </w:r>
          </w:p>
        </w:tc>
        <w:tc>
          <w:tcPr>
            <w:tcW w:w="1770" w:type="dxa"/>
            <w:shd w:val="clear" w:color="auto" w:fill="auto"/>
            <w:vAlign w:val="center"/>
          </w:tcPr>
          <w:p w14:paraId="0D1D87AE">
            <w:pPr>
              <w:widowControl/>
              <w:adjustRightInd w:val="0"/>
              <w:snapToGrid w:val="0"/>
              <w:jc w:val="center"/>
              <w:textAlignment w:val="center"/>
              <w:rPr>
                <w:rFonts w:ascii="Times New Roman" w:hAnsi="Times New Roman" w:eastAsia="宋体" w:cs="Times New Roman"/>
                <w:bCs/>
                <w:kern w:val="2"/>
                <w:sz w:val="21"/>
                <w:szCs w:val="21"/>
                <w:lang w:val="en-US" w:eastAsia="zh-CN" w:bidi="ar-SA"/>
              </w:rPr>
            </w:pPr>
            <w:r>
              <w:rPr>
                <w:rFonts w:hint="eastAsia"/>
                <w:color w:val="000000"/>
                <w:szCs w:val="21"/>
              </w:rPr>
              <w:t>11.75</w:t>
            </w:r>
          </w:p>
        </w:tc>
        <w:tc>
          <w:tcPr>
            <w:tcW w:w="1230" w:type="dxa"/>
            <w:vAlign w:val="center"/>
          </w:tcPr>
          <w:p w14:paraId="40EADECD">
            <w:pPr>
              <w:jc w:val="center"/>
              <w:rPr>
                <w:bCs/>
                <w:snapToGrid w:val="0"/>
                <w:kern w:val="21"/>
                <w:szCs w:val="21"/>
              </w:rPr>
            </w:pPr>
            <w:r>
              <w:rPr>
                <w:rFonts w:hint="eastAsia"/>
                <w:bCs/>
                <w:snapToGrid w:val="0"/>
                <w:kern w:val="21"/>
                <w:szCs w:val="21"/>
              </w:rPr>
              <w:t>/</w:t>
            </w:r>
          </w:p>
        </w:tc>
        <w:tc>
          <w:tcPr>
            <w:tcW w:w="1800" w:type="dxa"/>
            <w:vAlign w:val="center"/>
          </w:tcPr>
          <w:p w14:paraId="0D7227FB">
            <w:pPr>
              <w:jc w:val="center"/>
              <w:rPr>
                <w:bCs/>
                <w:snapToGrid w:val="0"/>
                <w:kern w:val="21"/>
                <w:szCs w:val="21"/>
              </w:rPr>
            </w:pPr>
            <w:r>
              <w:rPr>
                <w:rFonts w:hint="eastAsia"/>
                <w:bCs/>
                <w:snapToGrid w:val="0"/>
                <w:kern w:val="21"/>
                <w:szCs w:val="21"/>
              </w:rPr>
              <w:t>/</w:t>
            </w:r>
          </w:p>
        </w:tc>
        <w:tc>
          <w:tcPr>
            <w:tcW w:w="1605" w:type="dxa"/>
            <w:vAlign w:val="center"/>
          </w:tcPr>
          <w:p w14:paraId="6F7482ED">
            <w:pPr>
              <w:widowControl/>
              <w:adjustRightInd w:val="0"/>
              <w:snapToGrid w:val="0"/>
              <w:jc w:val="center"/>
              <w:textAlignment w:val="center"/>
              <w:rPr>
                <w:rFonts w:hint="eastAsia" w:eastAsia="宋体"/>
                <w:bCs/>
                <w:szCs w:val="21"/>
                <w:lang w:eastAsia="zh-CN"/>
              </w:rPr>
            </w:pPr>
            <w:r>
              <w:rPr>
                <w:rFonts w:hint="eastAsia"/>
                <w:color w:val="000000"/>
                <w:szCs w:val="21"/>
                <w:lang w:val="en-US" w:eastAsia="zh-CN"/>
              </w:rPr>
              <w:t>0</w:t>
            </w:r>
          </w:p>
        </w:tc>
        <w:tc>
          <w:tcPr>
            <w:tcW w:w="1620" w:type="dxa"/>
            <w:vAlign w:val="center"/>
          </w:tcPr>
          <w:p w14:paraId="63CFA785">
            <w:pPr>
              <w:adjustRightInd w:val="0"/>
              <w:snapToGrid w:val="0"/>
              <w:jc w:val="center"/>
              <w:rPr>
                <w:bCs/>
                <w:szCs w:val="21"/>
              </w:rPr>
            </w:pPr>
            <w:r>
              <w:rPr>
                <w:rFonts w:hint="eastAsia"/>
                <w:bCs/>
                <w:snapToGrid w:val="0"/>
                <w:kern w:val="21"/>
                <w:szCs w:val="21"/>
              </w:rPr>
              <w:t>/</w:t>
            </w:r>
          </w:p>
        </w:tc>
        <w:tc>
          <w:tcPr>
            <w:tcW w:w="1965" w:type="dxa"/>
            <w:vAlign w:val="center"/>
          </w:tcPr>
          <w:p w14:paraId="305A8909">
            <w:pPr>
              <w:widowControl/>
              <w:adjustRightInd w:val="0"/>
              <w:snapToGrid w:val="0"/>
              <w:jc w:val="center"/>
              <w:textAlignment w:val="center"/>
              <w:rPr>
                <w:bCs/>
                <w:szCs w:val="21"/>
              </w:rPr>
            </w:pPr>
            <w:r>
              <w:rPr>
                <w:rFonts w:hint="eastAsia"/>
                <w:color w:val="000000"/>
                <w:szCs w:val="21"/>
              </w:rPr>
              <w:t>11.75</w:t>
            </w:r>
          </w:p>
        </w:tc>
        <w:tc>
          <w:tcPr>
            <w:tcW w:w="1263" w:type="dxa"/>
            <w:vAlign w:val="center"/>
          </w:tcPr>
          <w:p w14:paraId="1C47F171">
            <w:pPr>
              <w:widowControl/>
              <w:adjustRightInd w:val="0"/>
              <w:snapToGrid w:val="0"/>
              <w:jc w:val="center"/>
              <w:textAlignment w:val="center"/>
              <w:rPr>
                <w:rFonts w:hint="eastAsia" w:eastAsia="宋体"/>
                <w:bCs/>
                <w:szCs w:val="21"/>
                <w:lang w:eastAsia="zh-CN"/>
              </w:rPr>
            </w:pPr>
            <w:r>
              <w:rPr>
                <w:rFonts w:hint="eastAsia"/>
                <w:bCs/>
                <w:szCs w:val="21"/>
                <w:lang w:val="en-US" w:eastAsia="zh-CN"/>
              </w:rPr>
              <w:t>0</w:t>
            </w:r>
          </w:p>
        </w:tc>
      </w:tr>
      <w:tr w14:paraId="21EB02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7EEC3696">
            <w:pPr>
              <w:pStyle w:val="42"/>
              <w:spacing w:beforeLines="0" w:afterLines="0" w:line="240" w:lineRule="auto"/>
              <w:rPr>
                <w:rFonts w:ascii="Times New Roman" w:cs="宋体"/>
                <w:b w:val="0"/>
                <w:bCs/>
                <w:snapToGrid w:val="0"/>
                <w:kern w:val="21"/>
                <w:szCs w:val="21"/>
              </w:rPr>
            </w:pPr>
          </w:p>
        </w:tc>
        <w:tc>
          <w:tcPr>
            <w:tcW w:w="1588" w:type="dxa"/>
            <w:vAlign w:val="center"/>
          </w:tcPr>
          <w:p w14:paraId="46F7121A">
            <w:pPr>
              <w:adjustRightInd w:val="0"/>
              <w:snapToGrid w:val="0"/>
              <w:jc w:val="center"/>
              <w:rPr>
                <w:bCs/>
                <w:szCs w:val="21"/>
              </w:rPr>
            </w:pPr>
            <w:r>
              <w:rPr>
                <w:rFonts w:hint="eastAsia"/>
                <w:bCs/>
                <w:szCs w:val="21"/>
              </w:rPr>
              <w:t>玻璃窑炉废气处理废布袋</w:t>
            </w:r>
            <w:r>
              <w:rPr>
                <w:rFonts w:hint="eastAsia"/>
                <w:bCs/>
                <w:snapToGrid w:val="0"/>
                <w:kern w:val="21"/>
                <w:szCs w:val="21"/>
              </w:rPr>
              <w:t>（t/a）</w:t>
            </w:r>
          </w:p>
        </w:tc>
        <w:tc>
          <w:tcPr>
            <w:tcW w:w="1770" w:type="dxa"/>
            <w:shd w:val="clear" w:color="auto" w:fill="auto"/>
            <w:vAlign w:val="center"/>
          </w:tcPr>
          <w:p w14:paraId="0F7E41CB">
            <w:pPr>
              <w:widowControl/>
              <w:adjustRightInd w:val="0"/>
              <w:snapToGrid w:val="0"/>
              <w:jc w:val="center"/>
              <w:textAlignment w:val="center"/>
              <w:rPr>
                <w:rFonts w:ascii="Times New Roman" w:hAnsi="Times New Roman" w:eastAsia="宋体" w:cs="Times New Roman"/>
                <w:bCs/>
                <w:kern w:val="2"/>
                <w:sz w:val="21"/>
                <w:szCs w:val="21"/>
                <w:lang w:val="en-US" w:eastAsia="zh-CN" w:bidi="ar-SA"/>
              </w:rPr>
            </w:pPr>
            <w:r>
              <w:rPr>
                <w:rFonts w:hint="eastAsia"/>
                <w:bCs/>
                <w:szCs w:val="21"/>
              </w:rPr>
              <w:t>0.05</w:t>
            </w:r>
          </w:p>
        </w:tc>
        <w:tc>
          <w:tcPr>
            <w:tcW w:w="1230" w:type="dxa"/>
            <w:vAlign w:val="center"/>
          </w:tcPr>
          <w:p w14:paraId="79AED41F">
            <w:pPr>
              <w:jc w:val="center"/>
              <w:rPr>
                <w:bCs/>
                <w:snapToGrid w:val="0"/>
                <w:kern w:val="21"/>
                <w:szCs w:val="21"/>
              </w:rPr>
            </w:pPr>
            <w:r>
              <w:rPr>
                <w:rFonts w:hint="eastAsia"/>
                <w:bCs/>
                <w:snapToGrid w:val="0"/>
                <w:kern w:val="21"/>
                <w:szCs w:val="21"/>
              </w:rPr>
              <w:t>/</w:t>
            </w:r>
          </w:p>
        </w:tc>
        <w:tc>
          <w:tcPr>
            <w:tcW w:w="1800" w:type="dxa"/>
            <w:vAlign w:val="center"/>
          </w:tcPr>
          <w:p w14:paraId="430C9F20">
            <w:pPr>
              <w:jc w:val="center"/>
              <w:rPr>
                <w:bCs/>
                <w:snapToGrid w:val="0"/>
                <w:kern w:val="21"/>
                <w:szCs w:val="21"/>
              </w:rPr>
            </w:pPr>
            <w:r>
              <w:rPr>
                <w:rFonts w:hint="eastAsia"/>
                <w:bCs/>
                <w:snapToGrid w:val="0"/>
                <w:kern w:val="21"/>
                <w:szCs w:val="21"/>
              </w:rPr>
              <w:t>/</w:t>
            </w:r>
          </w:p>
        </w:tc>
        <w:tc>
          <w:tcPr>
            <w:tcW w:w="1605" w:type="dxa"/>
            <w:vAlign w:val="center"/>
          </w:tcPr>
          <w:p w14:paraId="56415DD3">
            <w:pPr>
              <w:widowControl/>
              <w:adjustRightInd w:val="0"/>
              <w:snapToGrid w:val="0"/>
              <w:jc w:val="center"/>
              <w:textAlignment w:val="center"/>
              <w:rPr>
                <w:rFonts w:hint="eastAsia" w:eastAsia="宋体"/>
                <w:bCs/>
                <w:szCs w:val="21"/>
                <w:lang w:eastAsia="zh-CN"/>
              </w:rPr>
            </w:pPr>
            <w:r>
              <w:rPr>
                <w:rFonts w:hint="eastAsia"/>
                <w:bCs/>
                <w:szCs w:val="21"/>
                <w:lang w:val="en-US" w:eastAsia="zh-CN"/>
              </w:rPr>
              <w:t>0</w:t>
            </w:r>
          </w:p>
        </w:tc>
        <w:tc>
          <w:tcPr>
            <w:tcW w:w="1620" w:type="dxa"/>
            <w:vAlign w:val="center"/>
          </w:tcPr>
          <w:p w14:paraId="24B94145">
            <w:pPr>
              <w:adjustRightInd w:val="0"/>
              <w:snapToGrid w:val="0"/>
              <w:jc w:val="center"/>
              <w:rPr>
                <w:bCs/>
                <w:snapToGrid w:val="0"/>
                <w:kern w:val="21"/>
                <w:szCs w:val="21"/>
              </w:rPr>
            </w:pPr>
            <w:r>
              <w:rPr>
                <w:rFonts w:hint="eastAsia"/>
                <w:bCs/>
                <w:snapToGrid w:val="0"/>
                <w:kern w:val="21"/>
                <w:szCs w:val="21"/>
              </w:rPr>
              <w:t>/</w:t>
            </w:r>
          </w:p>
        </w:tc>
        <w:tc>
          <w:tcPr>
            <w:tcW w:w="1965" w:type="dxa"/>
            <w:vAlign w:val="center"/>
          </w:tcPr>
          <w:p w14:paraId="7209B0D5">
            <w:pPr>
              <w:widowControl/>
              <w:adjustRightInd w:val="0"/>
              <w:snapToGrid w:val="0"/>
              <w:jc w:val="center"/>
              <w:textAlignment w:val="center"/>
              <w:rPr>
                <w:bCs/>
                <w:szCs w:val="21"/>
              </w:rPr>
            </w:pPr>
            <w:r>
              <w:rPr>
                <w:rFonts w:hint="eastAsia"/>
                <w:bCs/>
                <w:szCs w:val="21"/>
              </w:rPr>
              <w:t>0.05</w:t>
            </w:r>
          </w:p>
        </w:tc>
        <w:tc>
          <w:tcPr>
            <w:tcW w:w="1263" w:type="dxa"/>
            <w:vAlign w:val="center"/>
          </w:tcPr>
          <w:p w14:paraId="78D1C121">
            <w:pPr>
              <w:widowControl/>
              <w:adjustRightInd w:val="0"/>
              <w:snapToGrid w:val="0"/>
              <w:jc w:val="center"/>
              <w:textAlignment w:val="center"/>
              <w:rPr>
                <w:rFonts w:hint="eastAsia" w:eastAsia="宋体"/>
                <w:bCs/>
                <w:kern w:val="0"/>
                <w:szCs w:val="21"/>
                <w:lang w:eastAsia="zh-CN" w:bidi="ar"/>
              </w:rPr>
            </w:pPr>
            <w:r>
              <w:rPr>
                <w:rFonts w:hint="eastAsia"/>
                <w:bCs/>
                <w:szCs w:val="21"/>
                <w:lang w:val="en-US" w:eastAsia="zh-CN"/>
              </w:rPr>
              <w:t>0</w:t>
            </w:r>
          </w:p>
        </w:tc>
      </w:tr>
      <w:tr w14:paraId="31CC21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4D89FEA1">
            <w:pPr>
              <w:pStyle w:val="42"/>
              <w:spacing w:beforeLines="0" w:afterLines="0" w:line="240" w:lineRule="auto"/>
              <w:rPr>
                <w:rFonts w:ascii="Times New Roman" w:cs="宋体"/>
                <w:b w:val="0"/>
                <w:bCs/>
                <w:snapToGrid w:val="0"/>
                <w:kern w:val="21"/>
                <w:szCs w:val="21"/>
              </w:rPr>
            </w:pPr>
          </w:p>
        </w:tc>
        <w:tc>
          <w:tcPr>
            <w:tcW w:w="1588" w:type="dxa"/>
            <w:shd w:val="clear" w:color="auto" w:fill="auto"/>
            <w:vAlign w:val="center"/>
          </w:tcPr>
          <w:p w14:paraId="0DB30455">
            <w:pPr>
              <w:pStyle w:val="107"/>
              <w:spacing w:line="240" w:lineRule="auto"/>
              <w:ind w:firstLine="0" w:firstLineChars="0"/>
              <w:jc w:val="center"/>
              <w:rPr>
                <w:rFonts w:hint="eastAsia" w:ascii="Times New Roman" w:hAnsi="Times New Roman" w:eastAsia="宋体" w:cs="Times New Roman"/>
                <w:kern w:val="0"/>
                <w:sz w:val="21"/>
                <w:szCs w:val="21"/>
                <w:lang w:val="en-US" w:eastAsia="zh-CN" w:bidi="ar"/>
              </w:rPr>
            </w:pPr>
            <w:r>
              <w:rPr>
                <w:rFonts w:hint="eastAsia"/>
                <w:sz w:val="21"/>
                <w:szCs w:val="21"/>
                <w:lang w:val="en-US" w:eastAsia="zh-CN"/>
              </w:rPr>
              <w:t>废包装材料（t/a）</w:t>
            </w:r>
          </w:p>
        </w:tc>
        <w:tc>
          <w:tcPr>
            <w:tcW w:w="1770" w:type="dxa"/>
            <w:shd w:val="clear" w:color="auto" w:fill="auto"/>
            <w:vAlign w:val="center"/>
          </w:tcPr>
          <w:p w14:paraId="1A1F1627">
            <w:pPr>
              <w:widowControl/>
              <w:adjustRightInd w:val="0"/>
              <w:snapToGrid w:val="0"/>
              <w:jc w:val="center"/>
              <w:textAlignment w:val="center"/>
              <w:rPr>
                <w:rFonts w:hint="eastAsia" w:eastAsia="宋体"/>
                <w:bCs/>
                <w:szCs w:val="21"/>
                <w:lang w:val="en-US" w:eastAsia="zh-CN"/>
              </w:rPr>
            </w:pPr>
            <w:r>
              <w:rPr>
                <w:rFonts w:hint="eastAsia"/>
                <w:bCs/>
                <w:szCs w:val="21"/>
                <w:lang w:val="en-US" w:eastAsia="zh-CN"/>
              </w:rPr>
              <w:t>/</w:t>
            </w:r>
          </w:p>
        </w:tc>
        <w:tc>
          <w:tcPr>
            <w:tcW w:w="1230" w:type="dxa"/>
            <w:vAlign w:val="center"/>
          </w:tcPr>
          <w:p w14:paraId="3CAFC7CA">
            <w:pPr>
              <w:jc w:val="center"/>
              <w:rPr>
                <w:rFonts w:hint="eastAsia" w:eastAsia="宋体"/>
                <w:bCs/>
                <w:snapToGrid w:val="0"/>
                <w:kern w:val="21"/>
                <w:szCs w:val="21"/>
                <w:lang w:val="en-US" w:eastAsia="zh-CN"/>
              </w:rPr>
            </w:pPr>
            <w:r>
              <w:rPr>
                <w:rFonts w:hint="eastAsia"/>
                <w:bCs/>
                <w:snapToGrid w:val="0"/>
                <w:kern w:val="21"/>
                <w:szCs w:val="21"/>
                <w:lang w:val="en-US" w:eastAsia="zh-CN"/>
              </w:rPr>
              <w:t>/</w:t>
            </w:r>
          </w:p>
        </w:tc>
        <w:tc>
          <w:tcPr>
            <w:tcW w:w="1800" w:type="dxa"/>
            <w:vAlign w:val="center"/>
          </w:tcPr>
          <w:p w14:paraId="2DE4B2B3">
            <w:pPr>
              <w:jc w:val="center"/>
              <w:rPr>
                <w:rFonts w:hint="eastAsia" w:eastAsia="宋体"/>
                <w:bCs/>
                <w:snapToGrid w:val="0"/>
                <w:kern w:val="21"/>
                <w:szCs w:val="21"/>
                <w:lang w:val="en-US" w:eastAsia="zh-CN"/>
              </w:rPr>
            </w:pPr>
            <w:r>
              <w:rPr>
                <w:rFonts w:hint="eastAsia"/>
                <w:bCs/>
                <w:snapToGrid w:val="0"/>
                <w:kern w:val="21"/>
                <w:szCs w:val="21"/>
                <w:lang w:val="en-US" w:eastAsia="zh-CN"/>
              </w:rPr>
              <w:t>/</w:t>
            </w:r>
          </w:p>
        </w:tc>
        <w:tc>
          <w:tcPr>
            <w:tcW w:w="1605" w:type="dxa"/>
            <w:shd w:val="clear" w:color="auto" w:fill="auto"/>
            <w:vAlign w:val="center"/>
          </w:tcPr>
          <w:p w14:paraId="14A23BB4">
            <w:pPr>
              <w:widowControl/>
              <w:adjustRightInd w:val="0"/>
              <w:snapToGrid w:val="0"/>
              <w:jc w:val="center"/>
              <w:textAlignment w:val="center"/>
              <w:rPr>
                <w:rFonts w:hint="eastAsia" w:ascii="Times New Roman" w:hAnsi="Times New Roman" w:eastAsia="宋体" w:cs="Times New Roman"/>
                <w:color w:val="000000"/>
                <w:kern w:val="2"/>
                <w:sz w:val="21"/>
                <w:szCs w:val="21"/>
                <w:lang w:val="en-US" w:eastAsia="zh-CN" w:bidi="ar-SA"/>
              </w:rPr>
            </w:pPr>
            <w:r>
              <w:rPr>
                <w:rFonts w:hint="eastAsia"/>
                <w:szCs w:val="21"/>
                <w:lang w:val="en-US" w:eastAsia="zh-CN"/>
              </w:rPr>
              <w:t>1</w:t>
            </w:r>
          </w:p>
        </w:tc>
        <w:tc>
          <w:tcPr>
            <w:tcW w:w="1620" w:type="dxa"/>
            <w:vAlign w:val="center"/>
          </w:tcPr>
          <w:p w14:paraId="4E8D8C33">
            <w:pPr>
              <w:adjustRightInd w:val="0"/>
              <w:snapToGrid w:val="0"/>
              <w:jc w:val="center"/>
              <w:rPr>
                <w:rFonts w:hint="eastAsia" w:eastAsia="宋体"/>
                <w:bCs/>
                <w:snapToGrid w:val="0"/>
                <w:kern w:val="21"/>
                <w:szCs w:val="21"/>
                <w:lang w:val="en-US" w:eastAsia="zh-CN"/>
              </w:rPr>
            </w:pPr>
            <w:r>
              <w:rPr>
                <w:rFonts w:hint="eastAsia"/>
                <w:bCs/>
                <w:snapToGrid w:val="0"/>
                <w:kern w:val="21"/>
                <w:szCs w:val="21"/>
                <w:lang w:val="en-US" w:eastAsia="zh-CN"/>
              </w:rPr>
              <w:t>/</w:t>
            </w:r>
          </w:p>
        </w:tc>
        <w:tc>
          <w:tcPr>
            <w:tcW w:w="1965" w:type="dxa"/>
            <w:shd w:val="clear" w:color="auto" w:fill="auto"/>
            <w:vAlign w:val="center"/>
          </w:tcPr>
          <w:p w14:paraId="2DD3556B">
            <w:pPr>
              <w:widowControl/>
              <w:adjustRightInd w:val="0"/>
              <w:snapToGrid w:val="0"/>
              <w:jc w:val="center"/>
              <w:textAlignment w:val="center"/>
              <w:rPr>
                <w:rFonts w:hint="eastAsia" w:ascii="Times New Roman" w:hAnsi="Times New Roman" w:eastAsia="宋体" w:cs="Times New Roman"/>
                <w:color w:val="000000"/>
                <w:kern w:val="2"/>
                <w:sz w:val="21"/>
                <w:szCs w:val="21"/>
                <w:lang w:val="en-US" w:eastAsia="zh-CN" w:bidi="ar-SA"/>
              </w:rPr>
            </w:pPr>
            <w:r>
              <w:rPr>
                <w:rFonts w:hint="eastAsia"/>
                <w:szCs w:val="21"/>
                <w:lang w:val="en-US" w:eastAsia="zh-CN"/>
              </w:rPr>
              <w:t>1</w:t>
            </w:r>
          </w:p>
        </w:tc>
        <w:tc>
          <w:tcPr>
            <w:tcW w:w="1263" w:type="dxa"/>
            <w:shd w:val="clear" w:color="auto" w:fill="auto"/>
            <w:vAlign w:val="center"/>
          </w:tcPr>
          <w:p w14:paraId="458FE329">
            <w:pPr>
              <w:widowControl/>
              <w:adjustRightInd w:val="0"/>
              <w:snapToGrid w:val="0"/>
              <w:jc w:val="center"/>
              <w:textAlignment w:val="center"/>
              <w:rPr>
                <w:rFonts w:hint="eastAsia" w:ascii="Times New Roman" w:hAnsi="Times New Roman" w:eastAsia="宋体" w:cs="Times New Roman"/>
                <w:color w:val="000000"/>
                <w:kern w:val="2"/>
                <w:sz w:val="21"/>
                <w:szCs w:val="21"/>
                <w:lang w:val="en-US" w:eastAsia="zh-CN" w:bidi="ar-SA"/>
              </w:rPr>
            </w:pPr>
            <w:r>
              <w:rPr>
                <w:rFonts w:hint="eastAsia"/>
                <w:szCs w:val="21"/>
                <w:lang w:val="en-US" w:eastAsia="zh-CN"/>
              </w:rPr>
              <w:t>+1</w:t>
            </w:r>
          </w:p>
        </w:tc>
      </w:tr>
      <w:tr w14:paraId="6759D3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4C93D420">
            <w:pPr>
              <w:pStyle w:val="42"/>
              <w:spacing w:beforeLines="0" w:afterLines="0" w:line="240" w:lineRule="auto"/>
              <w:rPr>
                <w:rFonts w:ascii="Times New Roman" w:cs="宋体"/>
                <w:b w:val="0"/>
                <w:bCs/>
                <w:snapToGrid w:val="0"/>
                <w:kern w:val="21"/>
                <w:szCs w:val="21"/>
              </w:rPr>
            </w:pPr>
          </w:p>
        </w:tc>
        <w:tc>
          <w:tcPr>
            <w:tcW w:w="1588" w:type="dxa"/>
            <w:shd w:val="clear" w:color="auto" w:fill="auto"/>
            <w:vAlign w:val="center"/>
          </w:tcPr>
          <w:p w14:paraId="2D6F4672">
            <w:pPr>
              <w:pStyle w:val="107"/>
              <w:spacing w:line="240" w:lineRule="auto"/>
              <w:ind w:firstLine="0" w:firstLineChars="0"/>
              <w:jc w:val="center"/>
              <w:rPr>
                <w:rFonts w:hint="eastAsia" w:ascii="Times New Roman" w:hAnsi="Times New Roman" w:eastAsia="宋体" w:cs="Times New Roman"/>
                <w:kern w:val="0"/>
                <w:sz w:val="21"/>
                <w:szCs w:val="21"/>
                <w:lang w:val="en-US" w:eastAsia="zh-CN" w:bidi="ar-SA"/>
              </w:rPr>
            </w:pPr>
            <w:r>
              <w:rPr>
                <w:rFonts w:hint="eastAsia"/>
                <w:sz w:val="21"/>
                <w:szCs w:val="21"/>
                <w:lang w:val="en-US" w:eastAsia="zh-CN"/>
              </w:rPr>
              <w:t>不合格品（t/a）</w:t>
            </w:r>
          </w:p>
        </w:tc>
        <w:tc>
          <w:tcPr>
            <w:tcW w:w="1770" w:type="dxa"/>
            <w:shd w:val="clear" w:color="auto" w:fill="auto"/>
            <w:vAlign w:val="center"/>
          </w:tcPr>
          <w:p w14:paraId="47F45075">
            <w:pPr>
              <w:widowControl/>
              <w:adjustRightInd w:val="0"/>
              <w:snapToGrid w:val="0"/>
              <w:jc w:val="center"/>
              <w:textAlignment w:val="center"/>
              <w:rPr>
                <w:rFonts w:hint="eastAsia" w:eastAsia="宋体"/>
                <w:bCs/>
                <w:szCs w:val="21"/>
                <w:lang w:val="en-US" w:eastAsia="zh-CN"/>
              </w:rPr>
            </w:pPr>
            <w:r>
              <w:rPr>
                <w:rFonts w:hint="eastAsia"/>
                <w:bCs/>
                <w:szCs w:val="21"/>
                <w:lang w:val="en-US" w:eastAsia="zh-CN"/>
              </w:rPr>
              <w:t>/</w:t>
            </w:r>
          </w:p>
        </w:tc>
        <w:tc>
          <w:tcPr>
            <w:tcW w:w="1230" w:type="dxa"/>
            <w:vAlign w:val="center"/>
          </w:tcPr>
          <w:p w14:paraId="50156274">
            <w:pPr>
              <w:jc w:val="center"/>
              <w:rPr>
                <w:rFonts w:hint="eastAsia" w:eastAsia="宋体"/>
                <w:bCs/>
                <w:snapToGrid w:val="0"/>
                <w:kern w:val="21"/>
                <w:szCs w:val="21"/>
                <w:lang w:val="en-US" w:eastAsia="zh-CN"/>
              </w:rPr>
            </w:pPr>
            <w:r>
              <w:rPr>
                <w:rFonts w:hint="eastAsia"/>
                <w:bCs/>
                <w:snapToGrid w:val="0"/>
                <w:kern w:val="21"/>
                <w:szCs w:val="21"/>
                <w:lang w:val="en-US" w:eastAsia="zh-CN"/>
              </w:rPr>
              <w:t>/</w:t>
            </w:r>
          </w:p>
        </w:tc>
        <w:tc>
          <w:tcPr>
            <w:tcW w:w="1800" w:type="dxa"/>
            <w:vAlign w:val="center"/>
          </w:tcPr>
          <w:p w14:paraId="17A5C8B0">
            <w:pPr>
              <w:jc w:val="center"/>
              <w:rPr>
                <w:rFonts w:hint="eastAsia" w:eastAsia="宋体"/>
                <w:bCs/>
                <w:snapToGrid w:val="0"/>
                <w:kern w:val="21"/>
                <w:szCs w:val="21"/>
                <w:lang w:val="en-US" w:eastAsia="zh-CN"/>
              </w:rPr>
            </w:pPr>
            <w:r>
              <w:rPr>
                <w:rFonts w:hint="eastAsia"/>
                <w:bCs/>
                <w:snapToGrid w:val="0"/>
                <w:kern w:val="21"/>
                <w:szCs w:val="21"/>
                <w:lang w:val="en-US" w:eastAsia="zh-CN"/>
              </w:rPr>
              <w:t>/</w:t>
            </w:r>
          </w:p>
        </w:tc>
        <w:tc>
          <w:tcPr>
            <w:tcW w:w="1605" w:type="dxa"/>
            <w:shd w:val="clear" w:color="auto" w:fill="auto"/>
            <w:vAlign w:val="center"/>
          </w:tcPr>
          <w:p w14:paraId="0DEA402F">
            <w:pPr>
              <w:widowControl/>
              <w:adjustRightInd w:val="0"/>
              <w:snapToGrid w:val="0"/>
              <w:jc w:val="center"/>
              <w:textAlignment w:val="center"/>
              <w:rPr>
                <w:rFonts w:hint="eastAsia" w:ascii="Times New Roman" w:hAnsi="Times New Roman" w:eastAsia="宋体" w:cs="Times New Roman"/>
                <w:color w:val="FF0000"/>
                <w:kern w:val="2"/>
                <w:sz w:val="21"/>
                <w:szCs w:val="21"/>
                <w:lang w:val="en-US" w:eastAsia="zh-CN" w:bidi="ar-SA"/>
              </w:rPr>
            </w:pPr>
            <w:r>
              <w:rPr>
                <w:rFonts w:hint="eastAsia"/>
                <w:szCs w:val="21"/>
                <w:lang w:val="en-US" w:eastAsia="zh-CN"/>
              </w:rPr>
              <w:t>10</w:t>
            </w:r>
          </w:p>
        </w:tc>
        <w:tc>
          <w:tcPr>
            <w:tcW w:w="1620" w:type="dxa"/>
            <w:vAlign w:val="center"/>
          </w:tcPr>
          <w:p w14:paraId="4E23FA73">
            <w:pPr>
              <w:adjustRightInd w:val="0"/>
              <w:snapToGrid w:val="0"/>
              <w:jc w:val="center"/>
              <w:rPr>
                <w:rFonts w:hint="eastAsia" w:eastAsia="宋体"/>
                <w:bCs/>
                <w:snapToGrid w:val="0"/>
                <w:kern w:val="21"/>
                <w:szCs w:val="21"/>
                <w:lang w:val="en-US" w:eastAsia="zh-CN"/>
              </w:rPr>
            </w:pPr>
            <w:r>
              <w:rPr>
                <w:rFonts w:hint="eastAsia"/>
                <w:bCs/>
                <w:snapToGrid w:val="0"/>
                <w:kern w:val="21"/>
                <w:szCs w:val="21"/>
                <w:lang w:val="en-US" w:eastAsia="zh-CN"/>
              </w:rPr>
              <w:t>/</w:t>
            </w:r>
          </w:p>
        </w:tc>
        <w:tc>
          <w:tcPr>
            <w:tcW w:w="1965" w:type="dxa"/>
            <w:shd w:val="clear" w:color="auto" w:fill="auto"/>
            <w:vAlign w:val="center"/>
          </w:tcPr>
          <w:p w14:paraId="6485FDF0">
            <w:pPr>
              <w:widowControl/>
              <w:adjustRightInd w:val="0"/>
              <w:snapToGrid w:val="0"/>
              <w:jc w:val="center"/>
              <w:textAlignment w:val="center"/>
              <w:rPr>
                <w:rFonts w:hint="eastAsia" w:ascii="Times New Roman" w:hAnsi="Times New Roman" w:eastAsia="宋体" w:cs="Times New Roman"/>
                <w:color w:val="FF0000"/>
                <w:kern w:val="2"/>
                <w:sz w:val="21"/>
                <w:szCs w:val="21"/>
                <w:lang w:val="en-US" w:eastAsia="zh-CN" w:bidi="ar-SA"/>
              </w:rPr>
            </w:pPr>
            <w:r>
              <w:rPr>
                <w:rFonts w:hint="eastAsia"/>
                <w:szCs w:val="21"/>
                <w:lang w:val="en-US" w:eastAsia="zh-CN"/>
              </w:rPr>
              <w:t>10</w:t>
            </w:r>
          </w:p>
        </w:tc>
        <w:tc>
          <w:tcPr>
            <w:tcW w:w="1263" w:type="dxa"/>
            <w:shd w:val="clear" w:color="auto" w:fill="auto"/>
            <w:vAlign w:val="center"/>
          </w:tcPr>
          <w:p w14:paraId="0CEAC56F">
            <w:pPr>
              <w:widowControl/>
              <w:adjustRightInd w:val="0"/>
              <w:snapToGrid w:val="0"/>
              <w:jc w:val="center"/>
              <w:textAlignment w:val="center"/>
              <w:rPr>
                <w:rFonts w:hint="eastAsia" w:ascii="Times New Roman" w:hAnsi="Times New Roman" w:eastAsia="宋体" w:cs="Times New Roman"/>
                <w:color w:val="FF0000"/>
                <w:kern w:val="2"/>
                <w:sz w:val="21"/>
                <w:szCs w:val="21"/>
                <w:lang w:val="en-US" w:eastAsia="zh-CN" w:bidi="ar-SA"/>
              </w:rPr>
            </w:pPr>
            <w:r>
              <w:rPr>
                <w:rFonts w:hint="eastAsia"/>
                <w:szCs w:val="21"/>
                <w:lang w:val="en-US" w:eastAsia="zh-CN"/>
              </w:rPr>
              <w:t>+10</w:t>
            </w:r>
          </w:p>
        </w:tc>
      </w:tr>
      <w:tr w14:paraId="3C9B04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28800E2D">
            <w:pPr>
              <w:pStyle w:val="42"/>
              <w:spacing w:beforeLines="0" w:afterLines="0" w:line="240" w:lineRule="auto"/>
              <w:rPr>
                <w:rFonts w:ascii="Times New Roman" w:cs="宋体"/>
                <w:b w:val="0"/>
                <w:bCs/>
                <w:snapToGrid w:val="0"/>
                <w:kern w:val="21"/>
                <w:szCs w:val="21"/>
              </w:rPr>
            </w:pPr>
          </w:p>
        </w:tc>
        <w:tc>
          <w:tcPr>
            <w:tcW w:w="1588" w:type="dxa"/>
            <w:shd w:val="clear" w:color="auto" w:fill="auto"/>
            <w:vAlign w:val="center"/>
          </w:tcPr>
          <w:p w14:paraId="4F096DBE">
            <w:pPr>
              <w:pStyle w:val="107"/>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含氟污泥（t/a）</w:t>
            </w:r>
          </w:p>
        </w:tc>
        <w:tc>
          <w:tcPr>
            <w:tcW w:w="1770" w:type="dxa"/>
            <w:shd w:val="clear" w:color="auto" w:fill="auto"/>
            <w:vAlign w:val="center"/>
          </w:tcPr>
          <w:p w14:paraId="22BDC1DA">
            <w:pPr>
              <w:widowControl/>
              <w:adjustRightInd w:val="0"/>
              <w:snapToGrid w:val="0"/>
              <w:jc w:val="center"/>
              <w:textAlignment w:val="center"/>
              <w:rPr>
                <w:rFonts w:hint="default"/>
                <w:bCs/>
                <w:color w:val="auto"/>
                <w:szCs w:val="21"/>
                <w:lang w:val="en-US" w:eastAsia="zh-CN"/>
              </w:rPr>
            </w:pPr>
            <w:r>
              <w:rPr>
                <w:rFonts w:hint="eastAsia"/>
                <w:bCs/>
                <w:color w:val="auto"/>
                <w:szCs w:val="21"/>
                <w:lang w:val="en-US" w:eastAsia="zh-CN"/>
              </w:rPr>
              <w:t>/</w:t>
            </w:r>
          </w:p>
        </w:tc>
        <w:tc>
          <w:tcPr>
            <w:tcW w:w="1230" w:type="dxa"/>
            <w:vAlign w:val="center"/>
          </w:tcPr>
          <w:p w14:paraId="59C28F07">
            <w:pPr>
              <w:jc w:val="center"/>
              <w:rPr>
                <w:rFonts w:hint="default"/>
                <w:bCs/>
                <w:snapToGrid w:val="0"/>
                <w:color w:val="auto"/>
                <w:kern w:val="21"/>
                <w:szCs w:val="21"/>
                <w:lang w:val="en-US" w:eastAsia="zh-CN"/>
              </w:rPr>
            </w:pPr>
            <w:r>
              <w:rPr>
                <w:rFonts w:hint="eastAsia"/>
                <w:bCs/>
                <w:snapToGrid w:val="0"/>
                <w:color w:val="auto"/>
                <w:kern w:val="21"/>
                <w:szCs w:val="21"/>
                <w:lang w:val="en-US" w:eastAsia="zh-CN"/>
              </w:rPr>
              <w:t>/</w:t>
            </w:r>
          </w:p>
        </w:tc>
        <w:tc>
          <w:tcPr>
            <w:tcW w:w="1800" w:type="dxa"/>
            <w:vAlign w:val="center"/>
          </w:tcPr>
          <w:p w14:paraId="2603B243">
            <w:pPr>
              <w:jc w:val="center"/>
              <w:rPr>
                <w:rFonts w:hint="default"/>
                <w:bCs/>
                <w:snapToGrid w:val="0"/>
                <w:color w:val="auto"/>
                <w:kern w:val="21"/>
                <w:szCs w:val="21"/>
                <w:lang w:val="en-US" w:eastAsia="zh-CN"/>
              </w:rPr>
            </w:pPr>
            <w:r>
              <w:rPr>
                <w:rFonts w:hint="eastAsia"/>
                <w:bCs/>
                <w:snapToGrid w:val="0"/>
                <w:color w:val="auto"/>
                <w:kern w:val="21"/>
                <w:szCs w:val="21"/>
                <w:lang w:val="en-US" w:eastAsia="zh-CN"/>
              </w:rPr>
              <w:t>/</w:t>
            </w:r>
          </w:p>
        </w:tc>
        <w:tc>
          <w:tcPr>
            <w:tcW w:w="1605" w:type="dxa"/>
            <w:shd w:val="clear" w:color="auto" w:fill="auto"/>
            <w:vAlign w:val="center"/>
          </w:tcPr>
          <w:p w14:paraId="69E692EC">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5</w:t>
            </w:r>
          </w:p>
        </w:tc>
        <w:tc>
          <w:tcPr>
            <w:tcW w:w="1620" w:type="dxa"/>
            <w:vAlign w:val="center"/>
          </w:tcPr>
          <w:p w14:paraId="7E81ABD0">
            <w:pPr>
              <w:adjustRightInd w:val="0"/>
              <w:snapToGrid w:val="0"/>
              <w:jc w:val="center"/>
              <w:rPr>
                <w:rFonts w:hint="default"/>
                <w:bCs/>
                <w:snapToGrid w:val="0"/>
                <w:color w:val="auto"/>
                <w:kern w:val="21"/>
                <w:szCs w:val="21"/>
                <w:lang w:val="en-US" w:eastAsia="zh-CN"/>
              </w:rPr>
            </w:pPr>
            <w:r>
              <w:rPr>
                <w:rFonts w:hint="eastAsia"/>
                <w:bCs/>
                <w:snapToGrid w:val="0"/>
                <w:color w:val="auto"/>
                <w:kern w:val="21"/>
                <w:szCs w:val="21"/>
                <w:lang w:val="en-US" w:eastAsia="zh-CN"/>
              </w:rPr>
              <w:t>/</w:t>
            </w:r>
          </w:p>
        </w:tc>
        <w:tc>
          <w:tcPr>
            <w:tcW w:w="1965" w:type="dxa"/>
            <w:shd w:val="clear" w:color="auto" w:fill="auto"/>
            <w:vAlign w:val="center"/>
          </w:tcPr>
          <w:p w14:paraId="52CE06EB">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5</w:t>
            </w:r>
          </w:p>
        </w:tc>
        <w:tc>
          <w:tcPr>
            <w:tcW w:w="1263" w:type="dxa"/>
            <w:shd w:val="clear" w:color="auto" w:fill="auto"/>
            <w:vAlign w:val="center"/>
          </w:tcPr>
          <w:p w14:paraId="33E0F769">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+5</w:t>
            </w:r>
          </w:p>
        </w:tc>
      </w:tr>
      <w:tr w14:paraId="56CE2C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restart"/>
            <w:vAlign w:val="center"/>
          </w:tcPr>
          <w:p w14:paraId="4FCFB246">
            <w:pPr>
              <w:pStyle w:val="42"/>
              <w:spacing w:beforeLines="0" w:afterLines="0" w:line="240" w:lineRule="auto"/>
              <w:rPr>
                <w:rFonts w:ascii="Times New Roman" w:cs="宋体"/>
                <w:b w:val="0"/>
                <w:bCs/>
                <w:snapToGrid w:val="0"/>
                <w:kern w:val="21"/>
                <w:szCs w:val="21"/>
              </w:rPr>
            </w:pPr>
            <w:r>
              <w:rPr>
                <w:rFonts w:hint="eastAsia" w:ascii="Times New Roman" w:cs="宋体"/>
                <w:b w:val="0"/>
                <w:bCs/>
                <w:snapToGrid w:val="0"/>
                <w:kern w:val="21"/>
                <w:szCs w:val="21"/>
              </w:rPr>
              <w:t>危险废物</w:t>
            </w:r>
          </w:p>
        </w:tc>
        <w:tc>
          <w:tcPr>
            <w:tcW w:w="1588" w:type="dxa"/>
            <w:vAlign w:val="center"/>
          </w:tcPr>
          <w:p w14:paraId="6DF70995">
            <w:pPr>
              <w:pStyle w:val="107"/>
              <w:spacing w:line="240" w:lineRule="auto"/>
              <w:ind w:firstLine="0" w:firstLineChars="0"/>
              <w:jc w:val="center"/>
              <w:rPr>
                <w:rFonts w:cs="宋体"/>
                <w:bCs/>
                <w:color w:val="auto"/>
                <w:sz w:val="21"/>
                <w:szCs w:val="21"/>
              </w:rPr>
            </w:pPr>
            <w:r>
              <w:rPr>
                <w:rFonts w:hint="eastAsia"/>
                <w:bCs/>
                <w:color w:val="auto"/>
                <w:sz w:val="21"/>
                <w:szCs w:val="21"/>
              </w:rPr>
              <w:t>废脱硝催化剂</w:t>
            </w:r>
            <w:r>
              <w:rPr>
                <w:rFonts w:hint="eastAsia"/>
                <w:bCs/>
                <w:snapToGrid w:val="0"/>
                <w:color w:val="auto"/>
                <w:kern w:val="21"/>
                <w:sz w:val="21"/>
                <w:szCs w:val="21"/>
              </w:rPr>
              <w:t>（t/a）</w:t>
            </w:r>
          </w:p>
        </w:tc>
        <w:tc>
          <w:tcPr>
            <w:tcW w:w="1770" w:type="dxa"/>
            <w:shd w:val="clear" w:color="auto" w:fill="auto"/>
            <w:vAlign w:val="center"/>
          </w:tcPr>
          <w:p w14:paraId="39379762">
            <w:pPr>
              <w:widowControl/>
              <w:adjustRightInd w:val="0"/>
              <w:snapToGrid w:val="0"/>
              <w:jc w:val="center"/>
              <w:textAlignment w:val="center"/>
              <w:rPr>
                <w:rFonts w:hint="eastAsia" w:ascii="Times New Roman" w:hAnsi="Times New Roman" w:eastAsia="宋体" w:cs="Times New Roman"/>
                <w:bCs/>
                <w:color w:val="auto"/>
                <w:kern w:val="2"/>
                <w:sz w:val="21"/>
                <w:szCs w:val="21"/>
                <w:lang w:val="en-US" w:eastAsia="zh-CN" w:bidi="ar-SA"/>
              </w:rPr>
            </w:pPr>
            <w:r>
              <w:rPr>
                <w:rFonts w:hint="eastAsia"/>
                <w:bCs/>
                <w:color w:val="auto"/>
                <w:szCs w:val="21"/>
                <w:lang w:val="en-US" w:eastAsia="zh-CN"/>
              </w:rPr>
              <w:t>6</w:t>
            </w:r>
          </w:p>
        </w:tc>
        <w:tc>
          <w:tcPr>
            <w:tcW w:w="1230" w:type="dxa"/>
            <w:vAlign w:val="center"/>
          </w:tcPr>
          <w:p w14:paraId="24B766FD">
            <w:pPr>
              <w:jc w:val="center"/>
              <w:rPr>
                <w:bCs/>
                <w:snapToGrid w:val="0"/>
                <w:color w:val="auto"/>
                <w:kern w:val="21"/>
                <w:szCs w:val="21"/>
              </w:rPr>
            </w:pPr>
            <w:r>
              <w:rPr>
                <w:rFonts w:hint="eastAsia"/>
                <w:bCs/>
                <w:snapToGrid w:val="0"/>
                <w:color w:val="auto"/>
                <w:kern w:val="21"/>
                <w:szCs w:val="21"/>
              </w:rPr>
              <w:t>/</w:t>
            </w:r>
          </w:p>
        </w:tc>
        <w:tc>
          <w:tcPr>
            <w:tcW w:w="1800" w:type="dxa"/>
            <w:vAlign w:val="center"/>
          </w:tcPr>
          <w:p w14:paraId="2AF6D054">
            <w:pPr>
              <w:jc w:val="center"/>
              <w:rPr>
                <w:bCs/>
                <w:snapToGrid w:val="0"/>
                <w:color w:val="auto"/>
                <w:kern w:val="21"/>
                <w:szCs w:val="21"/>
              </w:rPr>
            </w:pPr>
            <w:r>
              <w:rPr>
                <w:rFonts w:hint="eastAsia"/>
                <w:bCs/>
                <w:snapToGrid w:val="0"/>
                <w:color w:val="auto"/>
                <w:kern w:val="21"/>
                <w:szCs w:val="21"/>
              </w:rPr>
              <w:t>/</w:t>
            </w:r>
          </w:p>
        </w:tc>
        <w:tc>
          <w:tcPr>
            <w:tcW w:w="1605" w:type="dxa"/>
            <w:vAlign w:val="center"/>
          </w:tcPr>
          <w:p w14:paraId="59A2E6E1">
            <w:pPr>
              <w:widowControl/>
              <w:adjustRightInd w:val="0"/>
              <w:snapToGrid w:val="0"/>
              <w:jc w:val="center"/>
              <w:textAlignment w:val="center"/>
              <w:rPr>
                <w:rFonts w:hint="eastAsia" w:eastAsia="宋体"/>
                <w:bCs/>
                <w:color w:val="auto"/>
                <w:szCs w:val="21"/>
                <w:lang w:eastAsia="zh-CN"/>
              </w:rPr>
            </w:pPr>
            <w:r>
              <w:rPr>
                <w:rFonts w:hint="eastAsia"/>
                <w:bCs/>
                <w:color w:val="auto"/>
                <w:szCs w:val="21"/>
                <w:lang w:val="en-US" w:eastAsia="zh-CN"/>
              </w:rPr>
              <w:t>0</w:t>
            </w:r>
          </w:p>
        </w:tc>
        <w:tc>
          <w:tcPr>
            <w:tcW w:w="1620" w:type="dxa"/>
            <w:vAlign w:val="center"/>
          </w:tcPr>
          <w:p w14:paraId="598020B3">
            <w:pPr>
              <w:adjustRightInd w:val="0"/>
              <w:snapToGrid w:val="0"/>
              <w:jc w:val="center"/>
              <w:rPr>
                <w:bCs/>
                <w:color w:val="auto"/>
                <w:szCs w:val="21"/>
              </w:rPr>
            </w:pPr>
            <w:r>
              <w:rPr>
                <w:rFonts w:hint="eastAsia"/>
                <w:bCs/>
                <w:snapToGrid w:val="0"/>
                <w:color w:val="auto"/>
                <w:kern w:val="21"/>
                <w:szCs w:val="21"/>
              </w:rPr>
              <w:t>/</w:t>
            </w:r>
          </w:p>
        </w:tc>
        <w:tc>
          <w:tcPr>
            <w:tcW w:w="1965" w:type="dxa"/>
            <w:vAlign w:val="center"/>
          </w:tcPr>
          <w:p w14:paraId="23736080">
            <w:pPr>
              <w:widowControl/>
              <w:adjustRightInd w:val="0"/>
              <w:snapToGrid w:val="0"/>
              <w:jc w:val="center"/>
              <w:textAlignment w:val="center"/>
              <w:rPr>
                <w:rFonts w:hint="eastAsia" w:eastAsia="宋体"/>
                <w:bCs/>
                <w:color w:val="auto"/>
                <w:szCs w:val="21"/>
                <w:lang w:eastAsia="zh-CN"/>
              </w:rPr>
            </w:pPr>
            <w:r>
              <w:rPr>
                <w:rFonts w:hint="eastAsia"/>
                <w:bCs/>
                <w:color w:val="auto"/>
                <w:szCs w:val="21"/>
                <w:lang w:val="en-US" w:eastAsia="zh-CN"/>
              </w:rPr>
              <w:t>6</w:t>
            </w:r>
          </w:p>
        </w:tc>
        <w:tc>
          <w:tcPr>
            <w:tcW w:w="1263" w:type="dxa"/>
            <w:vAlign w:val="center"/>
          </w:tcPr>
          <w:p w14:paraId="1C49D070">
            <w:pPr>
              <w:widowControl/>
              <w:adjustRightInd w:val="0"/>
              <w:snapToGrid w:val="0"/>
              <w:jc w:val="center"/>
              <w:textAlignment w:val="center"/>
              <w:rPr>
                <w:rFonts w:hint="eastAsia" w:eastAsia="宋体"/>
                <w:bCs/>
                <w:color w:val="auto"/>
                <w:szCs w:val="21"/>
                <w:lang w:eastAsia="zh-CN"/>
              </w:rPr>
            </w:pPr>
            <w:r>
              <w:rPr>
                <w:rFonts w:hint="eastAsia"/>
                <w:bCs/>
                <w:color w:val="auto"/>
                <w:szCs w:val="21"/>
                <w:lang w:val="en-US" w:eastAsia="zh-CN"/>
              </w:rPr>
              <w:t>0</w:t>
            </w:r>
          </w:p>
        </w:tc>
      </w:tr>
      <w:tr w14:paraId="724858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3E8F4110">
            <w:pPr>
              <w:pStyle w:val="42"/>
              <w:spacing w:beforeLines="0" w:afterLines="0" w:line="240" w:lineRule="auto"/>
              <w:rPr>
                <w:rFonts w:ascii="Times New Roman" w:cs="宋体"/>
                <w:b w:val="0"/>
                <w:bCs/>
                <w:snapToGrid w:val="0"/>
                <w:kern w:val="21"/>
                <w:szCs w:val="21"/>
              </w:rPr>
            </w:pPr>
          </w:p>
        </w:tc>
        <w:tc>
          <w:tcPr>
            <w:tcW w:w="1588" w:type="dxa"/>
            <w:vAlign w:val="center"/>
          </w:tcPr>
          <w:p w14:paraId="18BFCC9F">
            <w:pPr>
              <w:pStyle w:val="107"/>
              <w:spacing w:line="240" w:lineRule="auto"/>
              <w:ind w:firstLine="0" w:firstLineChars="0"/>
              <w:jc w:val="center"/>
              <w:rPr>
                <w:bCs/>
                <w:color w:val="auto"/>
                <w:sz w:val="21"/>
                <w:szCs w:val="21"/>
              </w:rPr>
            </w:pPr>
            <w:r>
              <w:rPr>
                <w:rFonts w:hint="eastAsia"/>
                <w:bCs/>
                <w:color w:val="auto"/>
                <w:sz w:val="21"/>
                <w:szCs w:val="21"/>
              </w:rPr>
              <w:t>废矿物油</w:t>
            </w:r>
            <w:r>
              <w:rPr>
                <w:rFonts w:hint="eastAsia"/>
                <w:bCs/>
                <w:snapToGrid w:val="0"/>
                <w:color w:val="auto"/>
                <w:kern w:val="21"/>
                <w:sz w:val="21"/>
                <w:szCs w:val="21"/>
              </w:rPr>
              <w:t>（t/a）</w:t>
            </w:r>
          </w:p>
        </w:tc>
        <w:tc>
          <w:tcPr>
            <w:tcW w:w="1770" w:type="dxa"/>
            <w:shd w:val="clear" w:color="auto" w:fill="auto"/>
            <w:vAlign w:val="center"/>
          </w:tcPr>
          <w:p w14:paraId="1119A005">
            <w:pPr>
              <w:widowControl/>
              <w:adjustRightInd w:val="0"/>
              <w:snapToGrid w:val="0"/>
              <w:jc w:val="center"/>
              <w:textAlignment w:val="center"/>
              <w:rPr>
                <w:rFonts w:ascii="Times New Roman" w:hAnsi="Times New Roman" w:eastAsia="宋体" w:cs="Times New Roman"/>
                <w:bCs/>
                <w:color w:val="auto"/>
                <w:kern w:val="2"/>
                <w:sz w:val="21"/>
                <w:szCs w:val="21"/>
                <w:lang w:val="en-US" w:eastAsia="zh-CN" w:bidi="ar-SA"/>
              </w:rPr>
            </w:pPr>
            <w:r>
              <w:rPr>
                <w:rFonts w:hint="eastAsia"/>
                <w:bCs/>
                <w:color w:val="auto"/>
                <w:szCs w:val="21"/>
              </w:rPr>
              <w:t>0.5</w:t>
            </w:r>
          </w:p>
        </w:tc>
        <w:tc>
          <w:tcPr>
            <w:tcW w:w="1230" w:type="dxa"/>
            <w:vAlign w:val="center"/>
          </w:tcPr>
          <w:p w14:paraId="1F1C9265">
            <w:pPr>
              <w:jc w:val="center"/>
              <w:rPr>
                <w:bCs/>
                <w:snapToGrid w:val="0"/>
                <w:color w:val="auto"/>
                <w:kern w:val="21"/>
                <w:szCs w:val="21"/>
              </w:rPr>
            </w:pPr>
            <w:r>
              <w:rPr>
                <w:rFonts w:hint="eastAsia"/>
                <w:bCs/>
                <w:snapToGrid w:val="0"/>
                <w:color w:val="auto"/>
                <w:kern w:val="21"/>
                <w:szCs w:val="21"/>
              </w:rPr>
              <w:t>/</w:t>
            </w:r>
          </w:p>
        </w:tc>
        <w:tc>
          <w:tcPr>
            <w:tcW w:w="1800" w:type="dxa"/>
            <w:vAlign w:val="center"/>
          </w:tcPr>
          <w:p w14:paraId="2628F779">
            <w:pPr>
              <w:jc w:val="center"/>
              <w:rPr>
                <w:bCs/>
                <w:snapToGrid w:val="0"/>
                <w:color w:val="auto"/>
                <w:kern w:val="21"/>
                <w:szCs w:val="21"/>
              </w:rPr>
            </w:pPr>
            <w:r>
              <w:rPr>
                <w:rFonts w:hint="eastAsia"/>
                <w:bCs/>
                <w:snapToGrid w:val="0"/>
                <w:color w:val="auto"/>
                <w:kern w:val="21"/>
                <w:szCs w:val="21"/>
              </w:rPr>
              <w:t>/</w:t>
            </w:r>
          </w:p>
        </w:tc>
        <w:tc>
          <w:tcPr>
            <w:tcW w:w="1605" w:type="dxa"/>
            <w:vAlign w:val="center"/>
          </w:tcPr>
          <w:p w14:paraId="0CAA9B13">
            <w:pPr>
              <w:widowControl/>
              <w:adjustRightInd w:val="0"/>
              <w:snapToGrid w:val="0"/>
              <w:jc w:val="center"/>
              <w:textAlignment w:val="center"/>
              <w:rPr>
                <w:rFonts w:hint="eastAsia" w:eastAsia="宋体"/>
                <w:bCs/>
                <w:color w:val="auto"/>
                <w:szCs w:val="21"/>
                <w:lang w:eastAsia="zh-CN"/>
              </w:rPr>
            </w:pPr>
            <w:r>
              <w:rPr>
                <w:rFonts w:hint="eastAsia"/>
                <w:bCs/>
                <w:color w:val="auto"/>
                <w:szCs w:val="21"/>
                <w:lang w:val="en-US" w:eastAsia="zh-CN"/>
              </w:rPr>
              <w:t>0</w:t>
            </w:r>
          </w:p>
        </w:tc>
        <w:tc>
          <w:tcPr>
            <w:tcW w:w="1620" w:type="dxa"/>
            <w:vAlign w:val="center"/>
          </w:tcPr>
          <w:p w14:paraId="080BF1A3">
            <w:pPr>
              <w:adjustRightInd w:val="0"/>
              <w:snapToGrid w:val="0"/>
              <w:jc w:val="center"/>
              <w:rPr>
                <w:bCs/>
                <w:snapToGrid w:val="0"/>
                <w:color w:val="auto"/>
                <w:kern w:val="21"/>
                <w:szCs w:val="21"/>
              </w:rPr>
            </w:pPr>
            <w:r>
              <w:rPr>
                <w:rFonts w:hint="eastAsia"/>
                <w:bCs/>
                <w:snapToGrid w:val="0"/>
                <w:color w:val="auto"/>
                <w:kern w:val="21"/>
                <w:szCs w:val="21"/>
              </w:rPr>
              <w:t>/</w:t>
            </w:r>
          </w:p>
        </w:tc>
        <w:tc>
          <w:tcPr>
            <w:tcW w:w="1965" w:type="dxa"/>
            <w:vAlign w:val="center"/>
          </w:tcPr>
          <w:p w14:paraId="4D41A380">
            <w:pPr>
              <w:widowControl/>
              <w:adjustRightInd w:val="0"/>
              <w:snapToGrid w:val="0"/>
              <w:jc w:val="center"/>
              <w:textAlignment w:val="center"/>
              <w:rPr>
                <w:bCs/>
                <w:color w:val="auto"/>
                <w:szCs w:val="21"/>
              </w:rPr>
            </w:pPr>
            <w:r>
              <w:rPr>
                <w:rFonts w:hint="eastAsia"/>
                <w:bCs/>
                <w:color w:val="auto"/>
                <w:szCs w:val="21"/>
              </w:rPr>
              <w:t>0.5</w:t>
            </w:r>
          </w:p>
        </w:tc>
        <w:tc>
          <w:tcPr>
            <w:tcW w:w="1263" w:type="dxa"/>
            <w:vAlign w:val="center"/>
          </w:tcPr>
          <w:p w14:paraId="6A2A428F">
            <w:pPr>
              <w:widowControl/>
              <w:adjustRightInd w:val="0"/>
              <w:snapToGrid w:val="0"/>
              <w:jc w:val="center"/>
              <w:textAlignment w:val="center"/>
              <w:rPr>
                <w:rFonts w:hint="eastAsia" w:eastAsia="宋体"/>
                <w:bCs/>
                <w:color w:val="auto"/>
                <w:szCs w:val="21"/>
                <w:lang w:eastAsia="zh-CN"/>
              </w:rPr>
            </w:pPr>
            <w:r>
              <w:rPr>
                <w:rFonts w:hint="eastAsia"/>
                <w:bCs/>
                <w:color w:val="auto"/>
                <w:szCs w:val="21"/>
                <w:lang w:val="en-US" w:eastAsia="zh-CN"/>
              </w:rPr>
              <w:t>0</w:t>
            </w:r>
          </w:p>
        </w:tc>
      </w:tr>
      <w:tr w14:paraId="240C48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5C804C7B">
            <w:pPr>
              <w:pStyle w:val="42"/>
              <w:spacing w:beforeLines="0" w:afterLines="0" w:line="240" w:lineRule="auto"/>
              <w:rPr>
                <w:rFonts w:ascii="Times New Roman" w:cs="宋体"/>
                <w:b w:val="0"/>
                <w:bCs/>
                <w:snapToGrid w:val="0"/>
                <w:kern w:val="21"/>
                <w:szCs w:val="21"/>
              </w:rPr>
            </w:pPr>
          </w:p>
        </w:tc>
        <w:tc>
          <w:tcPr>
            <w:tcW w:w="1588" w:type="dxa"/>
            <w:vAlign w:val="center"/>
          </w:tcPr>
          <w:p w14:paraId="4102E905">
            <w:pPr>
              <w:pStyle w:val="107"/>
              <w:spacing w:line="240" w:lineRule="auto"/>
              <w:ind w:firstLine="0" w:firstLineChars="0"/>
              <w:jc w:val="center"/>
              <w:rPr>
                <w:bCs/>
                <w:color w:val="auto"/>
                <w:sz w:val="21"/>
                <w:szCs w:val="21"/>
              </w:rPr>
            </w:pPr>
            <w:r>
              <w:rPr>
                <w:rFonts w:hint="eastAsia"/>
                <w:bCs/>
                <w:color w:val="auto"/>
                <w:sz w:val="21"/>
                <w:szCs w:val="21"/>
              </w:rPr>
              <w:t>废矿物油桶</w:t>
            </w:r>
            <w:r>
              <w:rPr>
                <w:rFonts w:hint="eastAsia"/>
                <w:bCs/>
                <w:snapToGrid w:val="0"/>
                <w:color w:val="auto"/>
                <w:kern w:val="21"/>
                <w:sz w:val="21"/>
                <w:szCs w:val="21"/>
              </w:rPr>
              <w:t>（t/a）</w:t>
            </w:r>
          </w:p>
        </w:tc>
        <w:tc>
          <w:tcPr>
            <w:tcW w:w="1770" w:type="dxa"/>
            <w:shd w:val="clear" w:color="auto" w:fill="auto"/>
            <w:vAlign w:val="center"/>
          </w:tcPr>
          <w:p w14:paraId="27B23298">
            <w:pPr>
              <w:widowControl/>
              <w:adjustRightInd w:val="0"/>
              <w:snapToGrid w:val="0"/>
              <w:jc w:val="center"/>
              <w:textAlignment w:val="center"/>
              <w:rPr>
                <w:rFonts w:ascii="Times New Roman" w:hAnsi="Times New Roman" w:eastAsia="宋体" w:cs="Times New Roman"/>
                <w:bCs/>
                <w:color w:val="auto"/>
                <w:kern w:val="2"/>
                <w:sz w:val="21"/>
                <w:szCs w:val="21"/>
                <w:lang w:val="en-US" w:eastAsia="zh-CN" w:bidi="ar-SA"/>
              </w:rPr>
            </w:pPr>
            <w:r>
              <w:rPr>
                <w:rFonts w:hint="eastAsia"/>
                <w:bCs/>
                <w:color w:val="auto"/>
                <w:szCs w:val="21"/>
              </w:rPr>
              <w:t>0.25</w:t>
            </w:r>
          </w:p>
        </w:tc>
        <w:tc>
          <w:tcPr>
            <w:tcW w:w="1230" w:type="dxa"/>
            <w:vAlign w:val="center"/>
          </w:tcPr>
          <w:p w14:paraId="7A4BB985">
            <w:pPr>
              <w:jc w:val="center"/>
              <w:rPr>
                <w:bCs/>
                <w:snapToGrid w:val="0"/>
                <w:color w:val="auto"/>
                <w:kern w:val="21"/>
                <w:szCs w:val="21"/>
              </w:rPr>
            </w:pPr>
            <w:r>
              <w:rPr>
                <w:rFonts w:hint="eastAsia"/>
                <w:bCs/>
                <w:snapToGrid w:val="0"/>
                <w:color w:val="auto"/>
                <w:kern w:val="21"/>
                <w:szCs w:val="21"/>
              </w:rPr>
              <w:t>/</w:t>
            </w:r>
          </w:p>
        </w:tc>
        <w:tc>
          <w:tcPr>
            <w:tcW w:w="1800" w:type="dxa"/>
            <w:vAlign w:val="center"/>
          </w:tcPr>
          <w:p w14:paraId="46192E62">
            <w:pPr>
              <w:jc w:val="center"/>
              <w:rPr>
                <w:bCs/>
                <w:snapToGrid w:val="0"/>
                <w:color w:val="auto"/>
                <w:kern w:val="21"/>
                <w:szCs w:val="21"/>
              </w:rPr>
            </w:pPr>
            <w:r>
              <w:rPr>
                <w:rFonts w:hint="eastAsia"/>
                <w:bCs/>
                <w:snapToGrid w:val="0"/>
                <w:color w:val="auto"/>
                <w:kern w:val="21"/>
                <w:szCs w:val="21"/>
              </w:rPr>
              <w:t>/</w:t>
            </w:r>
          </w:p>
        </w:tc>
        <w:tc>
          <w:tcPr>
            <w:tcW w:w="1605" w:type="dxa"/>
            <w:vAlign w:val="center"/>
          </w:tcPr>
          <w:p w14:paraId="4F15443C">
            <w:pPr>
              <w:widowControl/>
              <w:adjustRightInd w:val="0"/>
              <w:snapToGrid w:val="0"/>
              <w:jc w:val="center"/>
              <w:textAlignment w:val="center"/>
              <w:rPr>
                <w:rFonts w:hint="eastAsia" w:eastAsia="宋体"/>
                <w:bCs/>
                <w:color w:val="auto"/>
                <w:szCs w:val="21"/>
                <w:lang w:eastAsia="zh-CN"/>
              </w:rPr>
            </w:pPr>
            <w:r>
              <w:rPr>
                <w:rFonts w:hint="eastAsia"/>
                <w:bCs/>
                <w:color w:val="auto"/>
                <w:szCs w:val="21"/>
                <w:lang w:val="en-US" w:eastAsia="zh-CN"/>
              </w:rPr>
              <w:t>0</w:t>
            </w:r>
          </w:p>
        </w:tc>
        <w:tc>
          <w:tcPr>
            <w:tcW w:w="1620" w:type="dxa"/>
            <w:vAlign w:val="center"/>
          </w:tcPr>
          <w:p w14:paraId="7DE79B71">
            <w:pPr>
              <w:adjustRightInd w:val="0"/>
              <w:snapToGrid w:val="0"/>
              <w:jc w:val="center"/>
              <w:rPr>
                <w:bCs/>
                <w:snapToGrid w:val="0"/>
                <w:color w:val="auto"/>
                <w:kern w:val="21"/>
                <w:szCs w:val="21"/>
              </w:rPr>
            </w:pPr>
            <w:r>
              <w:rPr>
                <w:rFonts w:hint="eastAsia"/>
                <w:bCs/>
                <w:snapToGrid w:val="0"/>
                <w:color w:val="auto"/>
                <w:kern w:val="21"/>
                <w:szCs w:val="21"/>
              </w:rPr>
              <w:t>/</w:t>
            </w:r>
          </w:p>
        </w:tc>
        <w:tc>
          <w:tcPr>
            <w:tcW w:w="1965" w:type="dxa"/>
            <w:vAlign w:val="center"/>
          </w:tcPr>
          <w:p w14:paraId="3943429A">
            <w:pPr>
              <w:widowControl/>
              <w:adjustRightInd w:val="0"/>
              <w:snapToGrid w:val="0"/>
              <w:jc w:val="center"/>
              <w:textAlignment w:val="center"/>
              <w:rPr>
                <w:bCs/>
                <w:color w:val="auto"/>
                <w:szCs w:val="21"/>
              </w:rPr>
            </w:pPr>
            <w:r>
              <w:rPr>
                <w:rFonts w:hint="eastAsia"/>
                <w:bCs/>
                <w:color w:val="auto"/>
                <w:szCs w:val="21"/>
              </w:rPr>
              <w:t>0.25</w:t>
            </w:r>
          </w:p>
        </w:tc>
        <w:tc>
          <w:tcPr>
            <w:tcW w:w="1263" w:type="dxa"/>
            <w:vAlign w:val="center"/>
          </w:tcPr>
          <w:p w14:paraId="645ECDDB">
            <w:pPr>
              <w:widowControl/>
              <w:adjustRightInd w:val="0"/>
              <w:snapToGrid w:val="0"/>
              <w:jc w:val="center"/>
              <w:textAlignment w:val="center"/>
              <w:rPr>
                <w:rFonts w:hint="eastAsia" w:eastAsia="宋体"/>
                <w:bCs/>
                <w:color w:val="auto"/>
                <w:szCs w:val="21"/>
                <w:lang w:eastAsia="zh-CN"/>
              </w:rPr>
            </w:pPr>
            <w:r>
              <w:rPr>
                <w:rFonts w:hint="eastAsia"/>
                <w:bCs/>
                <w:color w:val="auto"/>
                <w:szCs w:val="21"/>
                <w:lang w:val="en-US" w:eastAsia="zh-CN"/>
              </w:rPr>
              <w:t>0</w:t>
            </w:r>
          </w:p>
        </w:tc>
      </w:tr>
      <w:tr w14:paraId="1BC8FC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6817E80D">
            <w:pPr>
              <w:pStyle w:val="42"/>
              <w:spacing w:beforeLines="0" w:afterLines="0" w:line="240" w:lineRule="auto"/>
              <w:rPr>
                <w:rFonts w:ascii="Times New Roman" w:cs="宋体"/>
                <w:b w:val="0"/>
                <w:bCs/>
                <w:snapToGrid w:val="0"/>
                <w:kern w:val="21"/>
                <w:szCs w:val="21"/>
              </w:rPr>
            </w:pPr>
          </w:p>
        </w:tc>
        <w:tc>
          <w:tcPr>
            <w:tcW w:w="1588" w:type="dxa"/>
            <w:shd w:val="clear" w:color="auto" w:fill="auto"/>
            <w:vAlign w:val="center"/>
          </w:tcPr>
          <w:p w14:paraId="0BB18805">
            <w:pPr>
              <w:pStyle w:val="107"/>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废油墨桶（t/a）</w:t>
            </w:r>
          </w:p>
        </w:tc>
        <w:tc>
          <w:tcPr>
            <w:tcW w:w="1770" w:type="dxa"/>
            <w:shd w:val="clear" w:color="auto" w:fill="auto"/>
            <w:vAlign w:val="center"/>
          </w:tcPr>
          <w:p w14:paraId="0C24742C">
            <w:pPr>
              <w:widowControl/>
              <w:adjustRightInd w:val="0"/>
              <w:snapToGrid w:val="0"/>
              <w:jc w:val="center"/>
              <w:textAlignment w:val="center"/>
              <w:rPr>
                <w:rFonts w:hint="eastAsia" w:eastAsia="宋体"/>
                <w:bCs/>
                <w:color w:val="auto"/>
                <w:szCs w:val="21"/>
                <w:lang w:val="en-US" w:eastAsia="zh-CN"/>
              </w:rPr>
            </w:pPr>
            <w:r>
              <w:rPr>
                <w:rFonts w:hint="eastAsia"/>
                <w:bCs/>
                <w:color w:val="auto"/>
                <w:szCs w:val="21"/>
                <w:lang w:val="en-US" w:eastAsia="zh-CN"/>
              </w:rPr>
              <w:t>/</w:t>
            </w:r>
          </w:p>
        </w:tc>
        <w:tc>
          <w:tcPr>
            <w:tcW w:w="1230" w:type="dxa"/>
            <w:vAlign w:val="center"/>
          </w:tcPr>
          <w:p w14:paraId="2CE4E3C3">
            <w:pPr>
              <w:jc w:val="center"/>
              <w:rPr>
                <w:rFonts w:hint="eastAsia" w:eastAsia="宋体"/>
                <w:bCs/>
                <w:snapToGrid w:val="0"/>
                <w:color w:val="auto"/>
                <w:kern w:val="21"/>
                <w:szCs w:val="21"/>
                <w:lang w:val="en-US" w:eastAsia="zh-CN"/>
              </w:rPr>
            </w:pPr>
            <w:r>
              <w:rPr>
                <w:rFonts w:hint="eastAsia"/>
                <w:bCs/>
                <w:snapToGrid w:val="0"/>
                <w:color w:val="auto"/>
                <w:kern w:val="21"/>
                <w:szCs w:val="21"/>
                <w:lang w:val="en-US" w:eastAsia="zh-CN"/>
              </w:rPr>
              <w:t>/</w:t>
            </w:r>
          </w:p>
        </w:tc>
        <w:tc>
          <w:tcPr>
            <w:tcW w:w="1800" w:type="dxa"/>
            <w:vAlign w:val="center"/>
          </w:tcPr>
          <w:p w14:paraId="1A02EE40">
            <w:pPr>
              <w:jc w:val="center"/>
              <w:rPr>
                <w:rFonts w:hint="eastAsia" w:eastAsia="宋体"/>
                <w:bCs/>
                <w:snapToGrid w:val="0"/>
                <w:color w:val="auto"/>
                <w:kern w:val="21"/>
                <w:szCs w:val="21"/>
                <w:lang w:val="en-US" w:eastAsia="zh-CN"/>
              </w:rPr>
            </w:pPr>
            <w:r>
              <w:rPr>
                <w:rFonts w:hint="eastAsia"/>
                <w:bCs/>
                <w:snapToGrid w:val="0"/>
                <w:color w:val="auto"/>
                <w:kern w:val="21"/>
                <w:szCs w:val="21"/>
                <w:lang w:val="en-US" w:eastAsia="zh-CN"/>
              </w:rPr>
              <w:t>/</w:t>
            </w:r>
          </w:p>
        </w:tc>
        <w:tc>
          <w:tcPr>
            <w:tcW w:w="1605" w:type="dxa"/>
            <w:shd w:val="clear" w:color="auto" w:fill="auto"/>
            <w:vAlign w:val="center"/>
          </w:tcPr>
          <w:p w14:paraId="3C7C2746">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0.08</w:t>
            </w:r>
          </w:p>
        </w:tc>
        <w:tc>
          <w:tcPr>
            <w:tcW w:w="1620" w:type="dxa"/>
            <w:vAlign w:val="center"/>
          </w:tcPr>
          <w:p w14:paraId="7516C265">
            <w:pPr>
              <w:adjustRightInd w:val="0"/>
              <w:snapToGrid w:val="0"/>
              <w:jc w:val="center"/>
              <w:rPr>
                <w:rFonts w:hint="eastAsia" w:eastAsia="宋体"/>
                <w:bCs/>
                <w:snapToGrid w:val="0"/>
                <w:color w:val="auto"/>
                <w:kern w:val="21"/>
                <w:szCs w:val="21"/>
                <w:lang w:val="en-US" w:eastAsia="zh-CN"/>
              </w:rPr>
            </w:pPr>
            <w:r>
              <w:rPr>
                <w:rFonts w:hint="eastAsia"/>
                <w:bCs/>
                <w:snapToGrid w:val="0"/>
                <w:color w:val="auto"/>
                <w:kern w:val="21"/>
                <w:szCs w:val="21"/>
                <w:lang w:val="en-US" w:eastAsia="zh-CN"/>
              </w:rPr>
              <w:t>/</w:t>
            </w:r>
          </w:p>
        </w:tc>
        <w:tc>
          <w:tcPr>
            <w:tcW w:w="1965" w:type="dxa"/>
            <w:shd w:val="clear" w:color="auto" w:fill="auto"/>
            <w:vAlign w:val="center"/>
          </w:tcPr>
          <w:p w14:paraId="699520E8">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0.08</w:t>
            </w:r>
          </w:p>
        </w:tc>
        <w:tc>
          <w:tcPr>
            <w:tcW w:w="1263" w:type="dxa"/>
            <w:shd w:val="clear" w:color="auto" w:fill="auto"/>
            <w:vAlign w:val="center"/>
          </w:tcPr>
          <w:p w14:paraId="6D0CBDB4">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+0.08</w:t>
            </w:r>
          </w:p>
        </w:tc>
      </w:tr>
      <w:tr w14:paraId="56112D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5391F545">
            <w:pPr>
              <w:pStyle w:val="42"/>
              <w:spacing w:beforeLines="0" w:afterLines="0" w:line="240" w:lineRule="auto"/>
              <w:rPr>
                <w:rFonts w:ascii="Times New Roman" w:cs="宋体"/>
                <w:b w:val="0"/>
                <w:bCs/>
                <w:snapToGrid w:val="0"/>
                <w:kern w:val="21"/>
                <w:szCs w:val="21"/>
              </w:rPr>
            </w:pPr>
          </w:p>
        </w:tc>
        <w:tc>
          <w:tcPr>
            <w:tcW w:w="1588" w:type="dxa"/>
            <w:shd w:val="clear" w:color="auto" w:fill="auto"/>
            <w:vAlign w:val="center"/>
          </w:tcPr>
          <w:p w14:paraId="452A1681">
            <w:pPr>
              <w:pStyle w:val="107"/>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废抹布、手套（t/a）</w:t>
            </w:r>
          </w:p>
        </w:tc>
        <w:tc>
          <w:tcPr>
            <w:tcW w:w="1770" w:type="dxa"/>
            <w:shd w:val="clear" w:color="auto" w:fill="auto"/>
            <w:vAlign w:val="center"/>
          </w:tcPr>
          <w:p w14:paraId="2BCEB947">
            <w:pPr>
              <w:widowControl/>
              <w:adjustRightInd w:val="0"/>
              <w:snapToGrid w:val="0"/>
              <w:jc w:val="center"/>
              <w:textAlignment w:val="center"/>
              <w:rPr>
                <w:rFonts w:hint="eastAsia" w:eastAsia="宋体"/>
                <w:bCs/>
                <w:color w:val="auto"/>
                <w:szCs w:val="21"/>
                <w:lang w:val="en-US" w:eastAsia="zh-CN"/>
              </w:rPr>
            </w:pPr>
            <w:r>
              <w:rPr>
                <w:rFonts w:hint="eastAsia"/>
                <w:bCs/>
                <w:color w:val="auto"/>
                <w:szCs w:val="21"/>
                <w:lang w:val="en-US" w:eastAsia="zh-CN"/>
              </w:rPr>
              <w:t>/</w:t>
            </w:r>
          </w:p>
        </w:tc>
        <w:tc>
          <w:tcPr>
            <w:tcW w:w="1230" w:type="dxa"/>
            <w:vAlign w:val="center"/>
          </w:tcPr>
          <w:p w14:paraId="70E59730">
            <w:pPr>
              <w:jc w:val="center"/>
              <w:rPr>
                <w:rFonts w:hint="eastAsia" w:eastAsia="宋体"/>
                <w:bCs/>
                <w:snapToGrid w:val="0"/>
                <w:color w:val="auto"/>
                <w:kern w:val="21"/>
                <w:szCs w:val="21"/>
                <w:lang w:val="en-US" w:eastAsia="zh-CN"/>
              </w:rPr>
            </w:pPr>
            <w:r>
              <w:rPr>
                <w:rFonts w:hint="eastAsia"/>
                <w:bCs/>
                <w:snapToGrid w:val="0"/>
                <w:color w:val="auto"/>
                <w:kern w:val="21"/>
                <w:szCs w:val="21"/>
                <w:lang w:val="en-US" w:eastAsia="zh-CN"/>
              </w:rPr>
              <w:t>/</w:t>
            </w:r>
          </w:p>
        </w:tc>
        <w:tc>
          <w:tcPr>
            <w:tcW w:w="1800" w:type="dxa"/>
            <w:vAlign w:val="center"/>
          </w:tcPr>
          <w:p w14:paraId="4534AAD6">
            <w:pPr>
              <w:jc w:val="center"/>
              <w:rPr>
                <w:rFonts w:hint="eastAsia" w:eastAsia="宋体"/>
                <w:bCs/>
                <w:snapToGrid w:val="0"/>
                <w:color w:val="auto"/>
                <w:kern w:val="21"/>
                <w:szCs w:val="21"/>
                <w:lang w:val="en-US" w:eastAsia="zh-CN"/>
              </w:rPr>
            </w:pPr>
            <w:r>
              <w:rPr>
                <w:rFonts w:hint="eastAsia"/>
                <w:bCs/>
                <w:snapToGrid w:val="0"/>
                <w:color w:val="auto"/>
                <w:kern w:val="21"/>
                <w:szCs w:val="21"/>
                <w:lang w:val="en-US" w:eastAsia="zh-CN"/>
              </w:rPr>
              <w:t>/</w:t>
            </w:r>
          </w:p>
        </w:tc>
        <w:tc>
          <w:tcPr>
            <w:tcW w:w="1605" w:type="dxa"/>
            <w:shd w:val="clear" w:color="auto" w:fill="auto"/>
            <w:vAlign w:val="center"/>
          </w:tcPr>
          <w:p w14:paraId="148C19F9">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0.002</w:t>
            </w:r>
          </w:p>
        </w:tc>
        <w:tc>
          <w:tcPr>
            <w:tcW w:w="1620" w:type="dxa"/>
            <w:vAlign w:val="center"/>
          </w:tcPr>
          <w:p w14:paraId="541E5A6D">
            <w:pPr>
              <w:adjustRightInd w:val="0"/>
              <w:snapToGrid w:val="0"/>
              <w:jc w:val="center"/>
              <w:rPr>
                <w:rFonts w:hint="eastAsia" w:eastAsia="宋体"/>
                <w:bCs/>
                <w:snapToGrid w:val="0"/>
                <w:color w:val="auto"/>
                <w:kern w:val="21"/>
                <w:szCs w:val="21"/>
                <w:lang w:val="en-US" w:eastAsia="zh-CN"/>
              </w:rPr>
            </w:pPr>
            <w:r>
              <w:rPr>
                <w:rFonts w:hint="eastAsia"/>
                <w:bCs/>
                <w:snapToGrid w:val="0"/>
                <w:color w:val="auto"/>
                <w:kern w:val="21"/>
                <w:szCs w:val="21"/>
                <w:lang w:val="en-US" w:eastAsia="zh-CN"/>
              </w:rPr>
              <w:t>/</w:t>
            </w:r>
          </w:p>
        </w:tc>
        <w:tc>
          <w:tcPr>
            <w:tcW w:w="1965" w:type="dxa"/>
            <w:shd w:val="clear" w:color="auto" w:fill="auto"/>
            <w:vAlign w:val="center"/>
          </w:tcPr>
          <w:p w14:paraId="72410FFE">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0.002</w:t>
            </w:r>
          </w:p>
        </w:tc>
        <w:tc>
          <w:tcPr>
            <w:tcW w:w="1263" w:type="dxa"/>
            <w:shd w:val="clear" w:color="auto" w:fill="auto"/>
            <w:vAlign w:val="center"/>
          </w:tcPr>
          <w:p w14:paraId="75BB166B">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+0.002</w:t>
            </w:r>
          </w:p>
        </w:tc>
      </w:tr>
      <w:tr w14:paraId="769B5B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0F41C775">
            <w:pPr>
              <w:pStyle w:val="42"/>
              <w:spacing w:beforeLines="0" w:afterLines="0" w:line="240" w:lineRule="auto"/>
              <w:rPr>
                <w:rFonts w:ascii="Times New Roman" w:cs="宋体"/>
                <w:b w:val="0"/>
                <w:bCs/>
                <w:snapToGrid w:val="0"/>
                <w:kern w:val="21"/>
                <w:szCs w:val="21"/>
              </w:rPr>
            </w:pPr>
          </w:p>
        </w:tc>
        <w:tc>
          <w:tcPr>
            <w:tcW w:w="1588" w:type="dxa"/>
            <w:shd w:val="clear" w:color="auto" w:fill="auto"/>
            <w:vAlign w:val="center"/>
          </w:tcPr>
          <w:p w14:paraId="0916E7D5">
            <w:pPr>
              <w:pStyle w:val="107"/>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废石英砂（t/a）</w:t>
            </w:r>
          </w:p>
        </w:tc>
        <w:tc>
          <w:tcPr>
            <w:tcW w:w="1770" w:type="dxa"/>
            <w:shd w:val="clear" w:color="auto" w:fill="auto"/>
            <w:vAlign w:val="center"/>
          </w:tcPr>
          <w:p w14:paraId="4C4449FF">
            <w:pPr>
              <w:widowControl/>
              <w:adjustRightInd w:val="0"/>
              <w:snapToGrid w:val="0"/>
              <w:jc w:val="center"/>
              <w:textAlignment w:val="center"/>
              <w:rPr>
                <w:rFonts w:hint="default"/>
                <w:bCs/>
                <w:color w:val="auto"/>
                <w:szCs w:val="21"/>
                <w:lang w:val="en-US" w:eastAsia="zh-CN"/>
              </w:rPr>
            </w:pPr>
            <w:r>
              <w:rPr>
                <w:rFonts w:hint="eastAsia"/>
                <w:bCs/>
                <w:color w:val="auto"/>
                <w:szCs w:val="21"/>
                <w:lang w:val="en-US" w:eastAsia="zh-CN"/>
              </w:rPr>
              <w:t>/</w:t>
            </w:r>
          </w:p>
        </w:tc>
        <w:tc>
          <w:tcPr>
            <w:tcW w:w="1230" w:type="dxa"/>
            <w:vAlign w:val="center"/>
          </w:tcPr>
          <w:p w14:paraId="4710693B">
            <w:pPr>
              <w:jc w:val="center"/>
              <w:rPr>
                <w:rFonts w:hint="default"/>
                <w:bCs/>
                <w:snapToGrid w:val="0"/>
                <w:color w:val="auto"/>
                <w:kern w:val="21"/>
                <w:szCs w:val="21"/>
                <w:lang w:val="en-US" w:eastAsia="zh-CN"/>
              </w:rPr>
            </w:pPr>
            <w:r>
              <w:rPr>
                <w:rFonts w:hint="eastAsia"/>
                <w:bCs/>
                <w:snapToGrid w:val="0"/>
                <w:color w:val="auto"/>
                <w:kern w:val="21"/>
                <w:szCs w:val="21"/>
                <w:lang w:val="en-US" w:eastAsia="zh-CN"/>
              </w:rPr>
              <w:t>/</w:t>
            </w:r>
          </w:p>
        </w:tc>
        <w:tc>
          <w:tcPr>
            <w:tcW w:w="1800" w:type="dxa"/>
            <w:vAlign w:val="center"/>
          </w:tcPr>
          <w:p w14:paraId="25DB21A3">
            <w:pPr>
              <w:jc w:val="center"/>
              <w:rPr>
                <w:rFonts w:hint="default"/>
                <w:bCs/>
                <w:snapToGrid w:val="0"/>
                <w:color w:val="auto"/>
                <w:kern w:val="21"/>
                <w:szCs w:val="21"/>
                <w:lang w:val="en-US" w:eastAsia="zh-CN"/>
              </w:rPr>
            </w:pPr>
            <w:r>
              <w:rPr>
                <w:rFonts w:hint="eastAsia"/>
                <w:bCs/>
                <w:snapToGrid w:val="0"/>
                <w:color w:val="auto"/>
                <w:kern w:val="21"/>
                <w:szCs w:val="21"/>
                <w:lang w:val="en-US" w:eastAsia="zh-CN"/>
              </w:rPr>
              <w:t>/</w:t>
            </w:r>
          </w:p>
        </w:tc>
        <w:tc>
          <w:tcPr>
            <w:tcW w:w="1605" w:type="dxa"/>
            <w:shd w:val="clear" w:color="auto" w:fill="auto"/>
            <w:vAlign w:val="center"/>
          </w:tcPr>
          <w:p w14:paraId="154CB912">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0.5</w:t>
            </w:r>
            <w:r>
              <w:rPr>
                <w:rFonts w:hint="eastAsia"/>
                <w:bCs/>
                <w:color w:val="auto"/>
                <w:szCs w:val="21"/>
              </w:rPr>
              <w:t>/3a</w:t>
            </w:r>
          </w:p>
        </w:tc>
        <w:tc>
          <w:tcPr>
            <w:tcW w:w="1620" w:type="dxa"/>
            <w:vAlign w:val="center"/>
          </w:tcPr>
          <w:p w14:paraId="44B4CB43">
            <w:pPr>
              <w:adjustRightInd w:val="0"/>
              <w:snapToGrid w:val="0"/>
              <w:jc w:val="center"/>
              <w:rPr>
                <w:rFonts w:hint="default"/>
                <w:bCs/>
                <w:snapToGrid w:val="0"/>
                <w:color w:val="auto"/>
                <w:kern w:val="21"/>
                <w:szCs w:val="21"/>
                <w:lang w:val="en-US" w:eastAsia="zh-CN"/>
              </w:rPr>
            </w:pPr>
            <w:r>
              <w:rPr>
                <w:rFonts w:hint="eastAsia"/>
                <w:bCs/>
                <w:snapToGrid w:val="0"/>
                <w:color w:val="auto"/>
                <w:kern w:val="21"/>
                <w:szCs w:val="21"/>
                <w:lang w:val="en-US" w:eastAsia="zh-CN"/>
              </w:rPr>
              <w:t>/</w:t>
            </w:r>
          </w:p>
        </w:tc>
        <w:tc>
          <w:tcPr>
            <w:tcW w:w="1965" w:type="dxa"/>
            <w:shd w:val="clear" w:color="auto" w:fill="auto"/>
            <w:vAlign w:val="center"/>
          </w:tcPr>
          <w:p w14:paraId="1B997200">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0.5</w:t>
            </w:r>
            <w:r>
              <w:rPr>
                <w:rFonts w:hint="eastAsia"/>
                <w:bCs/>
                <w:color w:val="auto"/>
                <w:szCs w:val="21"/>
              </w:rPr>
              <w:t>/3a</w:t>
            </w:r>
          </w:p>
        </w:tc>
        <w:tc>
          <w:tcPr>
            <w:tcW w:w="1263" w:type="dxa"/>
            <w:shd w:val="clear" w:color="auto" w:fill="auto"/>
            <w:vAlign w:val="center"/>
          </w:tcPr>
          <w:p w14:paraId="698D6EC9">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+0.5</w:t>
            </w:r>
            <w:r>
              <w:rPr>
                <w:rFonts w:hint="eastAsia"/>
                <w:bCs/>
                <w:color w:val="auto"/>
                <w:szCs w:val="21"/>
              </w:rPr>
              <w:t>/3a</w:t>
            </w:r>
          </w:p>
        </w:tc>
      </w:tr>
      <w:tr w14:paraId="184172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60D0B0FB">
            <w:pPr>
              <w:pStyle w:val="42"/>
              <w:spacing w:beforeLines="0" w:afterLines="0" w:line="240" w:lineRule="auto"/>
              <w:rPr>
                <w:rFonts w:ascii="Times New Roman" w:cs="宋体"/>
                <w:b w:val="0"/>
                <w:bCs/>
                <w:snapToGrid w:val="0"/>
                <w:kern w:val="21"/>
                <w:szCs w:val="21"/>
              </w:rPr>
            </w:pPr>
          </w:p>
        </w:tc>
        <w:tc>
          <w:tcPr>
            <w:tcW w:w="1588" w:type="dxa"/>
            <w:shd w:val="clear" w:color="auto" w:fill="auto"/>
            <w:vAlign w:val="center"/>
          </w:tcPr>
          <w:p w14:paraId="5087FC40">
            <w:pPr>
              <w:pStyle w:val="107"/>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废活性炭（废水）（t/a）</w:t>
            </w:r>
          </w:p>
        </w:tc>
        <w:tc>
          <w:tcPr>
            <w:tcW w:w="1770" w:type="dxa"/>
            <w:shd w:val="clear" w:color="auto" w:fill="auto"/>
            <w:vAlign w:val="center"/>
          </w:tcPr>
          <w:p w14:paraId="13F28493">
            <w:pPr>
              <w:widowControl/>
              <w:adjustRightInd w:val="0"/>
              <w:snapToGrid w:val="0"/>
              <w:jc w:val="center"/>
              <w:textAlignment w:val="center"/>
              <w:rPr>
                <w:rFonts w:hint="default"/>
                <w:bCs/>
                <w:color w:val="auto"/>
                <w:szCs w:val="21"/>
                <w:lang w:val="en-US" w:eastAsia="zh-CN"/>
              </w:rPr>
            </w:pPr>
            <w:r>
              <w:rPr>
                <w:rFonts w:hint="eastAsia"/>
                <w:bCs/>
                <w:color w:val="auto"/>
                <w:szCs w:val="21"/>
                <w:lang w:val="en-US" w:eastAsia="zh-CN"/>
              </w:rPr>
              <w:t>/</w:t>
            </w:r>
          </w:p>
        </w:tc>
        <w:tc>
          <w:tcPr>
            <w:tcW w:w="1230" w:type="dxa"/>
            <w:vAlign w:val="center"/>
          </w:tcPr>
          <w:p w14:paraId="685EBF49">
            <w:pPr>
              <w:jc w:val="center"/>
              <w:rPr>
                <w:rFonts w:hint="default"/>
                <w:bCs/>
                <w:snapToGrid w:val="0"/>
                <w:color w:val="auto"/>
                <w:kern w:val="21"/>
                <w:szCs w:val="21"/>
                <w:lang w:val="en-US" w:eastAsia="zh-CN"/>
              </w:rPr>
            </w:pPr>
            <w:r>
              <w:rPr>
                <w:rFonts w:hint="eastAsia"/>
                <w:bCs/>
                <w:snapToGrid w:val="0"/>
                <w:color w:val="auto"/>
                <w:kern w:val="21"/>
                <w:szCs w:val="21"/>
                <w:lang w:val="en-US" w:eastAsia="zh-CN"/>
              </w:rPr>
              <w:t>/</w:t>
            </w:r>
          </w:p>
        </w:tc>
        <w:tc>
          <w:tcPr>
            <w:tcW w:w="1800" w:type="dxa"/>
            <w:vAlign w:val="center"/>
          </w:tcPr>
          <w:p w14:paraId="47A51F84">
            <w:pPr>
              <w:jc w:val="center"/>
              <w:rPr>
                <w:rFonts w:hint="default"/>
                <w:bCs/>
                <w:snapToGrid w:val="0"/>
                <w:color w:val="auto"/>
                <w:kern w:val="21"/>
                <w:szCs w:val="21"/>
                <w:lang w:val="en-US" w:eastAsia="zh-CN"/>
              </w:rPr>
            </w:pPr>
            <w:r>
              <w:rPr>
                <w:rFonts w:hint="eastAsia"/>
                <w:bCs/>
                <w:snapToGrid w:val="0"/>
                <w:color w:val="auto"/>
                <w:kern w:val="21"/>
                <w:szCs w:val="21"/>
                <w:lang w:val="en-US" w:eastAsia="zh-CN"/>
              </w:rPr>
              <w:t>/</w:t>
            </w:r>
          </w:p>
        </w:tc>
        <w:tc>
          <w:tcPr>
            <w:tcW w:w="1605" w:type="dxa"/>
            <w:shd w:val="clear" w:color="auto" w:fill="auto"/>
            <w:vAlign w:val="center"/>
          </w:tcPr>
          <w:p w14:paraId="64FB669E">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0.25/1.5a</w:t>
            </w:r>
          </w:p>
        </w:tc>
        <w:tc>
          <w:tcPr>
            <w:tcW w:w="1620" w:type="dxa"/>
            <w:vAlign w:val="center"/>
          </w:tcPr>
          <w:p w14:paraId="7950B81A">
            <w:pPr>
              <w:adjustRightInd w:val="0"/>
              <w:snapToGrid w:val="0"/>
              <w:jc w:val="center"/>
              <w:rPr>
                <w:rFonts w:hint="default"/>
                <w:bCs/>
                <w:snapToGrid w:val="0"/>
                <w:color w:val="auto"/>
                <w:kern w:val="21"/>
                <w:szCs w:val="21"/>
                <w:lang w:val="en-US" w:eastAsia="zh-CN"/>
              </w:rPr>
            </w:pPr>
            <w:r>
              <w:rPr>
                <w:rFonts w:hint="eastAsia"/>
                <w:bCs/>
                <w:snapToGrid w:val="0"/>
                <w:color w:val="auto"/>
                <w:kern w:val="21"/>
                <w:szCs w:val="21"/>
                <w:lang w:val="en-US" w:eastAsia="zh-CN"/>
              </w:rPr>
              <w:t>/</w:t>
            </w:r>
          </w:p>
        </w:tc>
        <w:tc>
          <w:tcPr>
            <w:tcW w:w="1965" w:type="dxa"/>
            <w:shd w:val="clear" w:color="auto" w:fill="auto"/>
            <w:vAlign w:val="center"/>
          </w:tcPr>
          <w:p w14:paraId="0C130B45">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0.25/1.5a</w:t>
            </w:r>
          </w:p>
        </w:tc>
        <w:tc>
          <w:tcPr>
            <w:tcW w:w="1263" w:type="dxa"/>
            <w:shd w:val="clear" w:color="auto" w:fill="auto"/>
            <w:vAlign w:val="center"/>
          </w:tcPr>
          <w:p w14:paraId="54F23E8F">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+0.25/1.5a</w:t>
            </w:r>
          </w:p>
        </w:tc>
      </w:tr>
      <w:tr w14:paraId="2BFFAC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968" w:type="dxa"/>
            <w:vMerge w:val="continue"/>
            <w:vAlign w:val="center"/>
          </w:tcPr>
          <w:p w14:paraId="7130C11E">
            <w:pPr>
              <w:pStyle w:val="42"/>
              <w:spacing w:beforeLines="0" w:afterLines="0" w:line="240" w:lineRule="auto"/>
              <w:rPr>
                <w:rFonts w:ascii="Times New Roman" w:cs="宋体"/>
                <w:b w:val="0"/>
                <w:bCs/>
                <w:snapToGrid w:val="0"/>
                <w:kern w:val="21"/>
                <w:szCs w:val="21"/>
              </w:rPr>
            </w:pPr>
          </w:p>
        </w:tc>
        <w:tc>
          <w:tcPr>
            <w:tcW w:w="1588" w:type="dxa"/>
            <w:shd w:val="clear" w:color="auto" w:fill="auto"/>
            <w:vAlign w:val="center"/>
          </w:tcPr>
          <w:p w14:paraId="2B644FA9">
            <w:pPr>
              <w:pStyle w:val="107"/>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废活性炭（废气）（t/a）</w:t>
            </w:r>
          </w:p>
        </w:tc>
        <w:tc>
          <w:tcPr>
            <w:tcW w:w="1770" w:type="dxa"/>
            <w:shd w:val="clear" w:color="auto" w:fill="auto"/>
            <w:vAlign w:val="center"/>
          </w:tcPr>
          <w:p w14:paraId="6A85C726">
            <w:pPr>
              <w:widowControl/>
              <w:adjustRightInd w:val="0"/>
              <w:snapToGrid w:val="0"/>
              <w:jc w:val="center"/>
              <w:textAlignment w:val="center"/>
              <w:rPr>
                <w:rFonts w:hint="default"/>
                <w:bCs/>
                <w:color w:val="auto"/>
                <w:szCs w:val="21"/>
                <w:lang w:val="en-US" w:eastAsia="zh-CN"/>
              </w:rPr>
            </w:pPr>
            <w:r>
              <w:rPr>
                <w:rFonts w:hint="eastAsia"/>
                <w:bCs/>
                <w:color w:val="auto"/>
                <w:szCs w:val="21"/>
                <w:lang w:val="en-US" w:eastAsia="zh-CN"/>
              </w:rPr>
              <w:t>2</w:t>
            </w:r>
          </w:p>
        </w:tc>
        <w:tc>
          <w:tcPr>
            <w:tcW w:w="1230" w:type="dxa"/>
            <w:vAlign w:val="center"/>
          </w:tcPr>
          <w:p w14:paraId="71043E2F">
            <w:pPr>
              <w:jc w:val="center"/>
              <w:rPr>
                <w:rFonts w:hint="default"/>
                <w:bCs/>
                <w:snapToGrid w:val="0"/>
                <w:color w:val="auto"/>
                <w:kern w:val="21"/>
                <w:szCs w:val="21"/>
                <w:lang w:val="en-US" w:eastAsia="zh-CN"/>
              </w:rPr>
            </w:pPr>
            <w:r>
              <w:rPr>
                <w:rFonts w:hint="eastAsia"/>
                <w:bCs/>
                <w:snapToGrid w:val="0"/>
                <w:color w:val="auto"/>
                <w:kern w:val="21"/>
                <w:szCs w:val="21"/>
                <w:lang w:val="en-US" w:eastAsia="zh-CN"/>
              </w:rPr>
              <w:t>/</w:t>
            </w:r>
          </w:p>
        </w:tc>
        <w:tc>
          <w:tcPr>
            <w:tcW w:w="1800" w:type="dxa"/>
            <w:vAlign w:val="center"/>
          </w:tcPr>
          <w:p w14:paraId="7433121B">
            <w:pPr>
              <w:jc w:val="center"/>
              <w:rPr>
                <w:rFonts w:hint="default"/>
                <w:bCs/>
                <w:snapToGrid w:val="0"/>
                <w:color w:val="auto"/>
                <w:kern w:val="21"/>
                <w:szCs w:val="21"/>
                <w:lang w:val="en-US" w:eastAsia="zh-CN"/>
              </w:rPr>
            </w:pPr>
            <w:r>
              <w:rPr>
                <w:rFonts w:hint="eastAsia"/>
                <w:bCs/>
                <w:snapToGrid w:val="0"/>
                <w:color w:val="auto"/>
                <w:kern w:val="21"/>
                <w:szCs w:val="21"/>
                <w:lang w:val="en-US" w:eastAsia="zh-CN"/>
              </w:rPr>
              <w:t>/</w:t>
            </w:r>
          </w:p>
        </w:tc>
        <w:tc>
          <w:tcPr>
            <w:tcW w:w="1605" w:type="dxa"/>
            <w:shd w:val="clear" w:color="auto" w:fill="auto"/>
            <w:vAlign w:val="center"/>
          </w:tcPr>
          <w:p w14:paraId="74CF233C">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0.77</w:t>
            </w:r>
          </w:p>
        </w:tc>
        <w:tc>
          <w:tcPr>
            <w:tcW w:w="1620" w:type="dxa"/>
            <w:vAlign w:val="center"/>
          </w:tcPr>
          <w:p w14:paraId="3B05AB2E">
            <w:pPr>
              <w:adjustRightInd w:val="0"/>
              <w:snapToGrid w:val="0"/>
              <w:jc w:val="center"/>
              <w:rPr>
                <w:rFonts w:hint="default"/>
                <w:bCs/>
                <w:snapToGrid w:val="0"/>
                <w:color w:val="auto"/>
                <w:kern w:val="21"/>
                <w:szCs w:val="21"/>
                <w:lang w:val="en-US" w:eastAsia="zh-CN"/>
              </w:rPr>
            </w:pPr>
            <w:r>
              <w:rPr>
                <w:rFonts w:hint="eastAsia"/>
                <w:bCs/>
                <w:snapToGrid w:val="0"/>
                <w:color w:val="auto"/>
                <w:kern w:val="21"/>
                <w:szCs w:val="21"/>
                <w:lang w:val="en-US" w:eastAsia="zh-CN"/>
              </w:rPr>
              <w:t>/</w:t>
            </w:r>
          </w:p>
        </w:tc>
        <w:tc>
          <w:tcPr>
            <w:tcW w:w="1965" w:type="dxa"/>
            <w:shd w:val="clear" w:color="auto" w:fill="auto"/>
            <w:vAlign w:val="center"/>
          </w:tcPr>
          <w:p w14:paraId="058C3AC9">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2.77</w:t>
            </w:r>
          </w:p>
        </w:tc>
        <w:tc>
          <w:tcPr>
            <w:tcW w:w="1263" w:type="dxa"/>
            <w:shd w:val="clear" w:color="auto" w:fill="auto"/>
            <w:vAlign w:val="center"/>
          </w:tcPr>
          <w:p w14:paraId="2149F9A9">
            <w:pPr>
              <w:widowControl/>
              <w:adjustRightInd w:val="0"/>
              <w:snapToGrid w:val="0"/>
              <w:jc w:val="center"/>
              <w:textAlignment w:val="center"/>
              <w:rPr>
                <w:rFonts w:hint="default"/>
                <w:color w:val="auto"/>
                <w:szCs w:val="21"/>
                <w:lang w:val="en-US" w:eastAsia="zh-CN"/>
              </w:rPr>
            </w:pPr>
            <w:r>
              <w:rPr>
                <w:rFonts w:hint="eastAsia"/>
                <w:color w:val="auto"/>
                <w:szCs w:val="21"/>
                <w:lang w:val="en-US" w:eastAsia="zh-CN"/>
              </w:rPr>
              <w:t>+0.77</w:t>
            </w:r>
          </w:p>
        </w:tc>
      </w:tr>
    </w:tbl>
    <w:p w14:paraId="0643D086">
      <w:pPr>
        <w:pStyle w:val="42"/>
        <w:snapToGrid/>
        <w:spacing w:beforeLines="0" w:afterLines="0" w:line="240" w:lineRule="auto"/>
        <w:jc w:val="left"/>
        <w:rPr>
          <w:rFonts w:eastAsia="黑体"/>
        </w:rPr>
      </w:pPr>
      <w:r>
        <w:rPr>
          <w:rFonts w:ascii="Times New Roman"/>
          <w:snapToGrid w:val="0"/>
          <w:kern w:val="21"/>
          <w:szCs w:val="21"/>
        </w:rPr>
        <w:t>注：</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hint="eastAsia" w:ascii="Times New Roman"/>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ascii="Times New Roman"/>
          <w:szCs w:val="21"/>
        </w:rPr>
        <w:t>①</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3 \* GB3 \* MERGEFORMAT </w:instrText>
      </w:r>
      <w:r>
        <w:rPr>
          <w:rFonts w:ascii="Times New Roman"/>
          <w:snapToGrid w:val="0"/>
          <w:spacing w:val="-6"/>
          <w:kern w:val="21"/>
          <w:szCs w:val="21"/>
        </w:rPr>
        <w:fldChar w:fldCharType="separate"/>
      </w:r>
      <w:r>
        <w:rPr>
          <w:rFonts w:hint="eastAsia" w:ascii="Times New Roman"/>
          <w:szCs w:val="21"/>
        </w:rPr>
        <w:t>③</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4 \* GB3 \* MERGEFORMAT </w:instrText>
      </w:r>
      <w:r>
        <w:rPr>
          <w:rFonts w:ascii="Times New Roman"/>
          <w:snapToGrid w:val="0"/>
          <w:spacing w:val="-6"/>
          <w:kern w:val="21"/>
          <w:szCs w:val="21"/>
        </w:rPr>
        <w:fldChar w:fldCharType="separate"/>
      </w:r>
      <w:r>
        <w:rPr>
          <w:rFonts w:hint="eastAsia" w:ascii="Times New Roman"/>
          <w:szCs w:val="21"/>
        </w:rPr>
        <w:t>④</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5 \* GB3 \* MERGEFORMAT </w:instrText>
      </w:r>
      <w:r>
        <w:rPr>
          <w:rFonts w:ascii="Times New Roman"/>
          <w:snapToGrid w:val="0"/>
          <w:spacing w:val="-16"/>
          <w:kern w:val="21"/>
          <w:szCs w:val="21"/>
        </w:rPr>
        <w:fldChar w:fldCharType="separate"/>
      </w:r>
      <w:r>
        <w:rPr>
          <w:rFonts w:hint="eastAsia" w:ascii="Times New Roman"/>
          <w:szCs w:val="21"/>
        </w:rPr>
        <w:t>⑤</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7 \* GB3 \* MERGEFORMAT </w:instrText>
      </w:r>
      <w:r>
        <w:rPr>
          <w:rFonts w:ascii="Times New Roman"/>
          <w:snapToGrid w:val="0"/>
          <w:spacing w:val="-6"/>
          <w:kern w:val="21"/>
          <w:szCs w:val="21"/>
        </w:rPr>
        <w:fldChar w:fldCharType="separate"/>
      </w:r>
      <w:r>
        <w:rPr>
          <w:rFonts w:hint="eastAsia" w:ascii="Times New Roman"/>
          <w:szCs w:val="21"/>
        </w:rPr>
        <w:t>⑦</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hint="eastAsia" w:ascii="Times New Roman"/>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ascii="Times New Roman"/>
          <w:szCs w:val="21"/>
        </w:rPr>
        <w:t>①</w:t>
      </w:r>
      <w:r>
        <w:rPr>
          <w:rFonts w:ascii="Times New Roman"/>
          <w:snapToGrid w:val="0"/>
          <w:spacing w:val="-6"/>
          <w:kern w:val="21"/>
          <w:szCs w:val="21"/>
        </w:rPr>
        <w:fldChar w:fldCharType="end"/>
      </w:r>
    </w:p>
    <w:sectPr>
      <w:footerReference r:id="rId5" w:type="default"/>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A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宋体">
    <w:altName w:val="宋体"/>
    <w:panose1 w:val="02010600040101010101"/>
    <w:charset w:val="86"/>
    <w:family w:val="auto"/>
    <w:pitch w:val="default"/>
    <w:sig w:usb0="00000000" w:usb1="00000000" w:usb2="00000000" w:usb3="00000000" w:csb0="0004009F" w:csb1="DFD7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仿宋体">
    <w:altName w:val="宋体"/>
    <w:panose1 w:val="00000000000000000000"/>
    <w:charset w:val="86"/>
    <w:family w:val="roman"/>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Wingdings 2">
    <w:altName w:val="Wingdings"/>
    <w:panose1 w:val="05020102010507070707"/>
    <w:charset w:val="02"/>
    <w:family w:val="roman"/>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D3365B">
    <w:pPr>
      <w:pStyle w:val="2"/>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17699805"/>
    </w:sdtPr>
    <w:sdtContent>
      <w:p w14:paraId="23098551">
        <w:pPr>
          <w:pStyle w:val="2"/>
          <w:jc w:val="center"/>
        </w:pPr>
        <w:r>
          <w:fldChar w:fldCharType="begin"/>
        </w:r>
        <w:r>
          <w:instrText xml:space="preserve">PAGE   \* MERGEFORMAT</w:instrText>
        </w:r>
        <w:r>
          <w:fldChar w:fldCharType="separate"/>
        </w:r>
        <w:r>
          <w:rPr>
            <w:lang w:val="zh-CN"/>
          </w:rPr>
          <w:t>2</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C00DC7">
    <w:pPr>
      <w:pStyle w:val="2"/>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64B5D4"/>
    <w:multiLevelType w:val="singleLevel"/>
    <w:tmpl w:val="8F64B5D4"/>
    <w:lvl w:ilvl="0" w:tentative="0">
      <w:start w:val="1"/>
      <w:numFmt w:val="decimal"/>
      <w:suff w:val="nothing"/>
      <w:lvlText w:val="（%1）"/>
      <w:lvlJc w:val="left"/>
    </w:lvl>
  </w:abstractNum>
  <w:abstractNum w:abstractNumId="1">
    <w:nsid w:val="A7CA63D4"/>
    <w:multiLevelType w:val="singleLevel"/>
    <w:tmpl w:val="A7CA63D4"/>
    <w:lvl w:ilvl="0" w:tentative="0">
      <w:start w:val="1"/>
      <w:numFmt w:val="decimal"/>
      <w:suff w:val="nothing"/>
      <w:lvlText w:val="（%1）"/>
      <w:lvlJc w:val="left"/>
    </w:lvl>
  </w:abstractNum>
  <w:abstractNum w:abstractNumId="2">
    <w:nsid w:val="C334329D"/>
    <w:multiLevelType w:val="singleLevel"/>
    <w:tmpl w:val="C334329D"/>
    <w:lvl w:ilvl="0" w:tentative="0">
      <w:start w:val="1"/>
      <w:numFmt w:val="decimal"/>
      <w:suff w:val="nothing"/>
      <w:lvlText w:val="（%1）"/>
      <w:lvlJc w:val="left"/>
      <w:rPr>
        <w:rFonts w:hint="default"/>
        <w:sz w:val="21"/>
        <w:szCs w:val="21"/>
      </w:rPr>
    </w:lvl>
  </w:abstractNum>
  <w:abstractNum w:abstractNumId="3">
    <w:nsid w:val="D506A225"/>
    <w:multiLevelType w:val="singleLevel"/>
    <w:tmpl w:val="D506A225"/>
    <w:lvl w:ilvl="0" w:tentative="0">
      <w:start w:val="1"/>
      <w:numFmt w:val="decimal"/>
      <w:suff w:val="nothing"/>
      <w:lvlText w:val="%1、"/>
      <w:lvlJc w:val="left"/>
    </w:lvl>
  </w:abstractNum>
  <w:abstractNum w:abstractNumId="4">
    <w:nsid w:val="EB906B9B"/>
    <w:multiLevelType w:val="singleLevel"/>
    <w:tmpl w:val="EB906B9B"/>
    <w:lvl w:ilvl="0" w:tentative="0">
      <w:start w:val="1"/>
      <w:numFmt w:val="chineseCounting"/>
      <w:suff w:val="nothing"/>
      <w:lvlText w:val="（%1）"/>
      <w:lvlJc w:val="left"/>
      <w:pPr>
        <w:ind w:left="0"/>
      </w:pPr>
      <w:rPr>
        <w:rFonts w:hint="eastAsia"/>
        <w:b/>
        <w:bCs/>
        <w:sz w:val="21"/>
        <w:szCs w:val="21"/>
      </w:rPr>
    </w:lvl>
  </w:abstractNum>
  <w:abstractNum w:abstractNumId="5">
    <w:nsid w:val="02716EE0"/>
    <w:multiLevelType w:val="singleLevel"/>
    <w:tmpl w:val="02716EE0"/>
    <w:lvl w:ilvl="0" w:tentative="0">
      <w:start w:val="3"/>
      <w:numFmt w:val="chineseCounting"/>
      <w:suff w:val="nothing"/>
      <w:lvlText w:val="%1、"/>
      <w:lvlJc w:val="left"/>
      <w:rPr>
        <w:rFonts w:hint="eastAsia"/>
      </w:rPr>
    </w:lvl>
  </w:abstractNum>
  <w:abstractNum w:abstractNumId="6">
    <w:nsid w:val="2CF2FAF6"/>
    <w:multiLevelType w:val="singleLevel"/>
    <w:tmpl w:val="2CF2FAF6"/>
    <w:lvl w:ilvl="0" w:tentative="0">
      <w:start w:val="1"/>
      <w:numFmt w:val="bullet"/>
      <w:pStyle w:val="16"/>
      <w:lvlText w:val=""/>
      <w:lvlJc w:val="left"/>
      <w:pPr>
        <w:tabs>
          <w:tab w:val="left" w:pos="2040"/>
        </w:tabs>
        <w:ind w:left="2040" w:hanging="360"/>
      </w:pPr>
      <w:rPr>
        <w:rFonts w:hint="default" w:ascii="Wingdings" w:hAnsi="Wingdings"/>
      </w:rPr>
    </w:lvl>
  </w:abstractNum>
  <w:abstractNum w:abstractNumId="7">
    <w:nsid w:val="41FE8DFA"/>
    <w:multiLevelType w:val="singleLevel"/>
    <w:tmpl w:val="41FE8DFA"/>
    <w:lvl w:ilvl="0" w:tentative="0">
      <w:start w:val="1"/>
      <w:numFmt w:val="decimal"/>
      <w:suff w:val="nothing"/>
      <w:lvlText w:val="（%1）"/>
      <w:lvlJc w:val="left"/>
      <w:rPr>
        <w:rFonts w:hint="default"/>
        <w:b w:val="0"/>
        <w:bCs w:val="0"/>
        <w:sz w:val="21"/>
        <w:szCs w:val="21"/>
      </w:rPr>
    </w:lvl>
  </w:abstractNum>
  <w:abstractNum w:abstractNumId="8">
    <w:nsid w:val="56D65B8A"/>
    <w:multiLevelType w:val="singleLevel"/>
    <w:tmpl w:val="56D65B8A"/>
    <w:lvl w:ilvl="0" w:tentative="0">
      <w:start w:val="1"/>
      <w:numFmt w:val="decimal"/>
      <w:suff w:val="nothing"/>
      <w:lvlText w:val="（%1）"/>
      <w:lvlJc w:val="left"/>
      <w:rPr>
        <w:rFonts w:hint="default" w:ascii="Times New Roman" w:hAnsi="Times New Roman" w:cs="Times New Roman"/>
        <w:sz w:val="21"/>
        <w:szCs w:val="21"/>
      </w:rPr>
    </w:lvl>
  </w:abstractNum>
  <w:abstractNum w:abstractNumId="9">
    <w:nsid w:val="5A61A002"/>
    <w:multiLevelType w:val="singleLevel"/>
    <w:tmpl w:val="5A61A002"/>
    <w:lvl w:ilvl="0" w:tentative="0">
      <w:start w:val="2"/>
      <w:numFmt w:val="decimal"/>
      <w:suff w:val="nothing"/>
      <w:lvlText w:val="%1、"/>
      <w:lvlJc w:val="left"/>
    </w:lvl>
  </w:abstractNum>
  <w:abstractNum w:abstractNumId="10">
    <w:nsid w:val="7B530B83"/>
    <w:multiLevelType w:val="singleLevel"/>
    <w:tmpl w:val="7B530B83"/>
    <w:lvl w:ilvl="0" w:tentative="0">
      <w:start w:val="1"/>
      <w:numFmt w:val="decimal"/>
      <w:suff w:val="nothing"/>
      <w:lvlText w:val="%1、"/>
      <w:lvlJc w:val="left"/>
    </w:lvl>
  </w:abstractNum>
  <w:num w:numId="1">
    <w:abstractNumId w:val="6"/>
  </w:num>
  <w:num w:numId="2">
    <w:abstractNumId w:val="1"/>
  </w:num>
  <w:num w:numId="3">
    <w:abstractNumId w:val="0"/>
  </w:num>
  <w:num w:numId="4">
    <w:abstractNumId w:val="4"/>
  </w:num>
  <w:num w:numId="5">
    <w:abstractNumId w:val="10"/>
  </w:num>
  <w:num w:numId="6">
    <w:abstractNumId w:val="9"/>
  </w:num>
  <w:num w:numId="7">
    <w:abstractNumId w:val="8"/>
  </w:num>
  <w:num w:numId="8">
    <w:abstractNumId w:val="7"/>
  </w:num>
  <w:num w:numId="9">
    <w:abstractNumId w:val="3"/>
  </w:num>
  <w:num w:numId="10">
    <w:abstractNumId w:val="5"/>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doNotHyphenateCaps/>
  <w:drawingGridHorizontalSpacing w:val="105"/>
  <w:drawingGridVerticalSpacing w:val="147"/>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wM2E0NjI4NjZjOGVhODc4NjIyMDNiMWQ3ZWVlY2YifQ=="/>
  </w:docVars>
  <w:rsids>
    <w:rsidRoot w:val="00A14947"/>
    <w:rsid w:val="0000066C"/>
    <w:rsid w:val="0000336A"/>
    <w:rsid w:val="000060B3"/>
    <w:rsid w:val="00032F71"/>
    <w:rsid w:val="0004364B"/>
    <w:rsid w:val="000571AD"/>
    <w:rsid w:val="00061B1F"/>
    <w:rsid w:val="00062CAA"/>
    <w:rsid w:val="0006467F"/>
    <w:rsid w:val="000733C4"/>
    <w:rsid w:val="00074783"/>
    <w:rsid w:val="00077EE4"/>
    <w:rsid w:val="0008070B"/>
    <w:rsid w:val="000810AC"/>
    <w:rsid w:val="00081A02"/>
    <w:rsid w:val="00082231"/>
    <w:rsid w:val="000920E8"/>
    <w:rsid w:val="00092D38"/>
    <w:rsid w:val="0009377B"/>
    <w:rsid w:val="000A01D3"/>
    <w:rsid w:val="000A1296"/>
    <w:rsid w:val="000A20C9"/>
    <w:rsid w:val="000B058F"/>
    <w:rsid w:val="000B4467"/>
    <w:rsid w:val="000B4DB9"/>
    <w:rsid w:val="000C09AC"/>
    <w:rsid w:val="000C2CCC"/>
    <w:rsid w:val="000C767F"/>
    <w:rsid w:val="000D5A44"/>
    <w:rsid w:val="000E3ED2"/>
    <w:rsid w:val="000E7C3D"/>
    <w:rsid w:val="000F20E5"/>
    <w:rsid w:val="00131F42"/>
    <w:rsid w:val="001357F1"/>
    <w:rsid w:val="00140FA8"/>
    <w:rsid w:val="00142FEB"/>
    <w:rsid w:val="00143A2D"/>
    <w:rsid w:val="00145A41"/>
    <w:rsid w:val="0014608B"/>
    <w:rsid w:val="00151675"/>
    <w:rsid w:val="00157435"/>
    <w:rsid w:val="00166586"/>
    <w:rsid w:val="001736AB"/>
    <w:rsid w:val="0017504D"/>
    <w:rsid w:val="0017671A"/>
    <w:rsid w:val="00177422"/>
    <w:rsid w:val="00177602"/>
    <w:rsid w:val="00184590"/>
    <w:rsid w:val="00185266"/>
    <w:rsid w:val="0018587B"/>
    <w:rsid w:val="001870D1"/>
    <w:rsid w:val="0018781E"/>
    <w:rsid w:val="0019262D"/>
    <w:rsid w:val="00195370"/>
    <w:rsid w:val="001A1B35"/>
    <w:rsid w:val="001A3A8C"/>
    <w:rsid w:val="001A48A2"/>
    <w:rsid w:val="001A5FAE"/>
    <w:rsid w:val="001A6F61"/>
    <w:rsid w:val="001B72B8"/>
    <w:rsid w:val="001C69B3"/>
    <w:rsid w:val="001D3254"/>
    <w:rsid w:val="001D5595"/>
    <w:rsid w:val="001D7874"/>
    <w:rsid w:val="001D7F22"/>
    <w:rsid w:val="001F0F17"/>
    <w:rsid w:val="001F1661"/>
    <w:rsid w:val="001F3347"/>
    <w:rsid w:val="001F69E4"/>
    <w:rsid w:val="001F6AEE"/>
    <w:rsid w:val="00207D31"/>
    <w:rsid w:val="002125B4"/>
    <w:rsid w:val="002155B8"/>
    <w:rsid w:val="00224839"/>
    <w:rsid w:val="002249B2"/>
    <w:rsid w:val="00226574"/>
    <w:rsid w:val="002278EC"/>
    <w:rsid w:val="0023280E"/>
    <w:rsid w:val="002377D1"/>
    <w:rsid w:val="002506BC"/>
    <w:rsid w:val="00254345"/>
    <w:rsid w:val="002556F5"/>
    <w:rsid w:val="002561B5"/>
    <w:rsid w:val="00264557"/>
    <w:rsid w:val="002733B7"/>
    <w:rsid w:val="002805AB"/>
    <w:rsid w:val="00284204"/>
    <w:rsid w:val="00291773"/>
    <w:rsid w:val="00296CB7"/>
    <w:rsid w:val="002A168C"/>
    <w:rsid w:val="002A3DC7"/>
    <w:rsid w:val="002A4E9D"/>
    <w:rsid w:val="002B0B9B"/>
    <w:rsid w:val="002B135F"/>
    <w:rsid w:val="002B49E2"/>
    <w:rsid w:val="002B7B00"/>
    <w:rsid w:val="002B7C44"/>
    <w:rsid w:val="002C2B17"/>
    <w:rsid w:val="002D3DD0"/>
    <w:rsid w:val="002D71CF"/>
    <w:rsid w:val="002E0925"/>
    <w:rsid w:val="002E1F3A"/>
    <w:rsid w:val="002E298A"/>
    <w:rsid w:val="002E36B4"/>
    <w:rsid w:val="002E3AD2"/>
    <w:rsid w:val="002E41CE"/>
    <w:rsid w:val="002F460A"/>
    <w:rsid w:val="002F7D56"/>
    <w:rsid w:val="00301978"/>
    <w:rsid w:val="0030332C"/>
    <w:rsid w:val="003051C2"/>
    <w:rsid w:val="00312296"/>
    <w:rsid w:val="00314F0E"/>
    <w:rsid w:val="00317824"/>
    <w:rsid w:val="00321D8E"/>
    <w:rsid w:val="00325928"/>
    <w:rsid w:val="00332863"/>
    <w:rsid w:val="0033559D"/>
    <w:rsid w:val="0033684D"/>
    <w:rsid w:val="00337B42"/>
    <w:rsid w:val="00341B42"/>
    <w:rsid w:val="00342883"/>
    <w:rsid w:val="0034348F"/>
    <w:rsid w:val="00356653"/>
    <w:rsid w:val="0035743F"/>
    <w:rsid w:val="00357BE2"/>
    <w:rsid w:val="0036170C"/>
    <w:rsid w:val="00366E0F"/>
    <w:rsid w:val="00373FD7"/>
    <w:rsid w:val="003812AE"/>
    <w:rsid w:val="00381A72"/>
    <w:rsid w:val="00384676"/>
    <w:rsid w:val="00390857"/>
    <w:rsid w:val="003A4BF3"/>
    <w:rsid w:val="003A5876"/>
    <w:rsid w:val="003B420D"/>
    <w:rsid w:val="003B6505"/>
    <w:rsid w:val="003C6C16"/>
    <w:rsid w:val="003D7586"/>
    <w:rsid w:val="003D794D"/>
    <w:rsid w:val="003E3058"/>
    <w:rsid w:val="003E76A9"/>
    <w:rsid w:val="003F0809"/>
    <w:rsid w:val="003F67CC"/>
    <w:rsid w:val="003F6A8C"/>
    <w:rsid w:val="003F6D64"/>
    <w:rsid w:val="003F755C"/>
    <w:rsid w:val="00406F01"/>
    <w:rsid w:val="0041292D"/>
    <w:rsid w:val="004130AC"/>
    <w:rsid w:val="00413A19"/>
    <w:rsid w:val="00413E75"/>
    <w:rsid w:val="00416D50"/>
    <w:rsid w:val="00416FD5"/>
    <w:rsid w:val="00417772"/>
    <w:rsid w:val="00420E6A"/>
    <w:rsid w:val="00425A9E"/>
    <w:rsid w:val="00426D6B"/>
    <w:rsid w:val="00431E6C"/>
    <w:rsid w:val="00433CE7"/>
    <w:rsid w:val="00435522"/>
    <w:rsid w:val="00437C19"/>
    <w:rsid w:val="00452738"/>
    <w:rsid w:val="00456091"/>
    <w:rsid w:val="00466321"/>
    <w:rsid w:val="00484B9B"/>
    <w:rsid w:val="004855F6"/>
    <w:rsid w:val="0048661E"/>
    <w:rsid w:val="00494670"/>
    <w:rsid w:val="00495907"/>
    <w:rsid w:val="004A36B5"/>
    <w:rsid w:val="004A3823"/>
    <w:rsid w:val="004C1272"/>
    <w:rsid w:val="004E6946"/>
    <w:rsid w:val="004E7936"/>
    <w:rsid w:val="004F1AD8"/>
    <w:rsid w:val="005039CB"/>
    <w:rsid w:val="0050558F"/>
    <w:rsid w:val="00506286"/>
    <w:rsid w:val="00510813"/>
    <w:rsid w:val="00510893"/>
    <w:rsid w:val="00511990"/>
    <w:rsid w:val="00511DE0"/>
    <w:rsid w:val="005142AC"/>
    <w:rsid w:val="00514870"/>
    <w:rsid w:val="00514B9B"/>
    <w:rsid w:val="00517F02"/>
    <w:rsid w:val="00524303"/>
    <w:rsid w:val="005258A2"/>
    <w:rsid w:val="005401AE"/>
    <w:rsid w:val="00542E07"/>
    <w:rsid w:val="00545424"/>
    <w:rsid w:val="0054694D"/>
    <w:rsid w:val="00554A7B"/>
    <w:rsid w:val="0055572C"/>
    <w:rsid w:val="00556149"/>
    <w:rsid w:val="00556C2A"/>
    <w:rsid w:val="0056106A"/>
    <w:rsid w:val="005720AE"/>
    <w:rsid w:val="00577117"/>
    <w:rsid w:val="00594D77"/>
    <w:rsid w:val="005961D4"/>
    <w:rsid w:val="005969E4"/>
    <w:rsid w:val="005A06B7"/>
    <w:rsid w:val="005A1759"/>
    <w:rsid w:val="005A68A7"/>
    <w:rsid w:val="005B5B7B"/>
    <w:rsid w:val="005B5F41"/>
    <w:rsid w:val="005C75C2"/>
    <w:rsid w:val="005D14AB"/>
    <w:rsid w:val="005D36AB"/>
    <w:rsid w:val="005F3321"/>
    <w:rsid w:val="00604024"/>
    <w:rsid w:val="00611046"/>
    <w:rsid w:val="00617CC3"/>
    <w:rsid w:val="00621D1F"/>
    <w:rsid w:val="006377A6"/>
    <w:rsid w:val="00637A3D"/>
    <w:rsid w:val="00640598"/>
    <w:rsid w:val="006411EF"/>
    <w:rsid w:val="00661F74"/>
    <w:rsid w:val="006748B8"/>
    <w:rsid w:val="006775C3"/>
    <w:rsid w:val="0069290A"/>
    <w:rsid w:val="0069775A"/>
    <w:rsid w:val="00697813"/>
    <w:rsid w:val="006A3EE8"/>
    <w:rsid w:val="006A450E"/>
    <w:rsid w:val="006A72BF"/>
    <w:rsid w:val="006B03F2"/>
    <w:rsid w:val="006B37DC"/>
    <w:rsid w:val="006B4F68"/>
    <w:rsid w:val="006C0592"/>
    <w:rsid w:val="006C23E0"/>
    <w:rsid w:val="006C272E"/>
    <w:rsid w:val="006C5479"/>
    <w:rsid w:val="006D13B5"/>
    <w:rsid w:val="006D76C0"/>
    <w:rsid w:val="006E12FF"/>
    <w:rsid w:val="006E607E"/>
    <w:rsid w:val="00704022"/>
    <w:rsid w:val="00706C5D"/>
    <w:rsid w:val="0070787D"/>
    <w:rsid w:val="007149BC"/>
    <w:rsid w:val="00720AF5"/>
    <w:rsid w:val="00732922"/>
    <w:rsid w:val="0075162E"/>
    <w:rsid w:val="00754034"/>
    <w:rsid w:val="00756556"/>
    <w:rsid w:val="007618C4"/>
    <w:rsid w:val="00766085"/>
    <w:rsid w:val="007671D1"/>
    <w:rsid w:val="00767980"/>
    <w:rsid w:val="00770B19"/>
    <w:rsid w:val="0077463F"/>
    <w:rsid w:val="00777310"/>
    <w:rsid w:val="007836EA"/>
    <w:rsid w:val="00784A47"/>
    <w:rsid w:val="00784CDA"/>
    <w:rsid w:val="007906C4"/>
    <w:rsid w:val="007940EA"/>
    <w:rsid w:val="007967E8"/>
    <w:rsid w:val="0079790B"/>
    <w:rsid w:val="007A2170"/>
    <w:rsid w:val="007A22BF"/>
    <w:rsid w:val="007A3323"/>
    <w:rsid w:val="007B72B8"/>
    <w:rsid w:val="007B7A58"/>
    <w:rsid w:val="007C21B5"/>
    <w:rsid w:val="007C6174"/>
    <w:rsid w:val="007D0818"/>
    <w:rsid w:val="007E4BD2"/>
    <w:rsid w:val="00801393"/>
    <w:rsid w:val="00802F88"/>
    <w:rsid w:val="008039EF"/>
    <w:rsid w:val="00804C54"/>
    <w:rsid w:val="0081293E"/>
    <w:rsid w:val="00815465"/>
    <w:rsid w:val="00817E9A"/>
    <w:rsid w:val="008306BD"/>
    <w:rsid w:val="00831A80"/>
    <w:rsid w:val="00833743"/>
    <w:rsid w:val="008340A4"/>
    <w:rsid w:val="00834151"/>
    <w:rsid w:val="008514A9"/>
    <w:rsid w:val="0087135F"/>
    <w:rsid w:val="00872D94"/>
    <w:rsid w:val="008736EC"/>
    <w:rsid w:val="00880364"/>
    <w:rsid w:val="00891592"/>
    <w:rsid w:val="00891E9E"/>
    <w:rsid w:val="008A2F68"/>
    <w:rsid w:val="008B1170"/>
    <w:rsid w:val="008B4FA6"/>
    <w:rsid w:val="008B5282"/>
    <w:rsid w:val="008B7C17"/>
    <w:rsid w:val="008C2023"/>
    <w:rsid w:val="008C2D01"/>
    <w:rsid w:val="008C40E6"/>
    <w:rsid w:val="008D0674"/>
    <w:rsid w:val="008D0F7A"/>
    <w:rsid w:val="008D68E4"/>
    <w:rsid w:val="008E0506"/>
    <w:rsid w:val="008E0CFF"/>
    <w:rsid w:val="008E5D6B"/>
    <w:rsid w:val="008E76F0"/>
    <w:rsid w:val="008F0E6E"/>
    <w:rsid w:val="008F15FE"/>
    <w:rsid w:val="008F2D29"/>
    <w:rsid w:val="008F5187"/>
    <w:rsid w:val="008F60D8"/>
    <w:rsid w:val="00900C50"/>
    <w:rsid w:val="00902727"/>
    <w:rsid w:val="0090312B"/>
    <w:rsid w:val="0091736D"/>
    <w:rsid w:val="00930130"/>
    <w:rsid w:val="0093037A"/>
    <w:rsid w:val="0094092E"/>
    <w:rsid w:val="0094154D"/>
    <w:rsid w:val="0095155F"/>
    <w:rsid w:val="00951E0D"/>
    <w:rsid w:val="00954429"/>
    <w:rsid w:val="009563CE"/>
    <w:rsid w:val="00976328"/>
    <w:rsid w:val="0097680D"/>
    <w:rsid w:val="00982438"/>
    <w:rsid w:val="0098404C"/>
    <w:rsid w:val="00985283"/>
    <w:rsid w:val="00987F3E"/>
    <w:rsid w:val="00995992"/>
    <w:rsid w:val="009A03E5"/>
    <w:rsid w:val="009A0F3B"/>
    <w:rsid w:val="009A1670"/>
    <w:rsid w:val="009A1BB4"/>
    <w:rsid w:val="009A2628"/>
    <w:rsid w:val="009A2DF2"/>
    <w:rsid w:val="009A3200"/>
    <w:rsid w:val="009B0897"/>
    <w:rsid w:val="009B7BD9"/>
    <w:rsid w:val="009C0A7F"/>
    <w:rsid w:val="009C7DD5"/>
    <w:rsid w:val="009E227D"/>
    <w:rsid w:val="009E5019"/>
    <w:rsid w:val="00A04F1B"/>
    <w:rsid w:val="00A0501B"/>
    <w:rsid w:val="00A14947"/>
    <w:rsid w:val="00A32A83"/>
    <w:rsid w:val="00A368DB"/>
    <w:rsid w:val="00A423AA"/>
    <w:rsid w:val="00A449D1"/>
    <w:rsid w:val="00A449FA"/>
    <w:rsid w:val="00A53EC6"/>
    <w:rsid w:val="00A55C0F"/>
    <w:rsid w:val="00A63948"/>
    <w:rsid w:val="00A8713F"/>
    <w:rsid w:val="00A90BA1"/>
    <w:rsid w:val="00A921E1"/>
    <w:rsid w:val="00A95535"/>
    <w:rsid w:val="00A971B7"/>
    <w:rsid w:val="00A97A9A"/>
    <w:rsid w:val="00AA0671"/>
    <w:rsid w:val="00AA2531"/>
    <w:rsid w:val="00AA635E"/>
    <w:rsid w:val="00AB1E09"/>
    <w:rsid w:val="00AB5330"/>
    <w:rsid w:val="00AB7747"/>
    <w:rsid w:val="00AC14CE"/>
    <w:rsid w:val="00AC2A56"/>
    <w:rsid w:val="00AC527A"/>
    <w:rsid w:val="00AC7914"/>
    <w:rsid w:val="00AD055E"/>
    <w:rsid w:val="00AD359C"/>
    <w:rsid w:val="00AD47A7"/>
    <w:rsid w:val="00AF0CBF"/>
    <w:rsid w:val="00AF257F"/>
    <w:rsid w:val="00AF33CF"/>
    <w:rsid w:val="00AF4D50"/>
    <w:rsid w:val="00AF6179"/>
    <w:rsid w:val="00B1295A"/>
    <w:rsid w:val="00B20A45"/>
    <w:rsid w:val="00B22C5C"/>
    <w:rsid w:val="00B24F30"/>
    <w:rsid w:val="00B31ABF"/>
    <w:rsid w:val="00B33BE3"/>
    <w:rsid w:val="00B446F1"/>
    <w:rsid w:val="00B45CD0"/>
    <w:rsid w:val="00B53B5D"/>
    <w:rsid w:val="00B6055E"/>
    <w:rsid w:val="00B62530"/>
    <w:rsid w:val="00B6317D"/>
    <w:rsid w:val="00B71C0A"/>
    <w:rsid w:val="00B77024"/>
    <w:rsid w:val="00B7723F"/>
    <w:rsid w:val="00B77BFB"/>
    <w:rsid w:val="00B80534"/>
    <w:rsid w:val="00B8433C"/>
    <w:rsid w:val="00B87491"/>
    <w:rsid w:val="00B916FA"/>
    <w:rsid w:val="00B971C2"/>
    <w:rsid w:val="00BA29E9"/>
    <w:rsid w:val="00BA39C8"/>
    <w:rsid w:val="00BA7142"/>
    <w:rsid w:val="00BB237C"/>
    <w:rsid w:val="00BB41A3"/>
    <w:rsid w:val="00BB595B"/>
    <w:rsid w:val="00BC32DC"/>
    <w:rsid w:val="00BC35B6"/>
    <w:rsid w:val="00BD0C0C"/>
    <w:rsid w:val="00BD1B51"/>
    <w:rsid w:val="00BD4596"/>
    <w:rsid w:val="00BD7C22"/>
    <w:rsid w:val="00BE1405"/>
    <w:rsid w:val="00BE312D"/>
    <w:rsid w:val="00BF1C20"/>
    <w:rsid w:val="00BF4195"/>
    <w:rsid w:val="00C10578"/>
    <w:rsid w:val="00C135BC"/>
    <w:rsid w:val="00C15C95"/>
    <w:rsid w:val="00C2596A"/>
    <w:rsid w:val="00C27537"/>
    <w:rsid w:val="00C328FE"/>
    <w:rsid w:val="00C33507"/>
    <w:rsid w:val="00C4409D"/>
    <w:rsid w:val="00C44E72"/>
    <w:rsid w:val="00C45A06"/>
    <w:rsid w:val="00C47E5B"/>
    <w:rsid w:val="00C51F28"/>
    <w:rsid w:val="00C53B5C"/>
    <w:rsid w:val="00C54048"/>
    <w:rsid w:val="00C55CAC"/>
    <w:rsid w:val="00C60285"/>
    <w:rsid w:val="00C605B6"/>
    <w:rsid w:val="00C61D02"/>
    <w:rsid w:val="00C61E4B"/>
    <w:rsid w:val="00C64BFF"/>
    <w:rsid w:val="00C704E9"/>
    <w:rsid w:val="00C763C9"/>
    <w:rsid w:val="00C80057"/>
    <w:rsid w:val="00C82232"/>
    <w:rsid w:val="00C82913"/>
    <w:rsid w:val="00C91C89"/>
    <w:rsid w:val="00C972B1"/>
    <w:rsid w:val="00CA2CCE"/>
    <w:rsid w:val="00CA4241"/>
    <w:rsid w:val="00CA43FD"/>
    <w:rsid w:val="00CA7EF8"/>
    <w:rsid w:val="00CC489B"/>
    <w:rsid w:val="00CD2BCD"/>
    <w:rsid w:val="00CD3A4C"/>
    <w:rsid w:val="00CE10E9"/>
    <w:rsid w:val="00CE2910"/>
    <w:rsid w:val="00CE4738"/>
    <w:rsid w:val="00CE5393"/>
    <w:rsid w:val="00CF36BE"/>
    <w:rsid w:val="00CF6000"/>
    <w:rsid w:val="00D003F3"/>
    <w:rsid w:val="00D0364F"/>
    <w:rsid w:val="00D06834"/>
    <w:rsid w:val="00D068DB"/>
    <w:rsid w:val="00D22DD0"/>
    <w:rsid w:val="00D308ED"/>
    <w:rsid w:val="00D36D86"/>
    <w:rsid w:val="00D428AA"/>
    <w:rsid w:val="00D50A34"/>
    <w:rsid w:val="00D53EFA"/>
    <w:rsid w:val="00D94A7C"/>
    <w:rsid w:val="00D95896"/>
    <w:rsid w:val="00D96231"/>
    <w:rsid w:val="00DA54CE"/>
    <w:rsid w:val="00DB12CC"/>
    <w:rsid w:val="00DB2209"/>
    <w:rsid w:val="00DB2983"/>
    <w:rsid w:val="00DC1257"/>
    <w:rsid w:val="00DC3DC0"/>
    <w:rsid w:val="00DC5B2B"/>
    <w:rsid w:val="00DD2D66"/>
    <w:rsid w:val="00DD318D"/>
    <w:rsid w:val="00DD47A2"/>
    <w:rsid w:val="00DF2E12"/>
    <w:rsid w:val="00DF4782"/>
    <w:rsid w:val="00DF514A"/>
    <w:rsid w:val="00DF6690"/>
    <w:rsid w:val="00DF6804"/>
    <w:rsid w:val="00DF77C1"/>
    <w:rsid w:val="00E031E7"/>
    <w:rsid w:val="00E0358D"/>
    <w:rsid w:val="00E04323"/>
    <w:rsid w:val="00E070A2"/>
    <w:rsid w:val="00E074B7"/>
    <w:rsid w:val="00E11F93"/>
    <w:rsid w:val="00E24E0A"/>
    <w:rsid w:val="00E2656A"/>
    <w:rsid w:val="00E412D0"/>
    <w:rsid w:val="00E50149"/>
    <w:rsid w:val="00E56322"/>
    <w:rsid w:val="00E60982"/>
    <w:rsid w:val="00E62C62"/>
    <w:rsid w:val="00E654C1"/>
    <w:rsid w:val="00E65D97"/>
    <w:rsid w:val="00E721A1"/>
    <w:rsid w:val="00E72A5A"/>
    <w:rsid w:val="00E73354"/>
    <w:rsid w:val="00E81872"/>
    <w:rsid w:val="00E832A9"/>
    <w:rsid w:val="00E9242D"/>
    <w:rsid w:val="00E955B0"/>
    <w:rsid w:val="00EA2063"/>
    <w:rsid w:val="00EA39F0"/>
    <w:rsid w:val="00EA56BC"/>
    <w:rsid w:val="00EB5255"/>
    <w:rsid w:val="00EB5C47"/>
    <w:rsid w:val="00ED0639"/>
    <w:rsid w:val="00EE1F2A"/>
    <w:rsid w:val="00EF4755"/>
    <w:rsid w:val="00EF4830"/>
    <w:rsid w:val="00EF7135"/>
    <w:rsid w:val="00F027DB"/>
    <w:rsid w:val="00F14A7A"/>
    <w:rsid w:val="00F22985"/>
    <w:rsid w:val="00F31B0A"/>
    <w:rsid w:val="00F3383E"/>
    <w:rsid w:val="00F350D5"/>
    <w:rsid w:val="00F465A7"/>
    <w:rsid w:val="00F50B7C"/>
    <w:rsid w:val="00F550E6"/>
    <w:rsid w:val="00F72CA9"/>
    <w:rsid w:val="00F74345"/>
    <w:rsid w:val="00F80A0A"/>
    <w:rsid w:val="00F81ACC"/>
    <w:rsid w:val="00F82B19"/>
    <w:rsid w:val="00F9212D"/>
    <w:rsid w:val="00F94CA3"/>
    <w:rsid w:val="00F965DA"/>
    <w:rsid w:val="00F96DF7"/>
    <w:rsid w:val="00FA406A"/>
    <w:rsid w:val="00FB503A"/>
    <w:rsid w:val="00FB516C"/>
    <w:rsid w:val="00FD0236"/>
    <w:rsid w:val="00FD18F4"/>
    <w:rsid w:val="00FD54DB"/>
    <w:rsid w:val="00FD619F"/>
    <w:rsid w:val="00FF6BA2"/>
    <w:rsid w:val="01140E7E"/>
    <w:rsid w:val="01290F7E"/>
    <w:rsid w:val="01394B68"/>
    <w:rsid w:val="015D1E09"/>
    <w:rsid w:val="015E64F1"/>
    <w:rsid w:val="01972DA1"/>
    <w:rsid w:val="01CA3F1A"/>
    <w:rsid w:val="01F40F97"/>
    <w:rsid w:val="020F3107"/>
    <w:rsid w:val="021F4265"/>
    <w:rsid w:val="02697903"/>
    <w:rsid w:val="028C75EE"/>
    <w:rsid w:val="02C20B3D"/>
    <w:rsid w:val="02D47C60"/>
    <w:rsid w:val="02F96569"/>
    <w:rsid w:val="033B7053"/>
    <w:rsid w:val="039553F7"/>
    <w:rsid w:val="03AD538D"/>
    <w:rsid w:val="03CA6453"/>
    <w:rsid w:val="03EA7B21"/>
    <w:rsid w:val="03FD0E3E"/>
    <w:rsid w:val="04716A31"/>
    <w:rsid w:val="047B4A35"/>
    <w:rsid w:val="0488407F"/>
    <w:rsid w:val="04B309B9"/>
    <w:rsid w:val="04E82540"/>
    <w:rsid w:val="05031C1C"/>
    <w:rsid w:val="05251A6A"/>
    <w:rsid w:val="053533D2"/>
    <w:rsid w:val="05595040"/>
    <w:rsid w:val="05CE4DED"/>
    <w:rsid w:val="05F83EAE"/>
    <w:rsid w:val="063E7D85"/>
    <w:rsid w:val="065A3ABE"/>
    <w:rsid w:val="067454D1"/>
    <w:rsid w:val="06AA425C"/>
    <w:rsid w:val="07293586"/>
    <w:rsid w:val="07295285"/>
    <w:rsid w:val="07406C58"/>
    <w:rsid w:val="07636392"/>
    <w:rsid w:val="07770C56"/>
    <w:rsid w:val="0783581C"/>
    <w:rsid w:val="07B54D24"/>
    <w:rsid w:val="07E20710"/>
    <w:rsid w:val="08076C46"/>
    <w:rsid w:val="0865674A"/>
    <w:rsid w:val="09093579"/>
    <w:rsid w:val="091C2AA6"/>
    <w:rsid w:val="092217DD"/>
    <w:rsid w:val="092C7268"/>
    <w:rsid w:val="093A7294"/>
    <w:rsid w:val="096212EC"/>
    <w:rsid w:val="09B63701"/>
    <w:rsid w:val="09DE0562"/>
    <w:rsid w:val="0A263993"/>
    <w:rsid w:val="0A2D3AC2"/>
    <w:rsid w:val="0AA755DF"/>
    <w:rsid w:val="0AAF7C27"/>
    <w:rsid w:val="0AB84394"/>
    <w:rsid w:val="0AC951B5"/>
    <w:rsid w:val="0ACB31DC"/>
    <w:rsid w:val="0B120D44"/>
    <w:rsid w:val="0B185CF6"/>
    <w:rsid w:val="0B9E2CE4"/>
    <w:rsid w:val="0BCE34B0"/>
    <w:rsid w:val="0BD27BF6"/>
    <w:rsid w:val="0BFE4EEC"/>
    <w:rsid w:val="0C283BE1"/>
    <w:rsid w:val="0C3B3C7D"/>
    <w:rsid w:val="0C987F83"/>
    <w:rsid w:val="0CAB2EAE"/>
    <w:rsid w:val="0CCF4ADA"/>
    <w:rsid w:val="0CDE4538"/>
    <w:rsid w:val="0D0812F9"/>
    <w:rsid w:val="0D297D31"/>
    <w:rsid w:val="0D3F3B5F"/>
    <w:rsid w:val="0D5D5C42"/>
    <w:rsid w:val="0D621C7D"/>
    <w:rsid w:val="0D892EDB"/>
    <w:rsid w:val="0DF7750B"/>
    <w:rsid w:val="0E2C2C51"/>
    <w:rsid w:val="0E303724"/>
    <w:rsid w:val="0E3F7AD3"/>
    <w:rsid w:val="0E73034D"/>
    <w:rsid w:val="0E9D4E90"/>
    <w:rsid w:val="0EED0B33"/>
    <w:rsid w:val="0F101948"/>
    <w:rsid w:val="0F13775A"/>
    <w:rsid w:val="0F5F2CF1"/>
    <w:rsid w:val="0F5F45FE"/>
    <w:rsid w:val="0F87344A"/>
    <w:rsid w:val="0F9A112B"/>
    <w:rsid w:val="0FDF3286"/>
    <w:rsid w:val="0FF65C58"/>
    <w:rsid w:val="10127669"/>
    <w:rsid w:val="10216877"/>
    <w:rsid w:val="10404DAA"/>
    <w:rsid w:val="106946AB"/>
    <w:rsid w:val="106D2F64"/>
    <w:rsid w:val="109750FF"/>
    <w:rsid w:val="10B63710"/>
    <w:rsid w:val="10C67501"/>
    <w:rsid w:val="10CA7A92"/>
    <w:rsid w:val="10CF44B2"/>
    <w:rsid w:val="10D36ADF"/>
    <w:rsid w:val="10EE15BB"/>
    <w:rsid w:val="10F10820"/>
    <w:rsid w:val="11194FA2"/>
    <w:rsid w:val="111C2F7A"/>
    <w:rsid w:val="11440F0C"/>
    <w:rsid w:val="11665CA1"/>
    <w:rsid w:val="11EB7CC0"/>
    <w:rsid w:val="120F50C3"/>
    <w:rsid w:val="121800DC"/>
    <w:rsid w:val="126B6A34"/>
    <w:rsid w:val="12A96957"/>
    <w:rsid w:val="133A2B6A"/>
    <w:rsid w:val="13581385"/>
    <w:rsid w:val="13951726"/>
    <w:rsid w:val="13DD7B39"/>
    <w:rsid w:val="14151024"/>
    <w:rsid w:val="14396509"/>
    <w:rsid w:val="145E6682"/>
    <w:rsid w:val="147A17CF"/>
    <w:rsid w:val="14DD2C3C"/>
    <w:rsid w:val="152A69E8"/>
    <w:rsid w:val="157A0C6B"/>
    <w:rsid w:val="16087E1D"/>
    <w:rsid w:val="161C05C8"/>
    <w:rsid w:val="16C26FDF"/>
    <w:rsid w:val="16D60AF3"/>
    <w:rsid w:val="16ED6F5A"/>
    <w:rsid w:val="171001C9"/>
    <w:rsid w:val="173B3B66"/>
    <w:rsid w:val="17424065"/>
    <w:rsid w:val="1754026C"/>
    <w:rsid w:val="17701D14"/>
    <w:rsid w:val="17735226"/>
    <w:rsid w:val="17DC33B7"/>
    <w:rsid w:val="183F19CD"/>
    <w:rsid w:val="189F624C"/>
    <w:rsid w:val="18B057C0"/>
    <w:rsid w:val="19061883"/>
    <w:rsid w:val="191021E8"/>
    <w:rsid w:val="19672A44"/>
    <w:rsid w:val="19886611"/>
    <w:rsid w:val="199C32F4"/>
    <w:rsid w:val="199D2CC2"/>
    <w:rsid w:val="19A36863"/>
    <w:rsid w:val="19A63C6D"/>
    <w:rsid w:val="19BF3297"/>
    <w:rsid w:val="19F07A9A"/>
    <w:rsid w:val="1A1C66C0"/>
    <w:rsid w:val="1A42393B"/>
    <w:rsid w:val="1AAD45DE"/>
    <w:rsid w:val="1ADA276D"/>
    <w:rsid w:val="1AF02C30"/>
    <w:rsid w:val="1B046F80"/>
    <w:rsid w:val="1B304996"/>
    <w:rsid w:val="1B3267B5"/>
    <w:rsid w:val="1B3A5814"/>
    <w:rsid w:val="1B40161D"/>
    <w:rsid w:val="1B441859"/>
    <w:rsid w:val="1B6606B1"/>
    <w:rsid w:val="1C4526C3"/>
    <w:rsid w:val="1C5E7925"/>
    <w:rsid w:val="1C8E278A"/>
    <w:rsid w:val="1CB05D8E"/>
    <w:rsid w:val="1CFD070F"/>
    <w:rsid w:val="1D4D5CD3"/>
    <w:rsid w:val="1D5F5A06"/>
    <w:rsid w:val="1D5F6196"/>
    <w:rsid w:val="1D6132A5"/>
    <w:rsid w:val="1D8E56D5"/>
    <w:rsid w:val="1DA5166B"/>
    <w:rsid w:val="1DE877AA"/>
    <w:rsid w:val="1E794C5F"/>
    <w:rsid w:val="1E7A43DA"/>
    <w:rsid w:val="1E985CED"/>
    <w:rsid w:val="1ECB5101"/>
    <w:rsid w:val="1ECB7FF0"/>
    <w:rsid w:val="1F1817FE"/>
    <w:rsid w:val="1F4B2433"/>
    <w:rsid w:val="1F8C6BB9"/>
    <w:rsid w:val="1F923E71"/>
    <w:rsid w:val="1FB060A5"/>
    <w:rsid w:val="1FD7684A"/>
    <w:rsid w:val="1FE7539E"/>
    <w:rsid w:val="1FE875A6"/>
    <w:rsid w:val="1FF72FD2"/>
    <w:rsid w:val="20671BE0"/>
    <w:rsid w:val="20916E2E"/>
    <w:rsid w:val="20963CB8"/>
    <w:rsid w:val="20A81A1B"/>
    <w:rsid w:val="20B07FB6"/>
    <w:rsid w:val="20B646FB"/>
    <w:rsid w:val="20C648C8"/>
    <w:rsid w:val="20F464DE"/>
    <w:rsid w:val="213B74B1"/>
    <w:rsid w:val="215A2310"/>
    <w:rsid w:val="21847B4C"/>
    <w:rsid w:val="21AA2DCA"/>
    <w:rsid w:val="21CC3AE0"/>
    <w:rsid w:val="21DE318A"/>
    <w:rsid w:val="21EE0A72"/>
    <w:rsid w:val="21EF5B80"/>
    <w:rsid w:val="222629F9"/>
    <w:rsid w:val="22576990"/>
    <w:rsid w:val="2297354C"/>
    <w:rsid w:val="22AC5148"/>
    <w:rsid w:val="22F47480"/>
    <w:rsid w:val="231E4CA2"/>
    <w:rsid w:val="23244DE0"/>
    <w:rsid w:val="234E1AD8"/>
    <w:rsid w:val="23CE0098"/>
    <w:rsid w:val="23DE1C48"/>
    <w:rsid w:val="23F16A49"/>
    <w:rsid w:val="240210CD"/>
    <w:rsid w:val="24BF09F7"/>
    <w:rsid w:val="24EA41EA"/>
    <w:rsid w:val="250255F5"/>
    <w:rsid w:val="252D53FE"/>
    <w:rsid w:val="255B5A58"/>
    <w:rsid w:val="25801376"/>
    <w:rsid w:val="25CE0130"/>
    <w:rsid w:val="25DF55C7"/>
    <w:rsid w:val="25EC2D81"/>
    <w:rsid w:val="267918E7"/>
    <w:rsid w:val="268B10B2"/>
    <w:rsid w:val="26955D63"/>
    <w:rsid w:val="26B008DD"/>
    <w:rsid w:val="26BE379D"/>
    <w:rsid w:val="27283690"/>
    <w:rsid w:val="276C4FA7"/>
    <w:rsid w:val="277057A2"/>
    <w:rsid w:val="27A3634D"/>
    <w:rsid w:val="27D0143D"/>
    <w:rsid w:val="27F2012E"/>
    <w:rsid w:val="28416434"/>
    <w:rsid w:val="285A17F4"/>
    <w:rsid w:val="287C26D1"/>
    <w:rsid w:val="28813F02"/>
    <w:rsid w:val="28FA22B5"/>
    <w:rsid w:val="290336EA"/>
    <w:rsid w:val="29077CD5"/>
    <w:rsid w:val="29206EB8"/>
    <w:rsid w:val="29487234"/>
    <w:rsid w:val="29595666"/>
    <w:rsid w:val="29874881"/>
    <w:rsid w:val="29D15596"/>
    <w:rsid w:val="29E325E0"/>
    <w:rsid w:val="29F00112"/>
    <w:rsid w:val="2A452503"/>
    <w:rsid w:val="2A9071FF"/>
    <w:rsid w:val="2AA36F32"/>
    <w:rsid w:val="2AA44A58"/>
    <w:rsid w:val="2AD3717C"/>
    <w:rsid w:val="2AED2549"/>
    <w:rsid w:val="2B7B0382"/>
    <w:rsid w:val="2B8531C1"/>
    <w:rsid w:val="2BA3232E"/>
    <w:rsid w:val="2BA85A41"/>
    <w:rsid w:val="2BA936A8"/>
    <w:rsid w:val="2BB561F8"/>
    <w:rsid w:val="2BD132C4"/>
    <w:rsid w:val="2C11611D"/>
    <w:rsid w:val="2C315A5A"/>
    <w:rsid w:val="2C490D8F"/>
    <w:rsid w:val="2C4B1C25"/>
    <w:rsid w:val="2C507E91"/>
    <w:rsid w:val="2D143D8B"/>
    <w:rsid w:val="2D2415E2"/>
    <w:rsid w:val="2D3D76F4"/>
    <w:rsid w:val="2D7C1CBC"/>
    <w:rsid w:val="2D9E56F5"/>
    <w:rsid w:val="2DD0288A"/>
    <w:rsid w:val="2DFA7C36"/>
    <w:rsid w:val="2DFD3158"/>
    <w:rsid w:val="2E1819E5"/>
    <w:rsid w:val="2E36046C"/>
    <w:rsid w:val="2E667F96"/>
    <w:rsid w:val="2E8226AB"/>
    <w:rsid w:val="2EC456C9"/>
    <w:rsid w:val="2F0324FC"/>
    <w:rsid w:val="2F12634A"/>
    <w:rsid w:val="2F253BE6"/>
    <w:rsid w:val="2F9C03F4"/>
    <w:rsid w:val="2F9F7A4B"/>
    <w:rsid w:val="2FD065E6"/>
    <w:rsid w:val="2FD96870"/>
    <w:rsid w:val="2FFE5D39"/>
    <w:rsid w:val="300F4118"/>
    <w:rsid w:val="30185CCC"/>
    <w:rsid w:val="30580BC9"/>
    <w:rsid w:val="310B5831"/>
    <w:rsid w:val="311E2ED7"/>
    <w:rsid w:val="315619EE"/>
    <w:rsid w:val="315C449C"/>
    <w:rsid w:val="31683980"/>
    <w:rsid w:val="31B21068"/>
    <w:rsid w:val="31B82709"/>
    <w:rsid w:val="31D05482"/>
    <w:rsid w:val="31DC0F7C"/>
    <w:rsid w:val="321D4E26"/>
    <w:rsid w:val="3227588C"/>
    <w:rsid w:val="32400B34"/>
    <w:rsid w:val="325D6EAE"/>
    <w:rsid w:val="329E6876"/>
    <w:rsid w:val="32B211B6"/>
    <w:rsid w:val="32C267D5"/>
    <w:rsid w:val="32DA790F"/>
    <w:rsid w:val="33020371"/>
    <w:rsid w:val="333015F2"/>
    <w:rsid w:val="334B6320"/>
    <w:rsid w:val="33640E21"/>
    <w:rsid w:val="339273DB"/>
    <w:rsid w:val="33D934D4"/>
    <w:rsid w:val="33F24A86"/>
    <w:rsid w:val="33FE2F6A"/>
    <w:rsid w:val="340E07E5"/>
    <w:rsid w:val="34235BF7"/>
    <w:rsid w:val="34346E4D"/>
    <w:rsid w:val="34533777"/>
    <w:rsid w:val="34827C93"/>
    <w:rsid w:val="34F17D24"/>
    <w:rsid w:val="354002FE"/>
    <w:rsid w:val="354C3C5F"/>
    <w:rsid w:val="355C3954"/>
    <w:rsid w:val="358C5FA8"/>
    <w:rsid w:val="35B96D51"/>
    <w:rsid w:val="35C15DF1"/>
    <w:rsid w:val="36074A7F"/>
    <w:rsid w:val="3618542D"/>
    <w:rsid w:val="36746D85"/>
    <w:rsid w:val="36923549"/>
    <w:rsid w:val="36B75FBF"/>
    <w:rsid w:val="36BD0C45"/>
    <w:rsid w:val="36E25A28"/>
    <w:rsid w:val="37040D59"/>
    <w:rsid w:val="37082C4E"/>
    <w:rsid w:val="3717301E"/>
    <w:rsid w:val="374B4BD9"/>
    <w:rsid w:val="376E3CF7"/>
    <w:rsid w:val="378153AC"/>
    <w:rsid w:val="37CC35F9"/>
    <w:rsid w:val="37E00298"/>
    <w:rsid w:val="38015BA2"/>
    <w:rsid w:val="38B302F9"/>
    <w:rsid w:val="38F12CD3"/>
    <w:rsid w:val="38F94775"/>
    <w:rsid w:val="392971ED"/>
    <w:rsid w:val="392C4597"/>
    <w:rsid w:val="39325651"/>
    <w:rsid w:val="39842966"/>
    <w:rsid w:val="39D5468F"/>
    <w:rsid w:val="3A0010DD"/>
    <w:rsid w:val="3A017F46"/>
    <w:rsid w:val="3A217E73"/>
    <w:rsid w:val="3A4E4336"/>
    <w:rsid w:val="3A672ED4"/>
    <w:rsid w:val="3A872856"/>
    <w:rsid w:val="3B3763D1"/>
    <w:rsid w:val="3B427C59"/>
    <w:rsid w:val="3BDD601C"/>
    <w:rsid w:val="3C2F6E1E"/>
    <w:rsid w:val="3C4F64BA"/>
    <w:rsid w:val="3C7B08D8"/>
    <w:rsid w:val="3CB41797"/>
    <w:rsid w:val="3CDA245A"/>
    <w:rsid w:val="3D096FF7"/>
    <w:rsid w:val="3D1E06B7"/>
    <w:rsid w:val="3D3659E4"/>
    <w:rsid w:val="3D473EB5"/>
    <w:rsid w:val="3DE949A7"/>
    <w:rsid w:val="3DFC681A"/>
    <w:rsid w:val="3EBC016B"/>
    <w:rsid w:val="3EDA0523"/>
    <w:rsid w:val="3EF15791"/>
    <w:rsid w:val="3F402B4A"/>
    <w:rsid w:val="3F5A28C3"/>
    <w:rsid w:val="3F6A6134"/>
    <w:rsid w:val="3FA224F4"/>
    <w:rsid w:val="3FAD5B71"/>
    <w:rsid w:val="3FDB1B3D"/>
    <w:rsid w:val="40132924"/>
    <w:rsid w:val="40374367"/>
    <w:rsid w:val="404020EE"/>
    <w:rsid w:val="407A6407"/>
    <w:rsid w:val="40820B69"/>
    <w:rsid w:val="40864180"/>
    <w:rsid w:val="40A23390"/>
    <w:rsid w:val="40FD3DB9"/>
    <w:rsid w:val="411A73CB"/>
    <w:rsid w:val="413B181B"/>
    <w:rsid w:val="41D821A9"/>
    <w:rsid w:val="41E02395"/>
    <w:rsid w:val="41EE0F83"/>
    <w:rsid w:val="4200449D"/>
    <w:rsid w:val="422C3774"/>
    <w:rsid w:val="423A3BCC"/>
    <w:rsid w:val="424E57D2"/>
    <w:rsid w:val="425608D6"/>
    <w:rsid w:val="425F48FB"/>
    <w:rsid w:val="4265277D"/>
    <w:rsid w:val="428E514A"/>
    <w:rsid w:val="42993CB2"/>
    <w:rsid w:val="42B26C49"/>
    <w:rsid w:val="43013CB0"/>
    <w:rsid w:val="432C57C7"/>
    <w:rsid w:val="433A6FE6"/>
    <w:rsid w:val="43480868"/>
    <w:rsid w:val="4350713C"/>
    <w:rsid w:val="436653E0"/>
    <w:rsid w:val="4392187A"/>
    <w:rsid w:val="43C4431A"/>
    <w:rsid w:val="440365F4"/>
    <w:rsid w:val="44AC3AD9"/>
    <w:rsid w:val="44B951CC"/>
    <w:rsid w:val="44C044A3"/>
    <w:rsid w:val="44C10EB8"/>
    <w:rsid w:val="44CD14E0"/>
    <w:rsid w:val="44EF0545"/>
    <w:rsid w:val="44F20B0B"/>
    <w:rsid w:val="450D34CE"/>
    <w:rsid w:val="452E5F4C"/>
    <w:rsid w:val="452F5B3A"/>
    <w:rsid w:val="45612018"/>
    <w:rsid w:val="45726746"/>
    <w:rsid w:val="458946E9"/>
    <w:rsid w:val="4590058E"/>
    <w:rsid w:val="45A47C0E"/>
    <w:rsid w:val="45A8769B"/>
    <w:rsid w:val="464E55E9"/>
    <w:rsid w:val="46577FD6"/>
    <w:rsid w:val="468B1848"/>
    <w:rsid w:val="46A63BDA"/>
    <w:rsid w:val="46D955A7"/>
    <w:rsid w:val="47133957"/>
    <w:rsid w:val="475950F1"/>
    <w:rsid w:val="47A07E0C"/>
    <w:rsid w:val="47CF7161"/>
    <w:rsid w:val="48425B85"/>
    <w:rsid w:val="486F3B0A"/>
    <w:rsid w:val="4870272E"/>
    <w:rsid w:val="488F1278"/>
    <w:rsid w:val="48B6334D"/>
    <w:rsid w:val="4963475C"/>
    <w:rsid w:val="49B4598E"/>
    <w:rsid w:val="49DC7715"/>
    <w:rsid w:val="4A023139"/>
    <w:rsid w:val="4A7B576F"/>
    <w:rsid w:val="4AF561A9"/>
    <w:rsid w:val="4B285ACA"/>
    <w:rsid w:val="4B2B2900"/>
    <w:rsid w:val="4B4B5210"/>
    <w:rsid w:val="4B4E3966"/>
    <w:rsid w:val="4B702839"/>
    <w:rsid w:val="4BBC5C4E"/>
    <w:rsid w:val="4BDC339D"/>
    <w:rsid w:val="4C241745"/>
    <w:rsid w:val="4C3F31DB"/>
    <w:rsid w:val="4C4A0649"/>
    <w:rsid w:val="4C7E5ECA"/>
    <w:rsid w:val="4C876AA5"/>
    <w:rsid w:val="4CA46E0E"/>
    <w:rsid w:val="4CBC1DD2"/>
    <w:rsid w:val="4CDF0219"/>
    <w:rsid w:val="4D0E00FB"/>
    <w:rsid w:val="4D176606"/>
    <w:rsid w:val="4DA44426"/>
    <w:rsid w:val="4DDF37FE"/>
    <w:rsid w:val="4DEC0517"/>
    <w:rsid w:val="4DEC4FB0"/>
    <w:rsid w:val="4E075D8A"/>
    <w:rsid w:val="4E7919B3"/>
    <w:rsid w:val="4E7D7D9C"/>
    <w:rsid w:val="4E810A89"/>
    <w:rsid w:val="4E834C48"/>
    <w:rsid w:val="4E8D383F"/>
    <w:rsid w:val="4EC00FAD"/>
    <w:rsid w:val="4F2C522D"/>
    <w:rsid w:val="4F2E6E63"/>
    <w:rsid w:val="4F9843DC"/>
    <w:rsid w:val="4F9E6F93"/>
    <w:rsid w:val="4FC62A8C"/>
    <w:rsid w:val="4FCD667C"/>
    <w:rsid w:val="4FE20F0D"/>
    <w:rsid w:val="4FE51552"/>
    <w:rsid w:val="502E071A"/>
    <w:rsid w:val="50504C4B"/>
    <w:rsid w:val="509C6E7C"/>
    <w:rsid w:val="50AA3D32"/>
    <w:rsid w:val="50ED162C"/>
    <w:rsid w:val="5162104E"/>
    <w:rsid w:val="519C2211"/>
    <w:rsid w:val="51EB4B97"/>
    <w:rsid w:val="53545E36"/>
    <w:rsid w:val="5358479D"/>
    <w:rsid w:val="5394300C"/>
    <w:rsid w:val="53A039CC"/>
    <w:rsid w:val="53A1505A"/>
    <w:rsid w:val="53B467D5"/>
    <w:rsid w:val="53E55257"/>
    <w:rsid w:val="54063E08"/>
    <w:rsid w:val="54194925"/>
    <w:rsid w:val="54255135"/>
    <w:rsid w:val="543437E8"/>
    <w:rsid w:val="545253A1"/>
    <w:rsid w:val="54C952DA"/>
    <w:rsid w:val="54E50C68"/>
    <w:rsid w:val="54F73313"/>
    <w:rsid w:val="54F80955"/>
    <w:rsid w:val="550D3076"/>
    <w:rsid w:val="554A067A"/>
    <w:rsid w:val="555170A7"/>
    <w:rsid w:val="556553EC"/>
    <w:rsid w:val="5567446B"/>
    <w:rsid w:val="556A25D3"/>
    <w:rsid w:val="5587536D"/>
    <w:rsid w:val="558F7F2F"/>
    <w:rsid w:val="559B174B"/>
    <w:rsid w:val="55CE0CF4"/>
    <w:rsid w:val="55E51B4C"/>
    <w:rsid w:val="56165DBA"/>
    <w:rsid w:val="56B22A9C"/>
    <w:rsid w:val="572F19CA"/>
    <w:rsid w:val="57B72A76"/>
    <w:rsid w:val="57C3426C"/>
    <w:rsid w:val="57CE1F93"/>
    <w:rsid w:val="57F66683"/>
    <w:rsid w:val="58650AA4"/>
    <w:rsid w:val="588743D1"/>
    <w:rsid w:val="5887701A"/>
    <w:rsid w:val="58BC5B3B"/>
    <w:rsid w:val="58CE6FC1"/>
    <w:rsid w:val="58EE6BB1"/>
    <w:rsid w:val="59505C28"/>
    <w:rsid w:val="595D3C62"/>
    <w:rsid w:val="59743DFA"/>
    <w:rsid w:val="599F1246"/>
    <w:rsid w:val="59BE7035"/>
    <w:rsid w:val="59C0439F"/>
    <w:rsid w:val="59D625D1"/>
    <w:rsid w:val="59E80564"/>
    <w:rsid w:val="5AAD7D95"/>
    <w:rsid w:val="5ABE2233"/>
    <w:rsid w:val="5B13765C"/>
    <w:rsid w:val="5B263080"/>
    <w:rsid w:val="5B317B51"/>
    <w:rsid w:val="5B370E4D"/>
    <w:rsid w:val="5BDF5D95"/>
    <w:rsid w:val="5BF46D3E"/>
    <w:rsid w:val="5BFE7528"/>
    <w:rsid w:val="5C1D4F35"/>
    <w:rsid w:val="5C5504D2"/>
    <w:rsid w:val="5D7F3645"/>
    <w:rsid w:val="5DD60DF1"/>
    <w:rsid w:val="5DED53C4"/>
    <w:rsid w:val="5DFE20F6"/>
    <w:rsid w:val="5E0771FD"/>
    <w:rsid w:val="5E2467F1"/>
    <w:rsid w:val="5E3B0C54"/>
    <w:rsid w:val="5E4A533B"/>
    <w:rsid w:val="5EAF519E"/>
    <w:rsid w:val="5F1A2B43"/>
    <w:rsid w:val="5F291708"/>
    <w:rsid w:val="5F737CCD"/>
    <w:rsid w:val="5FB837BB"/>
    <w:rsid w:val="5FD70E51"/>
    <w:rsid w:val="5FEB6F96"/>
    <w:rsid w:val="602C53F0"/>
    <w:rsid w:val="60877D0E"/>
    <w:rsid w:val="60CC405A"/>
    <w:rsid w:val="6118527D"/>
    <w:rsid w:val="61630BEE"/>
    <w:rsid w:val="61E215D8"/>
    <w:rsid w:val="61E30D76"/>
    <w:rsid w:val="61EF4933"/>
    <w:rsid w:val="620852F1"/>
    <w:rsid w:val="620D0B5A"/>
    <w:rsid w:val="621B3775"/>
    <w:rsid w:val="62364782"/>
    <w:rsid w:val="62477B9F"/>
    <w:rsid w:val="638E7DFC"/>
    <w:rsid w:val="6394356A"/>
    <w:rsid w:val="63A1333E"/>
    <w:rsid w:val="63B6645A"/>
    <w:rsid w:val="63C61B2C"/>
    <w:rsid w:val="63D13D8E"/>
    <w:rsid w:val="63D40BE9"/>
    <w:rsid w:val="64102431"/>
    <w:rsid w:val="644B15A1"/>
    <w:rsid w:val="64754794"/>
    <w:rsid w:val="64A5243A"/>
    <w:rsid w:val="64AD404D"/>
    <w:rsid w:val="64E060B2"/>
    <w:rsid w:val="64F531DE"/>
    <w:rsid w:val="651A78D9"/>
    <w:rsid w:val="65373578"/>
    <w:rsid w:val="654769A9"/>
    <w:rsid w:val="65870C23"/>
    <w:rsid w:val="65B23EF2"/>
    <w:rsid w:val="6635163D"/>
    <w:rsid w:val="663C37BC"/>
    <w:rsid w:val="66415870"/>
    <w:rsid w:val="66BC66AA"/>
    <w:rsid w:val="66C81626"/>
    <w:rsid w:val="66CD447C"/>
    <w:rsid w:val="66E55C01"/>
    <w:rsid w:val="671F124A"/>
    <w:rsid w:val="677A33C6"/>
    <w:rsid w:val="67963F58"/>
    <w:rsid w:val="681F6961"/>
    <w:rsid w:val="68353276"/>
    <w:rsid w:val="68610A2F"/>
    <w:rsid w:val="68805514"/>
    <w:rsid w:val="68C14E04"/>
    <w:rsid w:val="68F6059A"/>
    <w:rsid w:val="69316E2F"/>
    <w:rsid w:val="694E2071"/>
    <w:rsid w:val="69766163"/>
    <w:rsid w:val="697A3B33"/>
    <w:rsid w:val="69886D18"/>
    <w:rsid w:val="69C86B40"/>
    <w:rsid w:val="69D44760"/>
    <w:rsid w:val="6A325C74"/>
    <w:rsid w:val="6A520EC7"/>
    <w:rsid w:val="6A7A48B2"/>
    <w:rsid w:val="6A9B4DDF"/>
    <w:rsid w:val="6AF87E20"/>
    <w:rsid w:val="6B2D196D"/>
    <w:rsid w:val="6B322639"/>
    <w:rsid w:val="6B7457A6"/>
    <w:rsid w:val="6BCA44CA"/>
    <w:rsid w:val="6BED2700"/>
    <w:rsid w:val="6BF6265F"/>
    <w:rsid w:val="6BF87317"/>
    <w:rsid w:val="6C636C38"/>
    <w:rsid w:val="6C711CE5"/>
    <w:rsid w:val="6CC9524D"/>
    <w:rsid w:val="6DB31332"/>
    <w:rsid w:val="6DB34098"/>
    <w:rsid w:val="6DB545B6"/>
    <w:rsid w:val="6DD06435"/>
    <w:rsid w:val="6DE02FB4"/>
    <w:rsid w:val="6E245261"/>
    <w:rsid w:val="6E4877A3"/>
    <w:rsid w:val="6E514CED"/>
    <w:rsid w:val="6E554D17"/>
    <w:rsid w:val="6E6F5420"/>
    <w:rsid w:val="6E7170AF"/>
    <w:rsid w:val="6EA606F0"/>
    <w:rsid w:val="6EB563D5"/>
    <w:rsid w:val="6ED92677"/>
    <w:rsid w:val="6F047C3F"/>
    <w:rsid w:val="6F225983"/>
    <w:rsid w:val="6F2B261F"/>
    <w:rsid w:val="6F593630"/>
    <w:rsid w:val="6F6D49E6"/>
    <w:rsid w:val="6FA13469"/>
    <w:rsid w:val="6FAB550E"/>
    <w:rsid w:val="6FBE7937"/>
    <w:rsid w:val="6FDB5DF3"/>
    <w:rsid w:val="6FFC5590"/>
    <w:rsid w:val="701856B8"/>
    <w:rsid w:val="706D1DD0"/>
    <w:rsid w:val="70856B87"/>
    <w:rsid w:val="70D527EE"/>
    <w:rsid w:val="71153842"/>
    <w:rsid w:val="714D0F73"/>
    <w:rsid w:val="715B5300"/>
    <w:rsid w:val="71CB0A21"/>
    <w:rsid w:val="71D27F8A"/>
    <w:rsid w:val="71DE606F"/>
    <w:rsid w:val="72553024"/>
    <w:rsid w:val="73122968"/>
    <w:rsid w:val="731F5D5E"/>
    <w:rsid w:val="732B6917"/>
    <w:rsid w:val="736B1B84"/>
    <w:rsid w:val="73700DF4"/>
    <w:rsid w:val="73834578"/>
    <w:rsid w:val="73C51AD5"/>
    <w:rsid w:val="73C84A29"/>
    <w:rsid w:val="73F05BE5"/>
    <w:rsid w:val="741E793C"/>
    <w:rsid w:val="743E0DEC"/>
    <w:rsid w:val="745B39A7"/>
    <w:rsid w:val="745E3944"/>
    <w:rsid w:val="749B3DA3"/>
    <w:rsid w:val="74B962CD"/>
    <w:rsid w:val="74EE1E09"/>
    <w:rsid w:val="74F636CF"/>
    <w:rsid w:val="75666222"/>
    <w:rsid w:val="75E31EA6"/>
    <w:rsid w:val="76014FBA"/>
    <w:rsid w:val="76036AB8"/>
    <w:rsid w:val="76117405"/>
    <w:rsid w:val="76250A9F"/>
    <w:rsid w:val="7635099D"/>
    <w:rsid w:val="763C74A9"/>
    <w:rsid w:val="76D37E9D"/>
    <w:rsid w:val="770B1E2E"/>
    <w:rsid w:val="77762421"/>
    <w:rsid w:val="77B56B1F"/>
    <w:rsid w:val="77C27899"/>
    <w:rsid w:val="77D23F80"/>
    <w:rsid w:val="780600CD"/>
    <w:rsid w:val="780F09F4"/>
    <w:rsid w:val="784E2B0A"/>
    <w:rsid w:val="78A90480"/>
    <w:rsid w:val="791D5C1C"/>
    <w:rsid w:val="793D367B"/>
    <w:rsid w:val="79904FAD"/>
    <w:rsid w:val="79921C19"/>
    <w:rsid w:val="79A838BF"/>
    <w:rsid w:val="7A364017"/>
    <w:rsid w:val="7A786A43"/>
    <w:rsid w:val="7A8265E1"/>
    <w:rsid w:val="7B030AEB"/>
    <w:rsid w:val="7B452081"/>
    <w:rsid w:val="7B686D42"/>
    <w:rsid w:val="7B765A53"/>
    <w:rsid w:val="7B841746"/>
    <w:rsid w:val="7B875081"/>
    <w:rsid w:val="7B894521"/>
    <w:rsid w:val="7B8F5ACF"/>
    <w:rsid w:val="7BA37322"/>
    <w:rsid w:val="7BC42241"/>
    <w:rsid w:val="7BC60526"/>
    <w:rsid w:val="7BD041A1"/>
    <w:rsid w:val="7C5A5D8E"/>
    <w:rsid w:val="7C6C5AC7"/>
    <w:rsid w:val="7C9041A1"/>
    <w:rsid w:val="7CC6544B"/>
    <w:rsid w:val="7D0239FF"/>
    <w:rsid w:val="7D5E40CD"/>
    <w:rsid w:val="7DCD56F2"/>
    <w:rsid w:val="7E0D3F64"/>
    <w:rsid w:val="7E266DD3"/>
    <w:rsid w:val="7E7442FA"/>
    <w:rsid w:val="7F001CE7"/>
    <w:rsid w:val="7F1E7AAB"/>
    <w:rsid w:val="7F524A36"/>
    <w:rsid w:val="7F936C89"/>
    <w:rsid w:val="7FB421BD"/>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autoRedefine/>
    <w:qFormat/>
    <w:uiPriority w:val="0"/>
    <w:pPr>
      <w:spacing w:before="100" w:beforeAutospacing="1" w:after="100" w:afterAutospacing="1"/>
      <w:jc w:val="left"/>
      <w:outlineLvl w:val="1"/>
    </w:pPr>
    <w:rPr>
      <w:rFonts w:hint="eastAsia" w:ascii="宋体" w:hAnsi="宋体"/>
      <w:b/>
      <w:bCs/>
      <w:kern w:val="0"/>
      <w:sz w:val="36"/>
      <w:szCs w:val="36"/>
    </w:rPr>
  </w:style>
  <w:style w:type="paragraph" w:styleId="5">
    <w:name w:val="heading 3"/>
    <w:basedOn w:val="1"/>
    <w:next w:val="6"/>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before="280" w:after="290" w:line="376" w:lineRule="auto"/>
      <w:outlineLvl w:val="3"/>
    </w:pPr>
    <w:rPr>
      <w:rFonts w:ascii="Arial" w:hAnsi="Arial" w:eastAsia="黑体"/>
      <w:b/>
      <w:bCs/>
      <w:sz w:val="28"/>
      <w:szCs w:val="28"/>
    </w:rPr>
  </w:style>
  <w:style w:type="character" w:default="1" w:styleId="33">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1"/>
    <w:link w:val="44"/>
    <w:autoRedefine/>
    <w:qFormat/>
    <w:uiPriority w:val="99"/>
    <w:pPr>
      <w:tabs>
        <w:tab w:val="center" w:pos="4153"/>
        <w:tab w:val="right" w:pos="8306"/>
      </w:tabs>
      <w:snapToGrid w:val="0"/>
      <w:jc w:val="left"/>
    </w:pPr>
    <w:rPr>
      <w:kern w:val="0"/>
      <w:sz w:val="18"/>
      <w:szCs w:val="20"/>
    </w:rPr>
  </w:style>
  <w:style w:type="paragraph" w:styleId="6">
    <w:name w:val="Normal Indent"/>
    <w:basedOn w:val="1"/>
    <w:link w:val="60"/>
    <w:autoRedefine/>
    <w:qFormat/>
    <w:uiPriority w:val="0"/>
    <w:pPr>
      <w:widowControl/>
      <w:spacing w:line="360" w:lineRule="auto"/>
      <w:ind w:firstLine="420" w:firstLineChars="200"/>
    </w:pPr>
  </w:style>
  <w:style w:type="paragraph" w:styleId="8">
    <w:name w:val="annotation text"/>
    <w:basedOn w:val="1"/>
    <w:link w:val="50"/>
    <w:autoRedefine/>
    <w:qFormat/>
    <w:uiPriority w:val="0"/>
    <w:pPr>
      <w:jc w:val="left"/>
    </w:pPr>
    <w:rPr>
      <w:kern w:val="0"/>
      <w:sz w:val="24"/>
      <w:szCs w:val="20"/>
    </w:rPr>
  </w:style>
  <w:style w:type="paragraph" w:styleId="9">
    <w:name w:val="Salutation"/>
    <w:basedOn w:val="1"/>
    <w:next w:val="1"/>
    <w:autoRedefine/>
    <w:qFormat/>
    <w:uiPriority w:val="0"/>
    <w:rPr>
      <w:rFonts w:ascii="宋体" w:hAnsi="华文宋体"/>
      <w:sz w:val="28"/>
    </w:rPr>
  </w:style>
  <w:style w:type="paragraph" w:styleId="10">
    <w:name w:val="Body Text"/>
    <w:basedOn w:val="1"/>
    <w:next w:val="11"/>
    <w:link w:val="49"/>
    <w:autoRedefine/>
    <w:qFormat/>
    <w:uiPriority w:val="0"/>
    <w:pPr>
      <w:widowControl/>
      <w:snapToGrid w:val="0"/>
      <w:spacing w:before="60" w:after="160" w:line="259" w:lineRule="auto"/>
      <w:ind w:right="113"/>
    </w:pPr>
    <w:rPr>
      <w:kern w:val="0"/>
      <w:sz w:val="18"/>
      <w:szCs w:val="20"/>
    </w:rPr>
  </w:style>
  <w:style w:type="paragraph" w:customStyle="1" w:styleId="11">
    <w:name w:val="xl27"/>
    <w:basedOn w:val="1"/>
    <w:autoRedefine/>
    <w:qFormat/>
    <w:uiPriority w:val="0"/>
    <w:pPr>
      <w:widowControl/>
      <w:pBdr>
        <w:bottom w:val="single" w:color="auto" w:sz="12" w:space="0"/>
      </w:pBdr>
      <w:spacing w:before="100" w:after="100"/>
      <w:jc w:val="center"/>
    </w:pPr>
    <w:rPr>
      <w:rFonts w:ascii="宋体" w:hAnsi="宋体"/>
      <w:kern w:val="0"/>
      <w:szCs w:val="20"/>
    </w:rPr>
  </w:style>
  <w:style w:type="paragraph" w:styleId="12">
    <w:name w:val="Body Text Indent"/>
    <w:basedOn w:val="1"/>
    <w:next w:val="13"/>
    <w:link w:val="57"/>
    <w:autoRedefine/>
    <w:qFormat/>
    <w:uiPriority w:val="0"/>
    <w:pPr>
      <w:spacing w:after="120"/>
      <w:ind w:left="420" w:leftChars="200"/>
    </w:pPr>
    <w:rPr>
      <w:kern w:val="0"/>
      <w:sz w:val="24"/>
      <w:szCs w:val="20"/>
    </w:rPr>
  </w:style>
  <w:style w:type="paragraph" w:styleId="13">
    <w:name w:val="Body Text Indent 2"/>
    <w:basedOn w:val="1"/>
    <w:next w:val="14"/>
    <w:autoRedefine/>
    <w:qFormat/>
    <w:uiPriority w:val="0"/>
    <w:pPr>
      <w:spacing w:line="360" w:lineRule="auto"/>
      <w:ind w:left="720" w:hanging="720"/>
    </w:pPr>
    <w:rPr>
      <w:rFonts w:ascii="宋体"/>
      <w:sz w:val="24"/>
    </w:rPr>
  </w:style>
  <w:style w:type="paragraph" w:styleId="14">
    <w:name w:val="Body Text First Indent 2"/>
    <w:basedOn w:val="12"/>
    <w:next w:val="1"/>
    <w:autoRedefine/>
    <w:qFormat/>
    <w:uiPriority w:val="0"/>
    <w:pPr>
      <w:ind w:firstLine="420"/>
    </w:pPr>
    <w:rPr>
      <w:sz w:val="21"/>
    </w:rPr>
  </w:style>
  <w:style w:type="paragraph" w:styleId="15">
    <w:name w:val="Plain Text"/>
    <w:basedOn w:val="1"/>
    <w:next w:val="9"/>
    <w:autoRedefine/>
    <w:qFormat/>
    <w:uiPriority w:val="0"/>
    <w:pPr>
      <w:autoSpaceDE w:val="0"/>
      <w:autoSpaceDN w:val="0"/>
      <w:adjustRightInd w:val="0"/>
      <w:spacing w:line="440" w:lineRule="atLeast"/>
      <w:ind w:firstLine="425"/>
    </w:pPr>
    <w:rPr>
      <w:rFonts w:ascii="宋体" w:hAnsi="Tms Rmn"/>
      <w:kern w:val="0"/>
      <w:sz w:val="28"/>
      <w:szCs w:val="20"/>
    </w:rPr>
  </w:style>
  <w:style w:type="paragraph" w:styleId="16">
    <w:name w:val="List Bullet 5"/>
    <w:basedOn w:val="1"/>
    <w:qFormat/>
    <w:uiPriority w:val="0"/>
    <w:pPr>
      <w:numPr>
        <w:ilvl w:val="0"/>
        <w:numId w:val="1"/>
      </w:numPr>
    </w:pPr>
  </w:style>
  <w:style w:type="paragraph" w:styleId="17">
    <w:name w:val="Date"/>
    <w:basedOn w:val="1"/>
    <w:next w:val="1"/>
    <w:link w:val="45"/>
    <w:autoRedefine/>
    <w:qFormat/>
    <w:uiPriority w:val="0"/>
    <w:pPr>
      <w:ind w:left="100" w:leftChars="2500"/>
    </w:pPr>
    <w:rPr>
      <w:kern w:val="0"/>
      <w:sz w:val="24"/>
      <w:szCs w:val="20"/>
    </w:rPr>
  </w:style>
  <w:style w:type="paragraph" w:styleId="18">
    <w:name w:val="Balloon Text"/>
    <w:basedOn w:val="1"/>
    <w:link w:val="53"/>
    <w:autoRedefine/>
    <w:semiHidden/>
    <w:qFormat/>
    <w:uiPriority w:val="0"/>
    <w:rPr>
      <w:kern w:val="0"/>
      <w:sz w:val="18"/>
      <w:szCs w:val="20"/>
    </w:rPr>
  </w:style>
  <w:style w:type="paragraph" w:styleId="19">
    <w:name w:val="header"/>
    <w:basedOn w:val="1"/>
    <w:link w:val="55"/>
    <w:autoRedefine/>
    <w:qFormat/>
    <w:uiPriority w:val="0"/>
    <w:pPr>
      <w:pBdr>
        <w:bottom w:val="single" w:color="auto" w:sz="6" w:space="1"/>
      </w:pBdr>
      <w:tabs>
        <w:tab w:val="center" w:pos="4153"/>
        <w:tab w:val="right" w:pos="8306"/>
      </w:tabs>
      <w:snapToGrid w:val="0"/>
      <w:jc w:val="center"/>
    </w:pPr>
    <w:rPr>
      <w:kern w:val="0"/>
      <w:sz w:val="18"/>
      <w:szCs w:val="20"/>
    </w:rPr>
  </w:style>
  <w:style w:type="paragraph" w:styleId="20">
    <w:name w:val="toc 1"/>
    <w:basedOn w:val="1"/>
    <w:next w:val="1"/>
    <w:autoRedefine/>
    <w:qFormat/>
    <w:uiPriority w:val="39"/>
    <w:pPr>
      <w:tabs>
        <w:tab w:val="right" w:leader="middleDot" w:pos="9000"/>
      </w:tabs>
      <w:snapToGrid w:val="0"/>
      <w:spacing w:line="305" w:lineRule="auto"/>
    </w:pPr>
    <w:rPr>
      <w:rFonts w:ascii="黑体" w:eastAsia="黑体"/>
      <w:caps/>
      <w:sz w:val="32"/>
      <w:szCs w:val="28"/>
    </w:rPr>
  </w:style>
  <w:style w:type="paragraph" w:styleId="21">
    <w:name w:val="index heading"/>
    <w:basedOn w:val="1"/>
    <w:next w:val="22"/>
    <w:autoRedefine/>
    <w:qFormat/>
    <w:uiPriority w:val="0"/>
  </w:style>
  <w:style w:type="paragraph" w:styleId="22">
    <w:name w:val="index 1"/>
    <w:basedOn w:val="1"/>
    <w:next w:val="1"/>
    <w:autoRedefine/>
    <w:qFormat/>
    <w:uiPriority w:val="0"/>
  </w:style>
  <w:style w:type="paragraph" w:styleId="23">
    <w:name w:val="List"/>
    <w:basedOn w:val="1"/>
    <w:autoRedefine/>
    <w:unhideWhenUsed/>
    <w:qFormat/>
    <w:uiPriority w:val="99"/>
    <w:pPr>
      <w:ind w:left="200" w:hanging="200" w:hangingChars="200"/>
      <w:contextualSpacing/>
    </w:pPr>
  </w:style>
  <w:style w:type="paragraph" w:styleId="24">
    <w:name w:val="Body Text Indent 3"/>
    <w:basedOn w:val="1"/>
    <w:autoRedefine/>
    <w:qFormat/>
    <w:uiPriority w:val="0"/>
    <w:pPr>
      <w:ind w:firstLine="420"/>
    </w:pPr>
    <w:rPr>
      <w:rFonts w:hint="eastAsia" w:ascii="宋体" w:hAnsi="宋体"/>
      <w:sz w:val="28"/>
      <w:szCs w:val="20"/>
    </w:rPr>
  </w:style>
  <w:style w:type="paragraph" w:styleId="25">
    <w:name w:val="toc 2"/>
    <w:basedOn w:val="1"/>
    <w:next w:val="1"/>
    <w:autoRedefine/>
    <w:qFormat/>
    <w:uiPriority w:val="0"/>
    <w:pPr>
      <w:ind w:left="420" w:leftChars="200"/>
    </w:pPr>
    <w:rPr>
      <w:rFonts w:ascii="Calibri" w:hAnsi="Calibri"/>
    </w:rPr>
  </w:style>
  <w:style w:type="paragraph" w:styleId="26">
    <w:name w:val="Body Text 2"/>
    <w:basedOn w:val="1"/>
    <w:autoRedefine/>
    <w:qFormat/>
    <w:uiPriority w:val="0"/>
    <w:rPr>
      <w:sz w:val="24"/>
      <w:szCs w:val="20"/>
    </w:rPr>
  </w:style>
  <w:style w:type="paragraph" w:styleId="27">
    <w:name w:val="Normal (Web)"/>
    <w:basedOn w:val="1"/>
    <w:link w:val="47"/>
    <w:autoRedefine/>
    <w:qFormat/>
    <w:uiPriority w:val="0"/>
    <w:pPr>
      <w:widowControl/>
      <w:spacing w:before="100" w:beforeAutospacing="1" w:after="100" w:afterAutospacing="1"/>
      <w:jc w:val="left"/>
    </w:pPr>
    <w:rPr>
      <w:rFonts w:ascii="宋体" w:hAnsi="宋体"/>
      <w:kern w:val="0"/>
      <w:sz w:val="24"/>
      <w:szCs w:val="20"/>
    </w:rPr>
  </w:style>
  <w:style w:type="paragraph" w:styleId="28">
    <w:name w:val="annotation subject"/>
    <w:basedOn w:val="8"/>
    <w:next w:val="8"/>
    <w:link w:val="54"/>
    <w:autoRedefine/>
    <w:semiHidden/>
    <w:qFormat/>
    <w:uiPriority w:val="0"/>
    <w:rPr>
      <w:b/>
    </w:rPr>
  </w:style>
  <w:style w:type="paragraph" w:styleId="29">
    <w:name w:val="Body Text First Indent"/>
    <w:basedOn w:val="10"/>
    <w:autoRedefine/>
    <w:qFormat/>
    <w:uiPriority w:val="0"/>
    <w:pPr>
      <w:spacing w:after="120"/>
      <w:ind w:firstLine="420" w:firstLineChars="100"/>
      <w:jc w:val="left"/>
    </w:pPr>
    <w:rPr>
      <w:rFonts w:eastAsia="仿宋_GB2312"/>
      <w:sz w:val="24"/>
    </w:rPr>
  </w:style>
  <w:style w:type="table" w:styleId="31">
    <w:name w:val="Table Grid"/>
    <w:basedOn w:val="30"/>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2">
    <w:name w:val="Table Theme"/>
    <w:basedOn w:val="30"/>
    <w:autoRedefine/>
    <w:qFormat/>
    <w:uiPriority w:val="0"/>
    <w:pPr>
      <w:widowControl w:val="0"/>
      <w:adjustRightInd w:val="0"/>
      <w:jc w:val="both"/>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autoRedefine/>
    <w:qFormat/>
    <w:uiPriority w:val="22"/>
    <w:rPr>
      <w:b/>
      <w:bCs/>
    </w:rPr>
  </w:style>
  <w:style w:type="character" w:styleId="35">
    <w:name w:val="page number"/>
    <w:basedOn w:val="33"/>
    <w:autoRedefine/>
    <w:qFormat/>
    <w:uiPriority w:val="0"/>
  </w:style>
  <w:style w:type="character" w:styleId="36">
    <w:name w:val="Hyperlink"/>
    <w:basedOn w:val="33"/>
    <w:autoRedefine/>
    <w:qFormat/>
    <w:uiPriority w:val="0"/>
    <w:rPr>
      <w:color w:val="0000FF"/>
      <w:u w:val="single"/>
    </w:rPr>
  </w:style>
  <w:style w:type="character" w:styleId="37">
    <w:name w:val="annotation reference"/>
    <w:autoRedefine/>
    <w:semiHidden/>
    <w:qFormat/>
    <w:uiPriority w:val="0"/>
    <w:rPr>
      <w:sz w:val="21"/>
    </w:rPr>
  </w:style>
  <w:style w:type="paragraph" w:customStyle="1" w:styleId="38">
    <w:name w:val="表格的文字"/>
    <w:basedOn w:val="39"/>
    <w:autoRedefine/>
    <w:qFormat/>
    <w:uiPriority w:val="99"/>
    <w:pPr>
      <w:tabs>
        <w:tab w:val="left" w:pos="277"/>
        <w:tab w:val="left" w:pos="600"/>
        <w:tab w:val="left" w:pos="780"/>
        <w:tab w:val="left" w:pos="2517"/>
      </w:tabs>
      <w:jc w:val="center"/>
      <w:textAlignment w:val="baseline"/>
    </w:pPr>
    <w:rPr>
      <w:kern w:val="0"/>
      <w:szCs w:val="21"/>
    </w:rPr>
  </w:style>
  <w:style w:type="paragraph" w:customStyle="1" w:styleId="39">
    <w:name w:val="图表文字"/>
    <w:basedOn w:val="1"/>
    <w:qFormat/>
    <w:uiPriority w:val="0"/>
    <w:pPr>
      <w:spacing w:line="300" w:lineRule="exact"/>
      <w:jc w:val="center"/>
    </w:pPr>
    <w:rPr>
      <w:rFonts w:ascii="仿宋_GB2312" w:eastAsia="仿宋_GB2312"/>
      <w:bCs/>
      <w:szCs w:val="20"/>
    </w:rPr>
  </w:style>
  <w:style w:type="paragraph" w:customStyle="1" w:styleId="40">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1">
    <w:name w:val="普通(网站)2"/>
    <w:basedOn w:val="1"/>
    <w:autoRedefine/>
    <w:qFormat/>
    <w:uiPriority w:val="0"/>
    <w:pPr>
      <w:widowControl/>
      <w:spacing w:before="100" w:beforeAutospacing="1" w:after="100" w:afterAutospacing="1"/>
      <w:jc w:val="left"/>
    </w:pPr>
    <w:rPr>
      <w:rFonts w:ascii="宋体" w:hAnsi="宋体"/>
      <w:sz w:val="24"/>
      <w:szCs w:val="20"/>
    </w:rPr>
  </w:style>
  <w:style w:type="paragraph" w:customStyle="1" w:styleId="42">
    <w:name w:val="表格"/>
    <w:basedOn w:val="43"/>
    <w:next w:val="1"/>
    <w:link w:val="51"/>
    <w:autoRedefine/>
    <w:qFormat/>
    <w:uiPriority w:val="0"/>
    <w:pPr>
      <w:adjustRightInd w:val="0"/>
      <w:snapToGrid w:val="0"/>
      <w:spacing w:beforeLines="10" w:afterLines="10" w:line="259" w:lineRule="auto"/>
    </w:pPr>
    <w:rPr>
      <w:rFonts w:ascii="宋体"/>
      <w:szCs w:val="20"/>
    </w:rPr>
  </w:style>
  <w:style w:type="paragraph" w:customStyle="1" w:styleId="43">
    <w:name w:val="表头lcc1"/>
    <w:basedOn w:val="1"/>
    <w:autoRedefine/>
    <w:qFormat/>
    <w:uiPriority w:val="0"/>
    <w:pPr>
      <w:jc w:val="center"/>
    </w:pPr>
    <w:rPr>
      <w:b/>
      <w:kern w:val="0"/>
      <w:szCs w:val="21"/>
    </w:rPr>
  </w:style>
  <w:style w:type="character" w:customStyle="1" w:styleId="44">
    <w:name w:val="页脚 字符1"/>
    <w:link w:val="2"/>
    <w:autoRedefine/>
    <w:qFormat/>
    <w:uiPriority w:val="99"/>
    <w:rPr>
      <w:sz w:val="18"/>
    </w:rPr>
  </w:style>
  <w:style w:type="character" w:customStyle="1" w:styleId="45">
    <w:name w:val="日期 字符1"/>
    <w:link w:val="17"/>
    <w:autoRedefine/>
    <w:qFormat/>
    <w:uiPriority w:val="0"/>
    <w:rPr>
      <w:rFonts w:ascii="Times New Roman" w:hAnsi="Times New Roman" w:eastAsia="宋体"/>
      <w:sz w:val="24"/>
    </w:rPr>
  </w:style>
  <w:style w:type="character" w:customStyle="1" w:styleId="46">
    <w:name w:val="页脚 字符"/>
    <w:basedOn w:val="33"/>
    <w:autoRedefine/>
    <w:qFormat/>
    <w:uiPriority w:val="99"/>
  </w:style>
  <w:style w:type="character" w:customStyle="1" w:styleId="47">
    <w:name w:val="普通(网站) 字符"/>
    <w:link w:val="27"/>
    <w:autoRedefine/>
    <w:qFormat/>
    <w:uiPriority w:val="0"/>
    <w:rPr>
      <w:rFonts w:ascii="宋体" w:hAnsi="宋体" w:eastAsia="宋体"/>
      <w:sz w:val="24"/>
    </w:rPr>
  </w:style>
  <w:style w:type="character" w:customStyle="1" w:styleId="48">
    <w:name w:val="正文文本 字符1"/>
    <w:autoRedefine/>
    <w:semiHidden/>
    <w:qFormat/>
    <w:uiPriority w:val="0"/>
    <w:rPr>
      <w:rFonts w:ascii="Times New Roman" w:hAnsi="Times New Roman" w:eastAsia="宋体"/>
      <w:sz w:val="24"/>
    </w:rPr>
  </w:style>
  <w:style w:type="character" w:customStyle="1" w:styleId="49">
    <w:name w:val="正文文本 字符"/>
    <w:link w:val="10"/>
    <w:autoRedefine/>
    <w:qFormat/>
    <w:uiPriority w:val="0"/>
    <w:rPr>
      <w:sz w:val="18"/>
    </w:rPr>
  </w:style>
  <w:style w:type="character" w:customStyle="1" w:styleId="50">
    <w:name w:val="批注文字 字符"/>
    <w:link w:val="8"/>
    <w:autoRedefine/>
    <w:qFormat/>
    <w:uiPriority w:val="0"/>
    <w:rPr>
      <w:rFonts w:ascii="Times New Roman" w:hAnsi="Times New Roman" w:eastAsia="宋体"/>
      <w:sz w:val="24"/>
    </w:rPr>
  </w:style>
  <w:style w:type="character" w:customStyle="1" w:styleId="51">
    <w:name w:val="表格 Char"/>
    <w:link w:val="42"/>
    <w:autoRedefine/>
    <w:qFormat/>
    <w:uiPriority w:val="0"/>
    <w:rPr>
      <w:rFonts w:ascii="宋体"/>
      <w:sz w:val="21"/>
    </w:rPr>
  </w:style>
  <w:style w:type="character" w:customStyle="1" w:styleId="52">
    <w:name w:val="日期 字符"/>
    <w:autoRedefine/>
    <w:semiHidden/>
    <w:qFormat/>
    <w:uiPriority w:val="0"/>
    <w:rPr>
      <w:rFonts w:ascii="Times New Roman" w:hAnsi="Times New Roman" w:eastAsia="宋体"/>
      <w:sz w:val="24"/>
    </w:rPr>
  </w:style>
  <w:style w:type="character" w:customStyle="1" w:styleId="53">
    <w:name w:val="批注框文本 字符"/>
    <w:link w:val="18"/>
    <w:autoRedefine/>
    <w:semiHidden/>
    <w:qFormat/>
    <w:uiPriority w:val="0"/>
    <w:rPr>
      <w:rFonts w:ascii="Times New Roman" w:hAnsi="Times New Roman" w:eastAsia="宋体"/>
      <w:sz w:val="18"/>
    </w:rPr>
  </w:style>
  <w:style w:type="character" w:customStyle="1" w:styleId="54">
    <w:name w:val="批注主题 字符"/>
    <w:link w:val="28"/>
    <w:autoRedefine/>
    <w:semiHidden/>
    <w:qFormat/>
    <w:uiPriority w:val="0"/>
    <w:rPr>
      <w:rFonts w:ascii="Times New Roman" w:hAnsi="Times New Roman" w:eastAsia="宋体"/>
      <w:b/>
      <w:kern w:val="2"/>
      <w:sz w:val="24"/>
    </w:rPr>
  </w:style>
  <w:style w:type="character" w:customStyle="1" w:styleId="55">
    <w:name w:val="页眉 字符"/>
    <w:link w:val="19"/>
    <w:autoRedefine/>
    <w:qFormat/>
    <w:uiPriority w:val="0"/>
    <w:rPr>
      <w:sz w:val="18"/>
    </w:rPr>
  </w:style>
  <w:style w:type="character" w:customStyle="1" w:styleId="56">
    <w:name w:val="批注文字 字符1"/>
    <w:autoRedefine/>
    <w:semiHidden/>
    <w:qFormat/>
    <w:uiPriority w:val="0"/>
    <w:rPr>
      <w:rFonts w:ascii="Times New Roman" w:hAnsi="Times New Roman" w:eastAsia="宋体"/>
      <w:sz w:val="24"/>
    </w:rPr>
  </w:style>
  <w:style w:type="character" w:customStyle="1" w:styleId="57">
    <w:name w:val="正文文本缩进 字符"/>
    <w:link w:val="12"/>
    <w:autoRedefine/>
    <w:semiHidden/>
    <w:qFormat/>
    <w:uiPriority w:val="0"/>
    <w:rPr>
      <w:rFonts w:ascii="Times New Roman" w:hAnsi="Times New Roman" w:eastAsia="宋体"/>
      <w:sz w:val="24"/>
    </w:rPr>
  </w:style>
  <w:style w:type="paragraph" w:customStyle="1" w:styleId="58">
    <w:name w:val="正文2"/>
    <w:basedOn w:val="1"/>
    <w:link w:val="59"/>
    <w:autoRedefine/>
    <w:qFormat/>
    <w:uiPriority w:val="0"/>
    <w:pPr>
      <w:adjustRightInd w:val="0"/>
      <w:snapToGrid w:val="0"/>
      <w:spacing w:line="340" w:lineRule="exact"/>
    </w:pPr>
    <w:rPr>
      <w:rFonts w:cs="宋体"/>
      <w:bCs/>
      <w:szCs w:val="21"/>
    </w:rPr>
  </w:style>
  <w:style w:type="character" w:customStyle="1" w:styleId="59">
    <w:name w:val="正文2 字符"/>
    <w:basedOn w:val="33"/>
    <w:link w:val="58"/>
    <w:autoRedefine/>
    <w:qFormat/>
    <w:uiPriority w:val="0"/>
    <w:rPr>
      <w:rFonts w:cs="宋体"/>
      <w:bCs/>
      <w:kern w:val="2"/>
      <w:sz w:val="21"/>
      <w:szCs w:val="21"/>
    </w:rPr>
  </w:style>
  <w:style w:type="character" w:customStyle="1" w:styleId="60">
    <w:name w:val="正文缩进 字符"/>
    <w:link w:val="6"/>
    <w:autoRedefine/>
    <w:qFormat/>
    <w:uiPriority w:val="0"/>
    <w:rPr>
      <w:kern w:val="2"/>
      <w:sz w:val="21"/>
      <w:szCs w:val="24"/>
    </w:rPr>
  </w:style>
  <w:style w:type="paragraph" w:customStyle="1" w:styleId="61">
    <w:name w:val="正文 4"/>
    <w:basedOn w:val="1"/>
    <w:autoRedefine/>
    <w:qFormat/>
    <w:uiPriority w:val="0"/>
    <w:pPr>
      <w:autoSpaceDE w:val="0"/>
      <w:autoSpaceDN w:val="0"/>
      <w:adjustRightInd w:val="0"/>
      <w:snapToGrid w:val="0"/>
      <w:spacing w:line="360" w:lineRule="auto"/>
      <w:ind w:firstLine="480" w:firstLineChars="200"/>
    </w:pPr>
    <w:rPr>
      <w:bCs/>
      <w:snapToGrid w:val="0"/>
      <w:kern w:val="0"/>
      <w:sz w:val="24"/>
    </w:rPr>
  </w:style>
  <w:style w:type="paragraph" w:customStyle="1" w:styleId="62">
    <w:name w:val="样式 宋体 小四 两端对齐 首行缩进:  0.85 厘米 行距: 1.5 倍行距"/>
    <w:basedOn w:val="1"/>
    <w:autoRedefine/>
    <w:qFormat/>
    <w:uiPriority w:val="0"/>
    <w:pPr>
      <w:widowControl/>
      <w:spacing w:line="360" w:lineRule="auto"/>
      <w:ind w:firstLine="482"/>
    </w:pPr>
    <w:rPr>
      <w:rFonts w:cs="Calibri"/>
      <w:kern w:val="0"/>
      <w:sz w:val="24"/>
    </w:rPr>
  </w:style>
  <w:style w:type="paragraph" w:customStyle="1" w:styleId="63">
    <w:name w:val="样式 自动设置"/>
    <w:basedOn w:val="1"/>
    <w:autoRedefine/>
    <w:qFormat/>
    <w:uiPriority w:val="0"/>
    <w:pPr>
      <w:autoSpaceDE w:val="0"/>
      <w:autoSpaceDN w:val="0"/>
      <w:adjustRightInd w:val="0"/>
      <w:snapToGrid w:val="0"/>
      <w:spacing w:beforeLines="50" w:line="288" w:lineRule="auto"/>
      <w:ind w:firstLine="200" w:firstLineChars="200"/>
    </w:pPr>
    <w:rPr>
      <w:rFonts w:ascii="Calibri" w:hAnsi="Calibri" w:cs="宋体"/>
      <w:sz w:val="24"/>
    </w:rPr>
  </w:style>
  <w:style w:type="paragraph" w:customStyle="1" w:styleId="64">
    <w:name w:val="0正文"/>
    <w:basedOn w:val="1"/>
    <w:autoRedefine/>
    <w:qFormat/>
    <w:uiPriority w:val="0"/>
    <w:pPr>
      <w:adjustRightInd w:val="0"/>
      <w:snapToGrid w:val="0"/>
      <w:spacing w:line="360" w:lineRule="auto"/>
      <w:ind w:firstLine="480" w:firstLineChars="200"/>
    </w:pPr>
    <w:rPr>
      <w:kern w:val="0"/>
      <w:sz w:val="24"/>
      <w:szCs w:val="20"/>
    </w:rPr>
  </w:style>
  <w:style w:type="paragraph" w:customStyle="1" w:styleId="65">
    <w:name w:val="我三级标题"/>
    <w:basedOn w:val="5"/>
    <w:next w:val="66"/>
    <w:autoRedefine/>
    <w:qFormat/>
    <w:uiPriority w:val="0"/>
    <w:pPr>
      <w:jc w:val="left"/>
    </w:pPr>
    <w:rPr>
      <w:szCs w:val="30"/>
    </w:rPr>
  </w:style>
  <w:style w:type="paragraph" w:customStyle="1" w:styleId="66">
    <w:name w:val="我正文"/>
    <w:basedOn w:val="1"/>
    <w:autoRedefine/>
    <w:qFormat/>
    <w:uiPriority w:val="0"/>
    <w:pPr>
      <w:spacing w:line="360" w:lineRule="auto"/>
      <w:ind w:firstLine="200" w:firstLineChars="200"/>
    </w:pPr>
    <w:rPr>
      <w:sz w:val="24"/>
    </w:rPr>
  </w:style>
  <w:style w:type="paragraph" w:customStyle="1" w:styleId="67">
    <w:name w:val="我图表标题"/>
    <w:basedOn w:val="1"/>
    <w:autoRedefine/>
    <w:qFormat/>
    <w:uiPriority w:val="0"/>
    <w:pPr>
      <w:spacing w:line="360" w:lineRule="auto"/>
      <w:jc w:val="center"/>
    </w:pPr>
    <w:rPr>
      <w:b/>
      <w:bCs/>
      <w:sz w:val="24"/>
    </w:rPr>
  </w:style>
  <w:style w:type="paragraph" w:customStyle="1" w:styleId="68">
    <w:name w:val="我表格"/>
    <w:basedOn w:val="69"/>
    <w:next w:val="66"/>
    <w:autoRedefine/>
    <w:qFormat/>
    <w:uiPriority w:val="0"/>
    <w:rPr>
      <w:rFonts w:hAnsi="Times New Roman" w:eastAsia="宋体"/>
      <w:bCs/>
    </w:rPr>
  </w:style>
  <w:style w:type="paragraph" w:customStyle="1" w:styleId="69">
    <w:name w:val="表内字体"/>
    <w:basedOn w:val="1"/>
    <w:autoRedefine/>
    <w:qFormat/>
    <w:uiPriority w:val="0"/>
    <w:pPr>
      <w:jc w:val="center"/>
    </w:pPr>
    <w:rPr>
      <w:rFonts w:hAnsi="宋体" w:eastAsia="华文中宋"/>
      <w:szCs w:val="21"/>
    </w:rPr>
  </w:style>
  <w:style w:type="paragraph" w:customStyle="1" w:styleId="70">
    <w:name w:val="我四级标题"/>
    <w:basedOn w:val="7"/>
    <w:next w:val="66"/>
    <w:autoRedefine/>
    <w:qFormat/>
    <w:uiPriority w:val="0"/>
    <w:pPr>
      <w:jc w:val="left"/>
    </w:pPr>
    <w:rPr>
      <w:rFonts w:eastAsia="宋体"/>
      <w:bCs w:val="0"/>
    </w:rPr>
  </w:style>
  <w:style w:type="character" w:customStyle="1" w:styleId="71">
    <w:name w:val="15"/>
    <w:basedOn w:val="33"/>
    <w:autoRedefine/>
    <w:qFormat/>
    <w:uiPriority w:val="0"/>
    <w:rPr>
      <w:rFonts w:hint="default" w:ascii="Times New Roman" w:hAnsi="Times New Roman" w:eastAsia="仿宋" w:cs="Times New Roman"/>
      <w:b/>
      <w:bCs/>
      <w:sz w:val="24"/>
      <w:szCs w:val="24"/>
    </w:rPr>
  </w:style>
  <w:style w:type="paragraph" w:customStyle="1" w:styleId="72">
    <w:name w:val="正文加粗lcc"/>
    <w:basedOn w:val="73"/>
    <w:autoRedefine/>
    <w:qFormat/>
    <w:uiPriority w:val="0"/>
    <w:rPr>
      <w:b/>
      <w:szCs w:val="22"/>
    </w:rPr>
  </w:style>
  <w:style w:type="paragraph" w:customStyle="1" w:styleId="73">
    <w:name w:val="正文lcc1"/>
    <w:basedOn w:val="1"/>
    <w:autoRedefine/>
    <w:qFormat/>
    <w:uiPriority w:val="0"/>
    <w:pPr>
      <w:spacing w:line="360" w:lineRule="auto"/>
      <w:ind w:firstLine="200" w:firstLineChars="200"/>
    </w:pPr>
    <w:rPr>
      <w:color w:val="000000"/>
      <w:sz w:val="24"/>
      <w:szCs w:val="20"/>
    </w:rPr>
  </w:style>
  <w:style w:type="paragraph" w:customStyle="1" w:styleId="74">
    <w:name w:val="正文lcc"/>
    <w:basedOn w:val="1"/>
    <w:autoRedefine/>
    <w:qFormat/>
    <w:uiPriority w:val="0"/>
    <w:pPr>
      <w:snapToGrid w:val="0"/>
      <w:spacing w:line="360" w:lineRule="auto"/>
      <w:ind w:firstLine="480" w:firstLineChars="200"/>
    </w:pPr>
    <w:rPr>
      <w:color w:val="000000"/>
      <w:sz w:val="24"/>
    </w:rPr>
  </w:style>
  <w:style w:type="paragraph" w:customStyle="1" w:styleId="75">
    <w:name w:val="Table Paragraph"/>
    <w:basedOn w:val="1"/>
    <w:autoRedefine/>
    <w:qFormat/>
    <w:uiPriority w:val="1"/>
    <w:pPr>
      <w:jc w:val="center"/>
    </w:pPr>
    <w:rPr>
      <w:rFonts w:ascii="宋体" w:hAnsi="宋体" w:cs="宋体"/>
      <w:sz w:val="22"/>
      <w:szCs w:val="22"/>
      <w:lang w:eastAsia="en-US"/>
    </w:rPr>
  </w:style>
  <w:style w:type="paragraph" w:customStyle="1" w:styleId="76">
    <w:name w:val="报告正文"/>
    <w:basedOn w:val="66"/>
    <w:link w:val="83"/>
    <w:autoRedefine/>
    <w:qFormat/>
    <w:uiPriority w:val="0"/>
  </w:style>
  <w:style w:type="paragraph" w:customStyle="1" w:styleId="77">
    <w:name w:val="正文 首行缩进:  2 字符"/>
    <w:basedOn w:val="1"/>
    <w:autoRedefine/>
    <w:qFormat/>
    <w:uiPriority w:val="0"/>
    <w:pPr>
      <w:ind w:firstLine="579" w:firstLineChars="200"/>
    </w:pPr>
    <w:rPr>
      <w:rFonts w:cs="宋体"/>
      <w:szCs w:val="20"/>
    </w:rPr>
  </w:style>
  <w:style w:type="paragraph" w:customStyle="1" w:styleId="78">
    <w:name w:val="表格正文"/>
    <w:basedOn w:val="1"/>
    <w:autoRedefine/>
    <w:qFormat/>
    <w:uiPriority w:val="0"/>
    <w:pPr>
      <w:spacing w:line="360" w:lineRule="exact"/>
      <w:jc w:val="center"/>
    </w:pPr>
    <w:rPr>
      <w:rFonts w:ascii="Arial" w:hAnsi="Arial"/>
      <w:color w:val="000000"/>
    </w:rPr>
  </w:style>
  <w:style w:type="paragraph" w:customStyle="1" w:styleId="79">
    <w:name w:val="表格内容"/>
    <w:basedOn w:val="1"/>
    <w:autoRedefine/>
    <w:qFormat/>
    <w:uiPriority w:val="0"/>
    <w:pPr>
      <w:overflowPunct w:val="0"/>
      <w:adjustRightInd w:val="0"/>
      <w:spacing w:before="40" w:after="60" w:line="200" w:lineRule="atLeast"/>
      <w:textAlignment w:val="baseline"/>
    </w:pPr>
    <w:rPr>
      <w:rFonts w:ascii="Arial" w:hAnsi="Arial" w:eastAsia="仿宋_GB2312"/>
      <w:kern w:val="0"/>
      <w:sz w:val="24"/>
      <w:szCs w:val="20"/>
    </w:rPr>
  </w:style>
  <w:style w:type="paragraph" w:customStyle="1" w:styleId="80">
    <w:name w:val="报告表格标题"/>
    <w:basedOn w:val="67"/>
    <w:autoRedefine/>
    <w:qFormat/>
    <w:uiPriority w:val="0"/>
  </w:style>
  <w:style w:type="paragraph" w:customStyle="1" w:styleId="81">
    <w:name w:val="报告表格样式"/>
    <w:basedOn w:val="66"/>
    <w:autoRedefine/>
    <w:qFormat/>
    <w:uiPriority w:val="0"/>
    <w:pPr>
      <w:spacing w:line="240" w:lineRule="auto"/>
      <w:ind w:firstLine="0" w:firstLineChars="0"/>
      <w:jc w:val="center"/>
    </w:pPr>
    <w:rPr>
      <w:sz w:val="21"/>
      <w:szCs w:val="21"/>
    </w:rPr>
  </w:style>
  <w:style w:type="table" w:customStyle="1" w:styleId="82">
    <w:name w:val="Table Normal"/>
    <w:autoRedefine/>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character" w:customStyle="1" w:styleId="83">
    <w:name w:val="报告正文 Char"/>
    <w:link w:val="76"/>
    <w:autoRedefine/>
    <w:qFormat/>
    <w:uiPriority w:val="0"/>
  </w:style>
  <w:style w:type="paragraph" w:customStyle="1" w:styleId="84">
    <w:name w:val="Body Text 21"/>
    <w:basedOn w:val="1"/>
    <w:autoRedefine/>
    <w:qFormat/>
    <w:uiPriority w:val="0"/>
    <w:pPr>
      <w:adjustRightInd w:val="0"/>
      <w:textAlignment w:val="baseline"/>
    </w:pPr>
    <w:rPr>
      <w:rFonts w:ascii="仿宋_GB2312" w:eastAsia="仿宋体"/>
      <w:szCs w:val="20"/>
    </w:rPr>
  </w:style>
  <w:style w:type="paragraph" w:customStyle="1" w:styleId="85">
    <w:name w:val="表格 首行文字"/>
    <w:basedOn w:val="1"/>
    <w:autoRedefine/>
    <w:qFormat/>
    <w:uiPriority w:val="0"/>
    <w:pPr>
      <w:jc w:val="center"/>
    </w:pPr>
    <w:rPr>
      <w:rFonts w:eastAsia="仿宋_GB2312"/>
      <w:b/>
      <w:sz w:val="20"/>
      <w:szCs w:val="20"/>
    </w:rPr>
  </w:style>
  <w:style w:type="paragraph" w:customStyle="1" w:styleId="86">
    <w:name w:val="表格 普通文字"/>
    <w:basedOn w:val="1"/>
    <w:autoRedefine/>
    <w:qFormat/>
    <w:uiPriority w:val="0"/>
    <w:pPr>
      <w:jc w:val="center"/>
    </w:pPr>
    <w:rPr>
      <w:rFonts w:eastAsia="仿宋_GB2312"/>
      <w:sz w:val="20"/>
      <w:szCs w:val="21"/>
    </w:rPr>
  </w:style>
  <w:style w:type="paragraph" w:customStyle="1" w:styleId="87">
    <w:name w:val="环评正文"/>
    <w:basedOn w:val="1"/>
    <w:autoRedefine/>
    <w:qFormat/>
    <w:uiPriority w:val="0"/>
    <w:pPr>
      <w:spacing w:line="360" w:lineRule="auto"/>
      <w:ind w:firstLine="200" w:firstLineChars="200"/>
    </w:pPr>
  </w:style>
  <w:style w:type="paragraph" w:customStyle="1" w:styleId="88">
    <w:name w:val="首行缩进"/>
    <w:basedOn w:val="1"/>
    <w:autoRedefine/>
    <w:qFormat/>
    <w:uiPriority w:val="0"/>
    <w:pPr>
      <w:spacing w:line="360" w:lineRule="auto"/>
      <w:ind w:firstLine="200" w:firstLineChars="200"/>
    </w:pPr>
    <w:rPr>
      <w:rFonts w:eastAsia="仿宋_GB2312"/>
      <w:sz w:val="24"/>
    </w:rPr>
  </w:style>
  <w:style w:type="paragraph" w:customStyle="1" w:styleId="89">
    <w:name w:val="报告书表格"/>
    <w:basedOn w:val="1"/>
    <w:autoRedefine/>
    <w:qFormat/>
    <w:uiPriority w:val="0"/>
    <w:pPr>
      <w:adjustRightInd w:val="0"/>
      <w:spacing w:before="60" w:after="60" w:line="240" w:lineRule="atLeast"/>
      <w:jc w:val="center"/>
    </w:pPr>
    <w:rPr>
      <w:szCs w:val="20"/>
    </w:rPr>
  </w:style>
  <w:style w:type="paragraph" w:customStyle="1" w:styleId="90">
    <w:name w:val="正文格式"/>
    <w:basedOn w:val="1"/>
    <w:autoRedefine/>
    <w:qFormat/>
    <w:uiPriority w:val="0"/>
    <w:pPr>
      <w:adjustRightInd w:val="0"/>
      <w:snapToGrid w:val="0"/>
      <w:spacing w:line="360" w:lineRule="auto"/>
      <w:ind w:firstLine="200" w:firstLineChars="200"/>
    </w:pPr>
    <w:rPr>
      <w:szCs w:val="22"/>
    </w:rPr>
  </w:style>
  <w:style w:type="paragraph" w:customStyle="1" w:styleId="91">
    <w:name w:val="表格文字"/>
    <w:basedOn w:val="10"/>
    <w:next w:val="10"/>
    <w:autoRedefine/>
    <w:qFormat/>
    <w:uiPriority w:val="0"/>
    <w:pPr>
      <w:spacing w:beforeLines="10" w:afterLines="10" w:line="0" w:lineRule="atLeast"/>
      <w:jc w:val="center"/>
    </w:pPr>
    <w:rPr>
      <w:rFonts w:ascii="Times New Roman" w:hAnsi="Times New Roman" w:eastAsia="宋体" w:cs="Times New Roman"/>
      <w:kern w:val="2"/>
      <w:sz w:val="18"/>
      <w:szCs w:val="21"/>
      <w:lang w:val="en-US" w:eastAsia="zh-CN" w:bidi="ar-SA"/>
    </w:rPr>
  </w:style>
  <w:style w:type="table" w:customStyle="1" w:styleId="92">
    <w:name w:val="环评表格"/>
    <w:basedOn w:val="32"/>
    <w:autoRedefine/>
    <w:qFormat/>
    <w:uiPriority w:val="0"/>
    <w:pPr>
      <w:adjustRightInd/>
      <w:jc w:val="center"/>
      <w:textAlignment w:val="auto"/>
    </w:pPr>
    <w:tblPr>
      <w:tblBorders>
        <w:top w:val="single" w:color="auto" w:sz="12" w:space="0"/>
        <w:bottom w:val="single" w:color="auto" w:sz="12" w:space="0"/>
      </w:tblBorders>
    </w:tblPr>
    <w:tcPr>
      <w:vAlign w:val="center"/>
    </w:tcPr>
  </w:style>
  <w:style w:type="paragraph" w:customStyle="1" w:styleId="93">
    <w:name w:val="清除格式2"/>
    <w:basedOn w:val="1"/>
    <w:autoRedefine/>
    <w:qFormat/>
    <w:uiPriority w:val="0"/>
    <w:rPr>
      <w:szCs w:val="20"/>
    </w:rPr>
  </w:style>
  <w:style w:type="paragraph" w:customStyle="1" w:styleId="94">
    <w:name w:val="表头 1"/>
    <w:basedOn w:val="10"/>
    <w:next w:val="10"/>
    <w:autoRedefine/>
    <w:qFormat/>
    <w:uiPriority w:val="0"/>
    <w:pPr>
      <w:adjustRightInd w:val="0"/>
      <w:spacing w:line="360" w:lineRule="auto"/>
      <w:jc w:val="center"/>
    </w:pPr>
    <w:rPr>
      <w:sz w:val="24"/>
    </w:rPr>
  </w:style>
  <w:style w:type="paragraph" w:customStyle="1" w:styleId="95">
    <w:name w:val="正文4"/>
    <w:basedOn w:val="1"/>
    <w:autoRedefine/>
    <w:qFormat/>
    <w:uiPriority w:val="0"/>
    <w:pPr>
      <w:widowControl/>
      <w:adjustRightInd w:val="0"/>
      <w:snapToGrid w:val="0"/>
      <w:spacing w:line="360" w:lineRule="auto"/>
      <w:ind w:firstLine="480" w:firstLineChars="200"/>
      <w:jc w:val="left"/>
    </w:pPr>
    <w:rPr>
      <w:color w:val="000000"/>
      <w:kern w:val="28"/>
      <w:sz w:val="24"/>
    </w:rPr>
  </w:style>
  <w:style w:type="paragraph" w:customStyle="1" w:styleId="96">
    <w:name w:val="WPSOffice手动目录 1"/>
    <w:autoRedefine/>
    <w:qFormat/>
    <w:uiPriority w:val="0"/>
    <w:rPr>
      <w:rFonts w:ascii="Times New Roman" w:hAnsi="Times New Roman" w:eastAsia="宋体" w:cs="Times New Roman"/>
      <w:lang w:val="en-US" w:eastAsia="zh-CN" w:bidi="ar-SA"/>
    </w:rPr>
  </w:style>
  <w:style w:type="character" w:customStyle="1" w:styleId="97">
    <w:name w:val="正文文本 Char2"/>
    <w:autoRedefine/>
    <w:qFormat/>
    <w:uiPriority w:val="0"/>
    <w:rPr>
      <w:rFonts w:ascii="Times New Roman" w:hAnsi="Times New Roman" w:eastAsia="宋体" w:cs="Times New Roman"/>
      <w:sz w:val="21"/>
      <w:szCs w:val="20"/>
    </w:rPr>
  </w:style>
  <w:style w:type="paragraph" w:customStyle="1" w:styleId="98">
    <w:name w:val="B正文"/>
    <w:basedOn w:val="1"/>
    <w:autoRedefine/>
    <w:qFormat/>
    <w:uiPriority w:val="0"/>
    <w:pPr>
      <w:spacing w:line="360" w:lineRule="auto"/>
      <w:ind w:firstLine="200" w:firstLineChars="200"/>
    </w:pPr>
    <w:rPr>
      <w:kern w:val="0"/>
      <w:sz w:val="24"/>
    </w:rPr>
  </w:style>
  <w:style w:type="paragraph" w:customStyle="1" w:styleId="99">
    <w:name w:val="Table Text"/>
    <w:basedOn w:val="1"/>
    <w:autoRedefine/>
    <w:semiHidden/>
    <w:qFormat/>
    <w:uiPriority w:val="0"/>
    <w:rPr>
      <w:rFonts w:ascii="宋体" w:hAnsi="宋体" w:cs="宋体"/>
      <w:sz w:val="20"/>
      <w:szCs w:val="20"/>
      <w:lang w:eastAsia="en-US"/>
    </w:rPr>
  </w:style>
  <w:style w:type="paragraph" w:customStyle="1" w:styleId="100">
    <w:name w:val="Default"/>
    <w:basedOn w:val="101"/>
    <w:next w:val="14"/>
    <w:autoRedefine/>
    <w:qFormat/>
    <w:uiPriority w:val="0"/>
    <w:pPr>
      <w:tabs>
        <w:tab w:val="left" w:pos="0"/>
      </w:tabs>
      <w:autoSpaceDE w:val="0"/>
      <w:autoSpaceDN w:val="0"/>
    </w:pPr>
    <w:rPr>
      <w:rFonts w:ascii="宋体" w:hAnsi="宋体" w:cs="宋体"/>
      <w:color w:val="000000"/>
      <w:sz w:val="24"/>
    </w:rPr>
  </w:style>
  <w:style w:type="paragraph" w:customStyle="1" w:styleId="101">
    <w:name w:val="0表格格式"/>
    <w:basedOn w:val="23"/>
    <w:autoRedefine/>
    <w:qFormat/>
    <w:uiPriority w:val="0"/>
    <w:pPr>
      <w:tabs>
        <w:tab w:val="left" w:pos="0"/>
      </w:tabs>
      <w:adjustRightInd w:val="0"/>
      <w:snapToGrid w:val="0"/>
      <w:jc w:val="center"/>
    </w:pPr>
  </w:style>
  <w:style w:type="paragraph" w:customStyle="1" w:styleId="102">
    <w:name w:val="正文lcc2"/>
    <w:basedOn w:val="10"/>
    <w:autoRedefine/>
    <w:qFormat/>
    <w:uiPriority w:val="0"/>
    <w:pPr>
      <w:ind w:firstLine="200" w:firstLineChars="200"/>
    </w:pPr>
    <w:rPr>
      <w:b/>
    </w:rPr>
  </w:style>
  <w:style w:type="paragraph" w:customStyle="1" w:styleId="103">
    <w:name w:val="Default1"/>
    <w:basedOn w:val="104"/>
    <w:next w:val="1"/>
    <w:autoRedefine/>
    <w:qFormat/>
    <w:uiPriority w:val="0"/>
    <w:pPr>
      <w:widowControl w:val="0"/>
      <w:autoSpaceDE w:val="0"/>
      <w:autoSpaceDN w:val="0"/>
      <w:adjustRightInd w:val="0"/>
    </w:pPr>
    <w:rPr>
      <w:rFonts w:ascii="宋体" w:eastAsia="宋体" w:cs="宋体"/>
      <w:color w:val="000000"/>
      <w:sz w:val="24"/>
      <w:szCs w:val="24"/>
      <w:lang w:val="en-US" w:eastAsia="zh-CN"/>
    </w:rPr>
  </w:style>
  <w:style w:type="paragraph" w:customStyle="1" w:styleId="104">
    <w:name w:val="Normal_14_0"/>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105">
    <w:name w:val="表格标题--中祥"/>
    <w:basedOn w:val="1"/>
    <w:autoRedefine/>
    <w:qFormat/>
    <w:uiPriority w:val="0"/>
    <w:pPr>
      <w:spacing w:line="320" w:lineRule="exact"/>
      <w:ind w:firstLine="482"/>
      <w:jc w:val="center"/>
    </w:pPr>
    <w:rPr>
      <w:rFonts w:ascii="宋体" w:hAnsi="宋体"/>
      <w:b/>
      <w:lang w:val="zh-CN"/>
    </w:rPr>
  </w:style>
  <w:style w:type="paragraph" w:customStyle="1" w:styleId="106">
    <w:name w:val="宗兴正文"/>
    <w:basedOn w:val="1"/>
    <w:autoRedefine/>
    <w:qFormat/>
    <w:uiPriority w:val="0"/>
    <w:pPr>
      <w:spacing w:line="360" w:lineRule="auto"/>
      <w:ind w:firstLine="480" w:firstLineChars="200"/>
    </w:pPr>
  </w:style>
  <w:style w:type="paragraph" w:customStyle="1" w:styleId="107">
    <w:name w:val="正文样式"/>
    <w:basedOn w:val="1"/>
    <w:autoRedefine/>
    <w:qFormat/>
    <w:uiPriority w:val="0"/>
    <w:pPr>
      <w:adjustRightInd w:val="0"/>
      <w:spacing w:line="360" w:lineRule="auto"/>
      <w:ind w:firstLine="824" w:firstLineChars="200"/>
    </w:pPr>
    <w:rPr>
      <w:kern w:val="0"/>
      <w:sz w:val="24"/>
      <w:szCs w:val="20"/>
    </w:rPr>
  </w:style>
  <w:style w:type="paragraph" w:customStyle="1" w:styleId="108">
    <w:name w:val="正文常用"/>
    <w:basedOn w:val="1"/>
    <w:autoRedefine/>
    <w:qFormat/>
    <w:uiPriority w:val="0"/>
    <w:pPr>
      <w:spacing w:line="360" w:lineRule="auto"/>
      <w:ind w:firstLine="480" w:firstLineChars="200"/>
    </w:pPr>
    <w:rPr>
      <w:rFonts w:cs="宋体"/>
      <w:sz w:val="24"/>
      <w:szCs w:val="20"/>
    </w:rPr>
  </w:style>
  <w:style w:type="paragraph" w:customStyle="1" w:styleId="109">
    <w:name w:val="表中文字"/>
    <w:basedOn w:val="38"/>
    <w:autoRedefine/>
    <w:qFormat/>
    <w:uiPriority w:val="0"/>
  </w:style>
  <w:style w:type="paragraph" w:customStyle="1" w:styleId="110">
    <w:name w:val="正"/>
    <w:basedOn w:val="1"/>
    <w:autoRedefine/>
    <w:qFormat/>
    <w:uiPriority w:val="0"/>
    <w:pPr>
      <w:adjustRightInd w:val="0"/>
      <w:spacing w:line="360" w:lineRule="auto"/>
      <w:ind w:left="23" w:leftChars="11" w:firstLine="480" w:firstLineChars="200"/>
    </w:pPr>
  </w:style>
  <w:style w:type="character" w:customStyle="1" w:styleId="111">
    <w:name w:val="font11"/>
    <w:autoRedefine/>
    <w:qFormat/>
    <w:uiPriority w:val="0"/>
    <w:rPr>
      <w:rFonts w:hint="eastAsia" w:ascii="宋体" w:hAnsi="宋体" w:eastAsia="宋体" w:cs="宋体"/>
      <w:color w:val="000000"/>
      <w:sz w:val="21"/>
      <w:szCs w:val="21"/>
      <w:u w:val="none"/>
    </w:rPr>
  </w:style>
  <w:style w:type="paragraph" w:customStyle="1" w:styleId="112">
    <w:name w:val="表 图 内容"/>
    <w:autoRedefine/>
    <w:qFormat/>
    <w:uiPriority w:val="0"/>
    <w:pPr>
      <w:jc w:val="center"/>
    </w:pPr>
    <w:rPr>
      <w:rFonts w:ascii="Times New Roman" w:hAnsi="Times New Roman" w:eastAsia="宋体" w:cs="Times New Roman"/>
      <w:color w:val="000000"/>
      <w:kern w:val="2"/>
      <w:sz w:val="21"/>
      <w:szCs w:val="24"/>
      <w:lang w:val="en-US" w:eastAsia="zh-CN" w:bidi="ar-SA"/>
    </w:rPr>
  </w:style>
  <w:style w:type="paragraph" w:customStyle="1" w:styleId="113">
    <w:name w:val="2"/>
    <w:basedOn w:val="1"/>
    <w:next w:val="24"/>
    <w:autoRedefine/>
    <w:qFormat/>
    <w:uiPriority w:val="0"/>
  </w:style>
  <w:style w:type="paragraph" w:customStyle="1" w:styleId="114">
    <w:name w:val="表格字体"/>
    <w:basedOn w:val="1"/>
    <w:autoRedefine/>
    <w:qFormat/>
    <w:uiPriority w:val="0"/>
    <w:pPr>
      <w:widowControl/>
      <w:adjustRightInd w:val="0"/>
      <w:snapToGrid w:val="0"/>
      <w:spacing w:beforeLines="20" w:afterLines="20"/>
      <w:jc w:val="center"/>
    </w:pPr>
    <w:rPr>
      <w:color w:val="000000"/>
      <w:kern w:val="28"/>
      <w:szCs w:val="21"/>
    </w:rPr>
  </w:style>
  <w:style w:type="character" w:customStyle="1" w:styleId="115">
    <w:name w:val="font31"/>
    <w:autoRedefine/>
    <w:qFormat/>
    <w:uiPriority w:val="0"/>
    <w:rPr>
      <w:rFonts w:hint="default" w:ascii="Times New Roman" w:hAnsi="Times New Roman" w:cs="Times New Roman"/>
      <w:b/>
      <w:bCs/>
      <w:color w:val="000000"/>
      <w:sz w:val="20"/>
      <w:szCs w:val="20"/>
      <w:u w:val="none"/>
    </w:rPr>
  </w:style>
  <w:style w:type="paragraph" w:customStyle="1" w:styleId="116">
    <w:name w:val="表内容"/>
    <w:basedOn w:val="117"/>
    <w:autoRedefine/>
    <w:qFormat/>
    <w:uiPriority w:val="0"/>
    <w:pPr>
      <w:keepNext w:val="0"/>
      <w:keepLines w:val="0"/>
      <w:jc w:val="center"/>
      <w:outlineLvl w:val="9"/>
    </w:pPr>
    <w:rPr>
      <w:rFonts w:eastAsia="楷体"/>
      <w:b w:val="0"/>
      <w:spacing w:val="-10"/>
    </w:rPr>
  </w:style>
  <w:style w:type="paragraph" w:customStyle="1" w:styleId="117">
    <w:name w:val="标题4"/>
    <w:basedOn w:val="1"/>
    <w:autoRedefine/>
    <w:qFormat/>
    <w:uiPriority w:val="0"/>
    <w:pPr>
      <w:keepNext/>
      <w:keepLines/>
      <w:outlineLvl w:val="3"/>
    </w:pPr>
    <w:rPr>
      <w:b/>
    </w:rPr>
  </w:style>
  <w:style w:type="paragraph" w:customStyle="1" w:styleId="118">
    <w:name w:val="样式 XYF1 + 宋体"/>
    <w:basedOn w:val="1"/>
    <w:autoRedefine/>
    <w:qFormat/>
    <w:uiPriority w:val="0"/>
    <w:pPr>
      <w:tabs>
        <w:tab w:val="left" w:pos="1080"/>
      </w:tabs>
      <w:spacing w:line="480" w:lineRule="exact"/>
      <w:ind w:firstLine="200" w:firstLineChars="200"/>
    </w:pPr>
    <w:rPr>
      <w:rFonts w:ascii="宋体" w:hAnsi="宋体" w:cs="宋体"/>
      <w:sz w:val="28"/>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9" Type="http://schemas.openxmlformats.org/officeDocument/2006/relationships/fontTable" Target="fontTable.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image" Target="media/image24.wmf"/><Relationship Id="rId35" Type="http://schemas.openxmlformats.org/officeDocument/2006/relationships/oleObject" Target="embeddings/oleObject6.bin"/><Relationship Id="rId34" Type="http://schemas.openxmlformats.org/officeDocument/2006/relationships/image" Target="media/image23.jpeg"/><Relationship Id="rId33" Type="http://schemas.openxmlformats.org/officeDocument/2006/relationships/image" Target="media/image22.jpeg"/><Relationship Id="rId32" Type="http://schemas.openxmlformats.org/officeDocument/2006/relationships/image" Target="media/image21.jpeg"/><Relationship Id="rId31" Type="http://schemas.openxmlformats.org/officeDocument/2006/relationships/image" Target="media/image20.jpeg"/><Relationship Id="rId30" Type="http://schemas.openxmlformats.org/officeDocument/2006/relationships/image" Target="media/image19.jpeg"/><Relationship Id="rId3" Type="http://schemas.openxmlformats.org/officeDocument/2006/relationships/footer" Target="footer1.xml"/><Relationship Id="rId29" Type="http://schemas.openxmlformats.org/officeDocument/2006/relationships/image" Target="media/image18.jpeg"/><Relationship Id="rId28" Type="http://schemas.openxmlformats.org/officeDocument/2006/relationships/image" Target="media/image17.wmf"/><Relationship Id="rId27" Type="http://schemas.openxmlformats.org/officeDocument/2006/relationships/oleObject" Target="embeddings/oleObject5.bin"/><Relationship Id="rId26" Type="http://schemas.openxmlformats.org/officeDocument/2006/relationships/image" Target="media/image16.wmf"/><Relationship Id="rId25" Type="http://schemas.openxmlformats.org/officeDocument/2006/relationships/oleObject" Target="embeddings/oleObject4.bin"/><Relationship Id="rId24" Type="http://schemas.openxmlformats.org/officeDocument/2006/relationships/image" Target="media/image15.wmf"/><Relationship Id="rId23" Type="http://schemas.openxmlformats.org/officeDocument/2006/relationships/oleObject" Target="embeddings/oleObject3.bin"/><Relationship Id="rId22" Type="http://schemas.openxmlformats.org/officeDocument/2006/relationships/image" Target="media/image14.jpeg"/><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wmf"/><Relationship Id="rId18" Type="http://schemas.openxmlformats.org/officeDocument/2006/relationships/oleObject" Target="embeddings/oleObject2.bin"/><Relationship Id="rId17" Type="http://schemas.openxmlformats.org/officeDocument/2006/relationships/image" Target="media/image10.wmf"/><Relationship Id="rId16" Type="http://schemas.openxmlformats.org/officeDocument/2006/relationships/oleObject" Target="embeddings/oleObject1.bin"/><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78</Pages>
  <Words>833</Words>
  <Characters>946</Characters>
  <Lines>403</Lines>
  <Paragraphs>113</Paragraphs>
  <TotalTime>9</TotalTime>
  <ScaleCrop>false</ScaleCrop>
  <LinksUpToDate>false</LinksUpToDate>
  <CharactersWithSpaces>1031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WPS_1542800705</cp:lastModifiedBy>
  <cp:lastPrinted>2022-10-11T06:39:00Z</cp:lastPrinted>
  <dcterms:modified xsi:type="dcterms:W3CDTF">2025-11-20T01:38:43Z</dcterms:modified>
  <dc:title>附件2</dc:title>
  <cp:revision>110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792118B967264B0E80DF286CDF048199_13</vt:lpwstr>
  </property>
  <property fmtid="{D5CDD505-2E9C-101B-9397-08002B2CF9AE}" pid="4" name="KSOTemplateDocerSaveRecord">
    <vt:lpwstr>eyJoZGlkIjoiNDc2NjNlMTNkYzQzNDgwODJhMTU2YmYxMWEyYTZmMzIiLCJ1c2VySWQiOiI0MzE4MjEzMTgifQ==</vt:lpwstr>
  </property>
</Properties>
</file>